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30BA" w14:textId="3389B1C9" w:rsidR="008F25C6" w:rsidRDefault="00BD24B9" w:rsidP="006F50A7">
      <w:pPr>
        <w:pStyle w:val="Heading1"/>
      </w:pPr>
      <w:r>
        <w:t>Strategic Plan 2021-2025</w:t>
      </w:r>
    </w:p>
    <w:p w14:paraId="3DDDD8E4" w14:textId="77777777" w:rsidR="00A150ED" w:rsidRPr="00A150ED" w:rsidRDefault="00A150ED" w:rsidP="004652AC"/>
    <w:p w14:paraId="234079D6" w14:textId="77777777" w:rsidR="001B1323" w:rsidRPr="001B1323" w:rsidRDefault="001B1323" w:rsidP="004652AC">
      <w:pPr>
        <w:rPr>
          <w:rFonts w:asciiTheme="majorHAnsi" w:hAnsiTheme="majorHAnsi" w:cstheme="majorHAnsi"/>
          <w:bCs/>
          <w:i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bCs/>
          <w:i/>
          <w:iCs/>
          <w:noProof/>
          <w:sz w:val="22"/>
          <w:szCs w:val="22"/>
        </w:rPr>
        <w:t>Note this is the abridged version</w:t>
      </w:r>
    </w:p>
    <w:p w14:paraId="22A7A914" w14:textId="77777777" w:rsidR="000E6344" w:rsidRDefault="000E6344" w:rsidP="004652AC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7B8ECB00" w14:textId="150E187E" w:rsidR="001B1323" w:rsidRPr="001B1323" w:rsidRDefault="001B1323" w:rsidP="004652AC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Our Vision</w:t>
      </w:r>
    </w:p>
    <w:p w14:paraId="300EAB0C" w14:textId="77777777" w:rsidR="001B1323" w:rsidRPr="001B1323" w:rsidRDefault="001B1323" w:rsidP="004652AC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iCs/>
          <w:noProof/>
          <w:sz w:val="22"/>
          <w:szCs w:val="22"/>
        </w:rPr>
        <w:t xml:space="preserve">Health equity for all women </w:t>
      </w:r>
    </w:p>
    <w:p w14:paraId="3349DB6A" w14:textId="77777777" w:rsidR="004652AC" w:rsidRDefault="004652AC" w:rsidP="004652AC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3DC4C280" w14:textId="37F0FDEA" w:rsidR="001B1323" w:rsidRPr="001B1323" w:rsidRDefault="001B1323" w:rsidP="004652AC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Our Purpose</w:t>
      </w:r>
      <w:r w:rsidRPr="001B1323">
        <w:rPr>
          <w:rFonts w:asciiTheme="majorHAnsi" w:hAnsiTheme="majorHAnsi" w:cstheme="majorHAnsi"/>
          <w:iCs/>
          <w:noProof/>
          <w:sz w:val="22"/>
          <w:szCs w:val="22"/>
        </w:rPr>
        <w:t xml:space="preserve">: </w:t>
      </w:r>
    </w:p>
    <w:p w14:paraId="40668BDB" w14:textId="77777777" w:rsidR="001B1323" w:rsidRPr="001B1323" w:rsidRDefault="001B1323" w:rsidP="004652AC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iCs/>
          <w:noProof/>
          <w:sz w:val="22"/>
          <w:szCs w:val="22"/>
        </w:rPr>
        <w:t xml:space="preserve">The national voice for women’s health </w:t>
      </w:r>
    </w:p>
    <w:p w14:paraId="69E1DE35" w14:textId="77777777" w:rsidR="004652AC" w:rsidRDefault="004652AC" w:rsidP="004652AC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391024DB" w14:textId="33735071" w:rsidR="001B1323" w:rsidRPr="001B1323" w:rsidRDefault="001B1323" w:rsidP="004652AC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Guiding Principles</w:t>
      </w:r>
      <w:r w:rsidRPr="001B1323">
        <w:rPr>
          <w:rFonts w:asciiTheme="majorHAnsi" w:hAnsiTheme="majorHAnsi" w:cstheme="majorHAnsi"/>
          <w:iCs/>
          <w:noProof/>
          <w:sz w:val="22"/>
          <w:szCs w:val="22"/>
        </w:rPr>
        <w:t>:</w:t>
      </w:r>
    </w:p>
    <w:p w14:paraId="7F972E6B" w14:textId="77777777" w:rsidR="001B1323" w:rsidRDefault="001B1323" w:rsidP="004652AC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iCs/>
          <w:noProof/>
          <w:sz w:val="22"/>
          <w:szCs w:val="22"/>
        </w:rPr>
        <w:t xml:space="preserve">Our work is guided by feminism, gender equity, and human rights. </w:t>
      </w:r>
    </w:p>
    <w:p w14:paraId="10EB8A21" w14:textId="77777777" w:rsidR="004652AC" w:rsidRDefault="004652AC" w:rsidP="004652AC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5292890D" w14:textId="19168B52" w:rsidR="001B1323" w:rsidRPr="001B1323" w:rsidRDefault="001B1323" w:rsidP="004652AC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1B1323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Strategic Priorities</w:t>
      </w:r>
    </w:p>
    <w:p w14:paraId="50A01FE5" w14:textId="77777777" w:rsidR="001B1323" w:rsidRPr="000E6344" w:rsidRDefault="001B1323" w:rsidP="004652AC">
      <w:pPr>
        <w:pStyle w:val="Heading2"/>
        <w:spacing w:after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E634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Priority 1: Policy and reform </w:t>
      </w:r>
    </w:p>
    <w:p w14:paraId="5CD7B4AA" w14:textId="6DC59989" w:rsidR="001B1323" w:rsidRPr="004652AC" w:rsidRDefault="001B1323" w:rsidP="004652AC">
      <w:pPr>
        <w:pStyle w:val="Heading2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4652AC">
        <w:rPr>
          <w:rFonts w:asciiTheme="majorHAnsi" w:hAnsiTheme="majorHAnsi" w:cstheme="majorHAnsi"/>
          <w:color w:val="auto"/>
          <w:sz w:val="22"/>
          <w:szCs w:val="22"/>
          <w:lang w:val="en-US"/>
        </w:rPr>
        <w:t>Australian Women's Health Alliance is a national leader in developing, advancing, and responding to public policy and practice as it impacts on women’s health. We provide independent advice from a broad evidence-base to promote a gendered approach to women’s health care.</w:t>
      </w:r>
    </w:p>
    <w:p w14:paraId="668F6FCB" w14:textId="77777777" w:rsidR="000E6344" w:rsidRDefault="000E6344" w:rsidP="004652AC">
      <w:pPr>
        <w:pStyle w:val="Heading2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14:paraId="5A3AC65B" w14:textId="7E323104" w:rsidR="001B1323" w:rsidRPr="000E6344" w:rsidRDefault="001B1323" w:rsidP="004652AC">
      <w:pPr>
        <w:pStyle w:val="Heading2"/>
        <w:spacing w:after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E6344">
        <w:rPr>
          <w:rFonts w:asciiTheme="majorHAnsi" w:hAnsiTheme="majorHAnsi" w:cstheme="majorHAnsi"/>
          <w:b/>
          <w:bCs/>
          <w:color w:val="auto"/>
          <w:sz w:val="22"/>
          <w:szCs w:val="22"/>
        </w:rPr>
        <w:t>Priority 2: Connect and collaborate</w:t>
      </w:r>
    </w:p>
    <w:p w14:paraId="1BD880C7" w14:textId="77777777" w:rsidR="001B1323" w:rsidRPr="001B1323" w:rsidRDefault="001B1323" w:rsidP="004652AC">
      <w:pPr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B1323">
        <w:rPr>
          <w:rFonts w:asciiTheme="majorHAnsi" w:hAnsiTheme="majorHAnsi" w:cstheme="majorHAnsi"/>
          <w:sz w:val="22"/>
          <w:szCs w:val="22"/>
          <w:lang w:val="en-US"/>
        </w:rPr>
        <w:t>Australian Women's Health Alliance</w:t>
      </w:r>
      <w:r w:rsidRPr="001B1323">
        <w:rPr>
          <w:rFonts w:asciiTheme="majorHAnsi" w:hAnsiTheme="majorHAnsi" w:cstheme="majorHAnsi"/>
          <w:sz w:val="22"/>
          <w:szCs w:val="22"/>
        </w:rPr>
        <w:t xml:space="preserve"> is the vehicle for women’s health organisations, consumers and advocates to connect and collaborate through our membership base and effective processes to represent the views of members and their constituents.</w:t>
      </w:r>
    </w:p>
    <w:p w14:paraId="281F8550" w14:textId="77777777" w:rsidR="000E6344" w:rsidRDefault="000E6344" w:rsidP="004652AC">
      <w:pPr>
        <w:pStyle w:val="Heading2"/>
        <w:spacing w:after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BD12576" w14:textId="27C0BD01" w:rsidR="001B1323" w:rsidRPr="000E6344" w:rsidRDefault="001B1323" w:rsidP="004652AC">
      <w:pPr>
        <w:pStyle w:val="Heading2"/>
        <w:spacing w:after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E6344">
        <w:rPr>
          <w:rFonts w:asciiTheme="majorHAnsi" w:hAnsiTheme="majorHAnsi" w:cstheme="majorHAnsi"/>
          <w:b/>
          <w:bCs/>
          <w:color w:val="auto"/>
          <w:sz w:val="22"/>
          <w:szCs w:val="22"/>
        </w:rPr>
        <w:t>Priority 3: Governance and agency</w:t>
      </w:r>
    </w:p>
    <w:p w14:paraId="0197118A" w14:textId="77777777" w:rsidR="001B1323" w:rsidRPr="00F062E7" w:rsidRDefault="001B1323" w:rsidP="004652AC">
      <w:pPr>
        <w:rPr>
          <w:rFonts w:ascii="Arial" w:hAnsi="Arial" w:cs="Arial"/>
          <w:sz w:val="24"/>
          <w:szCs w:val="24"/>
        </w:rPr>
      </w:pPr>
      <w:r w:rsidRPr="001B1323">
        <w:rPr>
          <w:rFonts w:asciiTheme="majorHAnsi" w:hAnsiTheme="majorHAnsi" w:cstheme="majorHAnsi"/>
          <w:sz w:val="22"/>
          <w:szCs w:val="22"/>
          <w:lang w:val="en-US"/>
        </w:rPr>
        <w:t>As an independent peak and health promotion charity, Australian Women's Health Alliance demonstrates best practice in its governance, leadership and operations</w:t>
      </w:r>
      <w:r w:rsidRPr="5E5DCDDD">
        <w:rPr>
          <w:rFonts w:ascii="Arial" w:hAnsi="Arial" w:cs="Arial"/>
          <w:sz w:val="24"/>
          <w:szCs w:val="24"/>
          <w:lang w:val="en-US"/>
        </w:rPr>
        <w:t>.</w:t>
      </w:r>
    </w:p>
    <w:p w14:paraId="1B887D4D" w14:textId="77777777" w:rsidR="001B1323" w:rsidRPr="009B28FD" w:rsidRDefault="001B1323" w:rsidP="001B1323">
      <w:pPr>
        <w:rPr>
          <w:rFonts w:ascii="Arial" w:hAnsi="Arial" w:cs="Arial"/>
          <w:b/>
          <w:lang w:val="en-US"/>
        </w:rPr>
      </w:pPr>
    </w:p>
    <w:p w14:paraId="5E3BC638" w14:textId="77777777" w:rsidR="001B1323" w:rsidRPr="009B28FD" w:rsidRDefault="001B1323" w:rsidP="001B1323">
      <w:pPr>
        <w:rPr>
          <w:rFonts w:ascii="Arial" w:hAnsi="Arial" w:cs="Arial"/>
          <w:b/>
          <w:lang w:val="en-US"/>
        </w:rPr>
      </w:pPr>
    </w:p>
    <w:p w14:paraId="3630301E" w14:textId="77777777" w:rsidR="001B1323" w:rsidRPr="009B28FD" w:rsidRDefault="001B1323" w:rsidP="001B1323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1B2C1EB" w14:textId="77777777" w:rsidR="001B1323" w:rsidRPr="009B28FD" w:rsidRDefault="001B1323" w:rsidP="001B1323">
      <w:pPr>
        <w:rPr>
          <w:rFonts w:ascii="Arial" w:hAnsi="Arial" w:cs="Arial"/>
          <w:b/>
          <w:sz w:val="32"/>
        </w:rPr>
      </w:pPr>
      <w:r w:rsidRPr="009B28FD">
        <w:rPr>
          <w:rFonts w:ascii="Arial" w:hAnsi="Arial" w:cs="Arial"/>
          <w:b/>
          <w:sz w:val="32"/>
        </w:rPr>
        <w:br w:type="page"/>
      </w:r>
    </w:p>
    <w:p w14:paraId="199D3FA2" w14:textId="77777777" w:rsidR="001B1323" w:rsidRDefault="001B1323" w:rsidP="001B1323">
      <w:pPr>
        <w:pStyle w:val="Heading1"/>
      </w:pPr>
      <w:r>
        <w:lastRenderedPageBreak/>
        <w:t>Strategic Plan 2021-2025</w:t>
      </w:r>
    </w:p>
    <w:p w14:paraId="4D7A7B22" w14:textId="77777777" w:rsidR="00830E35" w:rsidRDefault="00830E35" w:rsidP="00830E35">
      <w:pPr>
        <w:rPr>
          <w:rFonts w:asciiTheme="majorHAnsi" w:hAnsiTheme="majorHAnsi" w:cstheme="majorHAnsi"/>
          <w:bCs/>
          <w:i/>
          <w:iCs/>
          <w:noProof/>
          <w:sz w:val="22"/>
          <w:szCs w:val="22"/>
        </w:rPr>
      </w:pPr>
    </w:p>
    <w:p w14:paraId="234AF72F" w14:textId="4C6EB09E" w:rsidR="001B1323" w:rsidRPr="00830E35" w:rsidRDefault="001B1323" w:rsidP="00830E35">
      <w:pPr>
        <w:rPr>
          <w:rFonts w:asciiTheme="majorHAnsi" w:hAnsiTheme="majorHAnsi" w:cstheme="majorHAnsi"/>
          <w:bCs/>
          <w:i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bCs/>
          <w:i/>
          <w:iCs/>
          <w:noProof/>
          <w:sz w:val="22"/>
          <w:szCs w:val="22"/>
        </w:rPr>
        <w:t>Note this is the long version</w:t>
      </w:r>
    </w:p>
    <w:p w14:paraId="22D4B716" w14:textId="77777777" w:rsidR="00830E35" w:rsidRDefault="00830E35" w:rsidP="00830E35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0DF98997" w14:textId="6ED2AA1B" w:rsidR="001B1323" w:rsidRPr="00830E35" w:rsidRDefault="001B1323" w:rsidP="00830E35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Our Vision</w:t>
      </w:r>
    </w:p>
    <w:p w14:paraId="39200C38" w14:textId="77777777" w:rsidR="001B1323" w:rsidRPr="00830E35" w:rsidRDefault="001B1323" w:rsidP="00830E35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iCs/>
          <w:noProof/>
          <w:sz w:val="22"/>
          <w:szCs w:val="22"/>
        </w:rPr>
        <w:t xml:space="preserve">Health equity for all women </w:t>
      </w:r>
    </w:p>
    <w:p w14:paraId="3E17D18F" w14:textId="77777777" w:rsidR="00830E35" w:rsidRDefault="00830E35" w:rsidP="00830E35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1D819A2F" w14:textId="55808269" w:rsidR="001B1323" w:rsidRPr="00830E35" w:rsidRDefault="001B1323" w:rsidP="00830E35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Our Purpose</w:t>
      </w:r>
      <w:r w:rsidRPr="00830E35">
        <w:rPr>
          <w:rFonts w:asciiTheme="majorHAnsi" w:hAnsiTheme="majorHAnsi" w:cstheme="majorHAnsi"/>
          <w:iCs/>
          <w:noProof/>
          <w:sz w:val="22"/>
          <w:szCs w:val="22"/>
        </w:rPr>
        <w:t xml:space="preserve">: </w:t>
      </w:r>
    </w:p>
    <w:p w14:paraId="1004CEC0" w14:textId="77777777" w:rsidR="001B1323" w:rsidRPr="00830E35" w:rsidRDefault="001B1323" w:rsidP="00830E35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iCs/>
          <w:noProof/>
          <w:sz w:val="22"/>
          <w:szCs w:val="22"/>
        </w:rPr>
        <w:t xml:space="preserve">The national voice for women’s health </w:t>
      </w:r>
    </w:p>
    <w:p w14:paraId="4FDE9570" w14:textId="77777777" w:rsidR="00830E35" w:rsidRDefault="00830E35" w:rsidP="00830E35">
      <w:pPr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</w:p>
    <w:p w14:paraId="237C4EC7" w14:textId="32CF2581" w:rsidR="001B1323" w:rsidRPr="00830E35" w:rsidRDefault="001B1323" w:rsidP="00830E35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Guiding Principles</w:t>
      </w:r>
      <w:r w:rsidRPr="00830E35">
        <w:rPr>
          <w:rFonts w:asciiTheme="majorHAnsi" w:hAnsiTheme="majorHAnsi" w:cstheme="majorHAnsi"/>
          <w:iCs/>
          <w:noProof/>
          <w:sz w:val="22"/>
          <w:szCs w:val="22"/>
        </w:rPr>
        <w:t>:</w:t>
      </w:r>
    </w:p>
    <w:p w14:paraId="72E6F684" w14:textId="77777777" w:rsidR="001B1323" w:rsidRPr="00830E35" w:rsidRDefault="001B1323" w:rsidP="00830E35">
      <w:pPr>
        <w:rPr>
          <w:rFonts w:asciiTheme="majorHAnsi" w:hAnsiTheme="majorHAnsi" w:cstheme="majorHAnsi"/>
          <w:iCs/>
          <w:noProof/>
          <w:sz w:val="22"/>
          <w:szCs w:val="22"/>
        </w:rPr>
      </w:pPr>
      <w:r w:rsidRPr="00830E35">
        <w:rPr>
          <w:rFonts w:asciiTheme="majorHAnsi" w:hAnsiTheme="majorHAnsi" w:cstheme="majorHAnsi"/>
          <w:iCs/>
          <w:noProof/>
          <w:sz w:val="22"/>
          <w:szCs w:val="22"/>
        </w:rPr>
        <w:t xml:space="preserve">Our work is guided by feminism, gender equity, and human rights. </w:t>
      </w:r>
    </w:p>
    <w:p w14:paraId="0F252A2F" w14:textId="77777777" w:rsidR="00830E35" w:rsidRDefault="00830E35" w:rsidP="00830E35">
      <w:pPr>
        <w:pStyle w:val="Heading2"/>
        <w:spacing w:after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18C1812" w14:textId="2917BFC8" w:rsidR="001B1323" w:rsidRPr="00830E35" w:rsidRDefault="001B1323" w:rsidP="00830E35">
      <w:pPr>
        <w:pStyle w:val="Heading2"/>
        <w:spacing w:after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30E35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Priority 1: Policy and reform </w:t>
      </w:r>
    </w:p>
    <w:p w14:paraId="16843698" w14:textId="77777777" w:rsidR="001B1323" w:rsidRPr="00830E35" w:rsidRDefault="001B1323" w:rsidP="00830E35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Australian Women's Health Alliance is a national leader in developing, advancing and responding to public policy and practice as it impacts on women’s health. We provide independent advice from a broad evidence-base to promote a gendered approach to women’s health care.</w:t>
      </w:r>
    </w:p>
    <w:p w14:paraId="0BC2DB1A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92F26B4" w14:textId="1FD00E57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Short term actions (2021-2022):</w:t>
      </w:r>
    </w:p>
    <w:p w14:paraId="50ECBE27" w14:textId="77777777" w:rsidR="001B1323" w:rsidRPr="00830E35" w:rsidRDefault="001B1323" w:rsidP="00830E3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Consult with national policy and reform stakeholders to review brand, develop communications and partnership strategies.</w:t>
      </w:r>
    </w:p>
    <w:p w14:paraId="2547B430" w14:textId="77777777" w:rsidR="001B1323" w:rsidRPr="00830E35" w:rsidRDefault="001B1323" w:rsidP="00830E3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Identify gaps in the implementation, measurement and evaluation of the National Women’s Health Strategy (2020-2030) and strategic engagement for strengthening action plans.</w:t>
      </w:r>
    </w:p>
    <w:p w14:paraId="4AD85CFE" w14:textId="48926DAF" w:rsidR="001B1323" w:rsidRPr="00830E35" w:rsidRDefault="001B1323" w:rsidP="00830E3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 xml:space="preserve">Develop an evidence-based gendered lens position paper for the National Preventive Health Strategy </w:t>
      </w:r>
    </w:p>
    <w:p w14:paraId="64BC0BA9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9746805" w14:textId="4D5C3076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Medium term actions (2022-2025):</w:t>
      </w:r>
    </w:p>
    <w:p w14:paraId="31C7694D" w14:textId="77777777" w:rsidR="001B1323" w:rsidRPr="00830E35" w:rsidRDefault="001B1323" w:rsidP="00830E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and update evidence papers for our strategic suite of resources.</w:t>
      </w:r>
    </w:p>
    <w:p w14:paraId="4A1F6E83" w14:textId="77777777" w:rsidR="001B1323" w:rsidRPr="00830E35" w:rsidRDefault="001B1323" w:rsidP="00830E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Develop policy submissions to influence national policy and legislative reforms.</w:t>
      </w:r>
    </w:p>
    <w:p w14:paraId="32DF72A1" w14:textId="2D9CAFAA" w:rsidR="001B1323" w:rsidRPr="00830E35" w:rsidRDefault="001B1323" w:rsidP="00830E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Promote an evidence-based gendered lens for the National Preventive Health Strategy and the National Women’s Health Strategy and other relevant strategies.</w:t>
      </w:r>
    </w:p>
    <w:p w14:paraId="55475FDB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13D5890" w14:textId="71549790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2030 goal:</w:t>
      </w:r>
    </w:p>
    <w:p w14:paraId="697B707D" w14:textId="77777777" w:rsidR="001B1323" w:rsidRPr="00830E35" w:rsidRDefault="001B1323" w:rsidP="00830E35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National health strategy, policy, and practice responds to the evolving and intersectional needs of women in Australia, that increases health equity.</w:t>
      </w:r>
    </w:p>
    <w:p w14:paraId="3F9765FE" w14:textId="77777777" w:rsidR="001B1323" w:rsidRPr="00830E35" w:rsidRDefault="001B1323" w:rsidP="00830E35">
      <w:pPr>
        <w:pStyle w:val="Heading2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14:paraId="2E30A168" w14:textId="77777777" w:rsidR="001B1323" w:rsidRPr="00830E35" w:rsidRDefault="001B1323" w:rsidP="00830E35">
      <w:pPr>
        <w:pStyle w:val="Heading2"/>
        <w:spacing w:after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30E35">
        <w:rPr>
          <w:rFonts w:asciiTheme="majorHAnsi" w:hAnsiTheme="majorHAnsi" w:cstheme="majorHAnsi"/>
          <w:b/>
          <w:bCs/>
          <w:color w:val="auto"/>
          <w:sz w:val="22"/>
          <w:szCs w:val="22"/>
        </w:rPr>
        <w:t>Priority 2: Connect and collaborate</w:t>
      </w:r>
    </w:p>
    <w:p w14:paraId="1AACEE59" w14:textId="77777777" w:rsidR="001B1323" w:rsidRPr="00830E35" w:rsidRDefault="001B1323" w:rsidP="00830E35">
      <w:pPr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Australian Women's Health Alliance</w:t>
      </w:r>
      <w:r w:rsidRPr="00830E35">
        <w:rPr>
          <w:rFonts w:asciiTheme="majorHAnsi" w:hAnsiTheme="majorHAnsi" w:cstheme="majorHAnsi"/>
          <w:sz w:val="22"/>
          <w:szCs w:val="22"/>
        </w:rPr>
        <w:t xml:space="preserve"> is the vehicle for women’s health organisations, consumers and advocates to connect and collaborate through our membership base and effective processes to represent the views of members and their constituents.</w:t>
      </w:r>
    </w:p>
    <w:p w14:paraId="4844DC1B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C65BD2A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07E75" w14:textId="2E9B71B3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Short term actions (2021-2022):</w:t>
      </w:r>
    </w:p>
    <w:p w14:paraId="00403C34" w14:textId="77777777" w:rsidR="001B1323" w:rsidRPr="00830E35" w:rsidRDefault="001B1323" w:rsidP="00830E35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830E35">
        <w:rPr>
          <w:rFonts w:asciiTheme="majorHAnsi" w:hAnsiTheme="majorHAnsi" w:cstheme="majorHAnsi"/>
          <w:sz w:val="22"/>
          <w:szCs w:val="22"/>
        </w:rPr>
        <w:lastRenderedPageBreak/>
        <w:t>Review our membership strategy and processes in place to communicate with, and represent the views of members and their constituents.</w:t>
      </w:r>
    </w:p>
    <w:p w14:paraId="3B52475F" w14:textId="77777777" w:rsidR="001B1323" w:rsidRPr="00830E35" w:rsidRDefault="001B1323" w:rsidP="00830E3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our communications strategy, including media, website, social media, campaigns and marketing.</w:t>
      </w:r>
    </w:p>
    <w:p w14:paraId="5E88CEFE" w14:textId="77777777" w:rsidR="001B1323" w:rsidRPr="00830E35" w:rsidRDefault="001B1323" w:rsidP="00830E3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our partnership strategy, including membership model, reciprocal memberships, membership fees, strategic partnerships.</w:t>
      </w:r>
    </w:p>
    <w:p w14:paraId="4179D970" w14:textId="77777777" w:rsidR="001B1323" w:rsidRPr="00830E35" w:rsidRDefault="001B1323" w:rsidP="00830E3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key relationships critical for our work at the Australian Government level.</w:t>
      </w:r>
    </w:p>
    <w:p w14:paraId="0C9ECE8C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A977E7E" w14:textId="3E0CD045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Medium term actions (2022-2025):</w:t>
      </w:r>
    </w:p>
    <w:p w14:paraId="20DC9BB1" w14:textId="77777777" w:rsidR="001B1323" w:rsidRPr="00830E35" w:rsidRDefault="001B1323" w:rsidP="00830E3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Implement, monitor and evaluate the communications and partnership strategies.</w:t>
      </w:r>
    </w:p>
    <w:p w14:paraId="4A4D88C7" w14:textId="77777777" w:rsidR="001B1323" w:rsidRPr="00830E35" w:rsidRDefault="001B1323" w:rsidP="00830E3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Support and enable opportunities for knowledge exchange and capacity building in women’s health.</w:t>
      </w:r>
    </w:p>
    <w:p w14:paraId="1B850BF8" w14:textId="77777777" w:rsidR="001B1323" w:rsidRPr="00830E35" w:rsidRDefault="001B1323" w:rsidP="00830E3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Continue to encourage and facilitate connection and collaboration in the design of health policy and practice.</w:t>
      </w:r>
    </w:p>
    <w:p w14:paraId="147C2785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28DC1E" w14:textId="417DDC60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2030 goal:</w:t>
      </w:r>
    </w:p>
    <w:p w14:paraId="6C915F7C" w14:textId="77777777" w:rsidR="001B1323" w:rsidRPr="00830E35" w:rsidRDefault="001B1323" w:rsidP="00830E35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Women’s health stakeholders including consumer advocates, workers, leaders and Elders have powerful opportunities to connect and collaborate for knowledge exchange, co-design and change in health policy, programs and practice.</w:t>
      </w:r>
    </w:p>
    <w:p w14:paraId="20090A2A" w14:textId="77777777" w:rsidR="001B1323" w:rsidRPr="00830E35" w:rsidRDefault="001B1323" w:rsidP="00830E35">
      <w:pPr>
        <w:pStyle w:val="Heading2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14:paraId="15D7B950" w14:textId="77777777" w:rsidR="001B1323" w:rsidRPr="00830E35" w:rsidRDefault="001B1323" w:rsidP="00830E35">
      <w:pPr>
        <w:pStyle w:val="Heading2"/>
        <w:spacing w:after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30E35">
        <w:rPr>
          <w:rFonts w:asciiTheme="majorHAnsi" w:hAnsiTheme="majorHAnsi" w:cstheme="majorHAnsi"/>
          <w:b/>
          <w:color w:val="auto"/>
          <w:sz w:val="22"/>
          <w:szCs w:val="22"/>
        </w:rPr>
        <w:t>Priority 3: Governance and agency</w:t>
      </w:r>
    </w:p>
    <w:p w14:paraId="0FECF38E" w14:textId="77777777" w:rsidR="001B1323" w:rsidRPr="00830E35" w:rsidRDefault="001B1323" w:rsidP="00830E35">
      <w:pPr>
        <w:rPr>
          <w:rFonts w:asciiTheme="majorHAnsi" w:hAnsiTheme="majorHAnsi" w:cstheme="majorHAnsi"/>
          <w:sz w:val="22"/>
          <w:szCs w:val="22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As an independent peak and health promotion charity, Australian Women's Health Alliance demonstrates best practice in its governance, leadership and operations.</w:t>
      </w:r>
    </w:p>
    <w:p w14:paraId="2482014F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04838A0" w14:textId="7A04C838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Short term actions (2021-2022):</w:t>
      </w:r>
    </w:p>
    <w:p w14:paraId="3DB101C8" w14:textId="77777777" w:rsidR="001B1323" w:rsidRPr="00830E35" w:rsidRDefault="001B1323" w:rsidP="00830E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and implement administration systems and policies and procedures including IT, finance, intranet and records management.</w:t>
      </w:r>
    </w:p>
    <w:p w14:paraId="4A9E1D36" w14:textId="77777777" w:rsidR="001B1323" w:rsidRPr="00830E35" w:rsidRDefault="001B1323" w:rsidP="00830E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governance, including evaluation of board structure, roles, recruitment and succession planning.</w:t>
      </w:r>
    </w:p>
    <w:p w14:paraId="2ED38C5E" w14:textId="77777777" w:rsidR="001B1323" w:rsidRPr="00830E35" w:rsidRDefault="001B1323" w:rsidP="00830E3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Review brand, including name, logo and marketing mechanisms.</w:t>
      </w:r>
    </w:p>
    <w:p w14:paraId="3EFE95AF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4BCAD45" w14:textId="3A53E17F" w:rsidR="001B1323" w:rsidRPr="00830E35" w:rsidRDefault="001B1323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Medium term actions (2022-2025):</w:t>
      </w:r>
    </w:p>
    <w:p w14:paraId="0D6E215E" w14:textId="77777777" w:rsidR="00830E35" w:rsidRPr="00830E35" w:rsidRDefault="00830E35" w:rsidP="00830E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Implement governance and brand reviews, enable monitoring and evaluation mechanisms.</w:t>
      </w:r>
    </w:p>
    <w:p w14:paraId="5502CFD7" w14:textId="77777777" w:rsidR="00830E35" w:rsidRPr="00830E35" w:rsidRDefault="00830E35" w:rsidP="00830E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Maintain income from philanthropy, fundraising and grant seeking to cover minimum operational funding costs.</w:t>
      </w:r>
    </w:p>
    <w:p w14:paraId="67EC49E3" w14:textId="77777777" w:rsidR="00830E35" w:rsidRPr="00830E35" w:rsidRDefault="00830E35" w:rsidP="00830E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In the event that operational funding is secured, undertake a review of policies and procedures, expand operations, increase engagement.</w:t>
      </w:r>
    </w:p>
    <w:p w14:paraId="04463015" w14:textId="77777777" w:rsid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EDB810C" w14:textId="3251B980" w:rsidR="00830E35" w:rsidRPr="00830E35" w:rsidRDefault="00830E35" w:rsidP="00830E35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b/>
          <w:sz w:val="22"/>
          <w:szCs w:val="22"/>
          <w:lang w:val="en-US"/>
        </w:rPr>
        <w:t>2030 goal:</w:t>
      </w:r>
    </w:p>
    <w:p w14:paraId="1ECD9361" w14:textId="77777777" w:rsidR="00830E35" w:rsidRDefault="00830E35" w:rsidP="00830E35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830E35">
        <w:rPr>
          <w:rFonts w:asciiTheme="majorHAnsi" w:hAnsiTheme="majorHAnsi" w:cstheme="majorHAnsi"/>
          <w:sz w:val="22"/>
          <w:szCs w:val="22"/>
          <w:lang w:val="en-US"/>
        </w:rPr>
        <w:t>We are a courageously independent and well-known NGO; we embody our values, work by our principles and implement our priorities.</w:t>
      </w:r>
      <w:bookmarkStart w:id="0" w:name="_x08bk2744mac" w:colFirst="0" w:colLast="0"/>
      <w:bookmarkStart w:id="1" w:name="_1r2q62wcngoy" w:colFirst="0" w:colLast="0"/>
      <w:bookmarkEnd w:id="0"/>
      <w:bookmarkEnd w:id="1"/>
    </w:p>
    <w:p w14:paraId="0182084F" w14:textId="08DD8A99" w:rsidR="00E40693" w:rsidRPr="009B50EF" w:rsidRDefault="00E40693" w:rsidP="00E40693">
      <w:pPr>
        <w:pStyle w:val="Title"/>
      </w:pPr>
      <w:r>
        <w:t>About</w:t>
      </w:r>
      <w:r w:rsidRPr="009B50EF">
        <w:t xml:space="preserve"> us</w:t>
      </w:r>
    </w:p>
    <w:p w14:paraId="1AA58FC9" w14:textId="25163993" w:rsidR="008F25C6" w:rsidRPr="009B50EF" w:rsidRDefault="006A143E" w:rsidP="009B50EF">
      <w:pPr>
        <w:rPr>
          <w:sz w:val="22"/>
          <w:szCs w:val="22"/>
        </w:rPr>
      </w:pPr>
      <w:r w:rsidRPr="009B50EF">
        <w:rPr>
          <w:sz w:val="22"/>
          <w:szCs w:val="22"/>
        </w:rPr>
        <w:t xml:space="preserve">Australian Women’s Health </w:t>
      </w:r>
      <w:r w:rsidR="002B5496" w:rsidRPr="009B50EF">
        <w:rPr>
          <w:sz w:val="22"/>
          <w:szCs w:val="22"/>
        </w:rPr>
        <w:t>Alliance</w:t>
      </w:r>
      <w:r w:rsidRPr="009B50EF">
        <w:rPr>
          <w:sz w:val="22"/>
          <w:szCs w:val="22"/>
        </w:rPr>
        <w:t xml:space="preserve"> provides a national voice on women’s health. </w:t>
      </w:r>
      <w:r w:rsidR="002B5496" w:rsidRPr="009B50EF">
        <w:rPr>
          <w:sz w:val="22"/>
          <w:szCs w:val="22"/>
        </w:rPr>
        <w:t>We highlight how gender shapes experiences of health and health care, recognising that women’s health is determined by social, cultural, environmental, and political factors.</w:t>
      </w:r>
    </w:p>
    <w:p w14:paraId="5C89C7E4" w14:textId="77777777" w:rsidR="008F25C6" w:rsidRPr="009B50EF" w:rsidRDefault="008F25C6" w:rsidP="009B50EF">
      <w:pPr>
        <w:rPr>
          <w:sz w:val="22"/>
          <w:szCs w:val="22"/>
        </w:rPr>
      </w:pPr>
    </w:p>
    <w:p w14:paraId="2CC666AC" w14:textId="77777777" w:rsidR="008F25C6" w:rsidRPr="009B50EF" w:rsidRDefault="006A143E" w:rsidP="009B50EF">
      <w:pPr>
        <w:pStyle w:val="Title"/>
      </w:pPr>
      <w:bookmarkStart w:id="2" w:name="_o7z4ctmkhc0d" w:colFirst="0" w:colLast="0"/>
      <w:bookmarkEnd w:id="2"/>
      <w:r w:rsidRPr="009B50EF">
        <w:t>Contact us</w:t>
      </w:r>
    </w:p>
    <w:p w14:paraId="7C251163" w14:textId="77777777" w:rsidR="00657BAD" w:rsidRPr="009B50EF" w:rsidRDefault="002B5496" w:rsidP="009B50EF">
      <w:pPr>
        <w:rPr>
          <w:sz w:val="22"/>
          <w:szCs w:val="22"/>
        </w:rPr>
      </w:pPr>
      <w:r w:rsidRPr="009B50EF">
        <w:rPr>
          <w:sz w:val="22"/>
          <w:szCs w:val="22"/>
        </w:rPr>
        <w:t>Enquiries:</w:t>
      </w:r>
      <w:r w:rsidRPr="009B50EF">
        <w:rPr>
          <w:sz w:val="22"/>
          <w:szCs w:val="22"/>
        </w:rPr>
        <w:tab/>
      </w:r>
      <w:hyperlink r:id="rId11" w:history="1">
        <w:r w:rsidRPr="009B50EF">
          <w:rPr>
            <w:rStyle w:val="Hyperlink"/>
            <w:sz w:val="22"/>
            <w:szCs w:val="22"/>
          </w:rPr>
          <w:t>Info@AustralianWomensHealth.org</w:t>
        </w:r>
      </w:hyperlink>
      <w:r w:rsidRPr="009B50EF">
        <w:rPr>
          <w:sz w:val="22"/>
          <w:szCs w:val="22"/>
        </w:rPr>
        <w:t xml:space="preserve"> </w:t>
      </w:r>
    </w:p>
    <w:p w14:paraId="3518F947" w14:textId="5F28FC33" w:rsidR="00657BAD" w:rsidRPr="009B50EF" w:rsidRDefault="00657BAD" w:rsidP="009B50EF">
      <w:pPr>
        <w:rPr>
          <w:sz w:val="22"/>
          <w:szCs w:val="22"/>
        </w:rPr>
      </w:pPr>
      <w:r w:rsidRPr="009B50EF">
        <w:rPr>
          <w:sz w:val="22"/>
          <w:szCs w:val="22"/>
        </w:rPr>
        <w:t xml:space="preserve">Grievances: </w:t>
      </w:r>
      <w:r w:rsidRPr="009B50EF">
        <w:rPr>
          <w:sz w:val="22"/>
          <w:szCs w:val="22"/>
        </w:rPr>
        <w:tab/>
      </w:r>
      <w:hyperlink r:id="rId12" w:history="1">
        <w:r w:rsidRPr="009B50EF">
          <w:rPr>
            <w:rStyle w:val="Hyperlink"/>
            <w:sz w:val="22"/>
            <w:szCs w:val="22"/>
          </w:rPr>
          <w:t>Chair@australianwomenshealth.org</w:t>
        </w:r>
      </w:hyperlink>
      <w:r w:rsidRPr="009B50EF">
        <w:rPr>
          <w:sz w:val="22"/>
          <w:szCs w:val="22"/>
        </w:rPr>
        <w:t xml:space="preserve"> or </w:t>
      </w:r>
      <w:hyperlink r:id="rId13" w:history="1">
        <w:r w:rsidRPr="009B50EF">
          <w:rPr>
            <w:rStyle w:val="Hyperlink"/>
            <w:sz w:val="22"/>
            <w:szCs w:val="22"/>
          </w:rPr>
          <w:t>DeputyChair@australianwomenshealth.org</w:t>
        </w:r>
      </w:hyperlink>
      <w:r w:rsidRPr="009B50EF">
        <w:rPr>
          <w:sz w:val="22"/>
          <w:szCs w:val="22"/>
        </w:rPr>
        <w:t xml:space="preserve"> </w:t>
      </w:r>
    </w:p>
    <w:p w14:paraId="6C605591" w14:textId="6E779CE0" w:rsidR="002B5496" w:rsidRPr="009B50EF" w:rsidRDefault="002B5496" w:rsidP="009B50EF">
      <w:pPr>
        <w:rPr>
          <w:sz w:val="22"/>
          <w:szCs w:val="22"/>
        </w:rPr>
      </w:pPr>
      <w:r w:rsidRPr="009B50EF">
        <w:rPr>
          <w:sz w:val="22"/>
          <w:szCs w:val="22"/>
        </w:rPr>
        <w:t>Web:</w:t>
      </w:r>
      <w:r w:rsidRPr="009B50EF">
        <w:rPr>
          <w:sz w:val="22"/>
          <w:szCs w:val="22"/>
        </w:rPr>
        <w:tab/>
      </w:r>
      <w:r w:rsidRPr="009B50EF">
        <w:rPr>
          <w:sz w:val="22"/>
          <w:szCs w:val="22"/>
        </w:rPr>
        <w:tab/>
      </w:r>
      <w:hyperlink r:id="rId14" w:history="1">
        <w:r w:rsidRPr="009B50EF">
          <w:rPr>
            <w:rStyle w:val="Hyperlink"/>
            <w:sz w:val="22"/>
            <w:szCs w:val="22"/>
          </w:rPr>
          <w:t>www.AustralianWomensHealth.org</w:t>
        </w:r>
      </w:hyperlink>
      <w:r w:rsidRPr="009B50EF">
        <w:rPr>
          <w:sz w:val="22"/>
          <w:szCs w:val="22"/>
        </w:rPr>
        <w:t xml:space="preserve">   </w:t>
      </w:r>
    </w:p>
    <w:p w14:paraId="46BF9030" w14:textId="77777777" w:rsidR="008F25C6" w:rsidRPr="009B50EF" w:rsidRDefault="008F25C6" w:rsidP="009B50EF">
      <w:pPr>
        <w:rPr>
          <w:sz w:val="22"/>
          <w:szCs w:val="22"/>
        </w:rPr>
      </w:pPr>
    </w:p>
    <w:p w14:paraId="3E0B6CA9" w14:textId="22E66D26" w:rsidR="008F25C6" w:rsidRPr="009B50EF" w:rsidRDefault="00486CF6" w:rsidP="009B50EF">
      <w:pPr>
        <w:pStyle w:val="Title"/>
      </w:pPr>
      <w:bookmarkStart w:id="3" w:name="_j43bgxhp4yc1" w:colFirst="0" w:colLast="0"/>
      <w:bookmarkEnd w:id="3"/>
      <w:r>
        <w:t>Suggested c</w:t>
      </w:r>
      <w:r w:rsidR="006A143E" w:rsidRPr="009B50EF">
        <w:t>itation</w:t>
      </w:r>
    </w:p>
    <w:p w14:paraId="57546676" w14:textId="2AD8F247" w:rsidR="008F25C6" w:rsidRPr="009B50EF" w:rsidRDefault="006A143E" w:rsidP="009B50EF">
      <w:pPr>
        <w:rPr>
          <w:sz w:val="22"/>
          <w:szCs w:val="22"/>
        </w:rPr>
      </w:pPr>
      <w:r w:rsidRPr="009B50EF">
        <w:rPr>
          <w:sz w:val="22"/>
          <w:szCs w:val="22"/>
        </w:rPr>
        <w:t xml:space="preserve">Australian Women’s Health </w:t>
      </w:r>
      <w:r w:rsidR="006B5D67" w:rsidRPr="009B50EF">
        <w:rPr>
          <w:sz w:val="22"/>
          <w:szCs w:val="22"/>
        </w:rPr>
        <w:t>Alliance</w:t>
      </w:r>
      <w:r w:rsidRPr="009B50EF">
        <w:rPr>
          <w:sz w:val="22"/>
          <w:szCs w:val="22"/>
        </w:rPr>
        <w:t>,</w:t>
      </w:r>
      <w:r w:rsidR="00830E35">
        <w:rPr>
          <w:sz w:val="22"/>
          <w:szCs w:val="22"/>
        </w:rPr>
        <w:t xml:space="preserve"> </w:t>
      </w:r>
      <w:r w:rsidR="00830E35">
        <w:rPr>
          <w:i/>
          <w:iCs/>
          <w:sz w:val="22"/>
          <w:szCs w:val="22"/>
        </w:rPr>
        <w:t>Strategic Plan 2021-2025</w:t>
      </w:r>
      <w:r w:rsidR="003E0B33" w:rsidRPr="009B50EF">
        <w:rPr>
          <w:sz w:val="22"/>
          <w:szCs w:val="22"/>
        </w:rPr>
        <w:t xml:space="preserve">, Australian Women’s Health Alliance, 2023. </w:t>
      </w:r>
    </w:p>
    <w:p w14:paraId="5BEB9941" w14:textId="77777777" w:rsidR="008F25C6" w:rsidRPr="009B50EF" w:rsidRDefault="008F25C6" w:rsidP="009B50EF">
      <w:pPr>
        <w:rPr>
          <w:sz w:val="22"/>
          <w:szCs w:val="22"/>
        </w:rPr>
      </w:pPr>
    </w:p>
    <w:p w14:paraId="78632B07" w14:textId="77777777" w:rsidR="002B5496" w:rsidRPr="009B50EF" w:rsidRDefault="002B5496" w:rsidP="009B50EF">
      <w:pPr>
        <w:rPr>
          <w:sz w:val="22"/>
          <w:szCs w:val="22"/>
        </w:rPr>
      </w:pPr>
    </w:p>
    <w:p w14:paraId="0F769246" w14:textId="77777777" w:rsidR="008F25C6" w:rsidRPr="009B50EF" w:rsidRDefault="006A143E" w:rsidP="009B50EF">
      <w:pPr>
        <w:rPr>
          <w:i/>
          <w:sz w:val="22"/>
          <w:szCs w:val="22"/>
        </w:rPr>
      </w:pPr>
      <w:r w:rsidRPr="009B50EF">
        <w:rPr>
          <w:i/>
          <w:sz w:val="22"/>
          <w:szCs w:val="22"/>
        </w:rPr>
        <w:t>We acknowledge the Traditional Custodians of the lands and waters on which we live and work.</w:t>
      </w:r>
    </w:p>
    <w:p w14:paraId="52D63C1A" w14:textId="77777777" w:rsidR="008F25C6" w:rsidRPr="009B50EF" w:rsidRDefault="006A143E" w:rsidP="009B50EF">
      <w:pPr>
        <w:rPr>
          <w:rFonts w:ascii="Rubik" w:eastAsia="Rubik" w:hAnsi="Rubik" w:cs="Rubik"/>
          <w:color w:val="5A006F"/>
          <w:sz w:val="22"/>
          <w:szCs w:val="22"/>
        </w:rPr>
      </w:pPr>
      <w:r w:rsidRPr="009B50EF">
        <w:rPr>
          <w:i/>
          <w:sz w:val="22"/>
          <w:szCs w:val="22"/>
        </w:rPr>
        <w:t>We pay our respect to Elders past and present. Sovereignty has never been ceded.</w:t>
      </w:r>
    </w:p>
    <w:p w14:paraId="7FCCA5E1" w14:textId="77777777" w:rsidR="008F25C6" w:rsidRPr="00F35717" w:rsidRDefault="008F25C6">
      <w:pPr>
        <w:rPr>
          <w:rFonts w:asciiTheme="majorHAnsi" w:eastAsia="Rubik" w:hAnsiTheme="majorHAnsi" w:cstheme="majorHAnsi"/>
          <w:color w:val="5A006F"/>
          <w:sz w:val="22"/>
          <w:szCs w:val="22"/>
        </w:rPr>
      </w:pPr>
    </w:p>
    <w:p w14:paraId="6DFE13E0" w14:textId="77777777" w:rsidR="008F25C6" w:rsidRPr="00F35717" w:rsidRDefault="008F25C6">
      <w:pPr>
        <w:rPr>
          <w:rFonts w:asciiTheme="majorHAnsi" w:eastAsia="Rubik" w:hAnsiTheme="majorHAnsi" w:cstheme="majorHAnsi"/>
          <w:color w:val="5A006F"/>
          <w:sz w:val="22"/>
          <w:szCs w:val="22"/>
        </w:rPr>
      </w:pPr>
    </w:p>
    <w:sectPr w:rsidR="008F25C6" w:rsidRPr="00F35717" w:rsidSect="002B5496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9" w:h="16834"/>
      <w:pgMar w:top="212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CDF7" w14:textId="77777777" w:rsidR="00A97E15" w:rsidRDefault="00A97E15">
      <w:pPr>
        <w:spacing w:line="240" w:lineRule="auto"/>
      </w:pPr>
      <w:r>
        <w:separator/>
      </w:r>
    </w:p>
  </w:endnote>
  <w:endnote w:type="continuationSeparator" w:id="0">
    <w:p w14:paraId="5BF8A918" w14:textId="77777777" w:rsidR="00A97E15" w:rsidRDefault="00A9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10CD" w14:textId="77777777" w:rsidR="008F25C6" w:rsidRDefault="006A143E">
    <w:pPr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28D0771B" wp14:editId="374258FF">
          <wp:simplePos x="0" y="0"/>
          <wp:positionH relativeFrom="column">
            <wp:posOffset>-964565</wp:posOffset>
          </wp:positionH>
          <wp:positionV relativeFrom="paragraph">
            <wp:posOffset>523875</wp:posOffset>
          </wp:positionV>
          <wp:extent cx="7631430" cy="125730"/>
          <wp:effectExtent l="0" t="0" r="0" b="0"/>
          <wp:wrapNone/>
          <wp:docPr id="854930143" name="Picture 8549301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930143" name="Picture 8549301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1430" cy="12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1F0F" w14:textId="77777777" w:rsidR="008F25C6" w:rsidRDefault="006A143E">
    <w:pPr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08BC56BF" wp14:editId="30D312D9">
          <wp:simplePos x="0" y="0"/>
          <wp:positionH relativeFrom="column">
            <wp:posOffset>-896620</wp:posOffset>
          </wp:positionH>
          <wp:positionV relativeFrom="paragraph">
            <wp:posOffset>521970</wp:posOffset>
          </wp:positionV>
          <wp:extent cx="7632000" cy="133200"/>
          <wp:effectExtent l="0" t="0" r="0" b="635"/>
          <wp:wrapNone/>
          <wp:docPr id="1877179319" name="Picture 18771793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179319" name="Picture 18771793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000" cy="13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BFB7" w14:textId="77777777" w:rsidR="00A97E15" w:rsidRDefault="00A97E15">
      <w:pPr>
        <w:spacing w:line="240" w:lineRule="auto"/>
      </w:pPr>
      <w:r>
        <w:separator/>
      </w:r>
    </w:p>
  </w:footnote>
  <w:footnote w:type="continuationSeparator" w:id="0">
    <w:p w14:paraId="23F1B117" w14:textId="77777777" w:rsidR="00A97E15" w:rsidRDefault="00A97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86F6" w14:textId="77777777" w:rsidR="008F25C6" w:rsidRDefault="006A143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B69850" wp14:editId="260C0C58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533400" cy="466725"/>
          <wp:effectExtent l="0" t="0" r="0" b="0"/>
          <wp:wrapNone/>
          <wp:docPr id="1781817302" name="Picture 1781817302" descr="Australian Women's Health Alliance logo with four icons only, no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17302" name="Picture 1781817302" descr="Australian Women's Health Alliance logo with four icons only, no text"/>
                  <pic:cNvPicPr preferRelativeResize="0"/>
                </pic:nvPicPr>
                <pic:blipFill>
                  <a:blip r:embed="rId1"/>
                  <a:srcRect r="67058"/>
                  <a:stretch>
                    <a:fillRect/>
                  </a:stretch>
                </pic:blipFill>
                <pic:spPr>
                  <a:xfrm>
                    <a:off x="0" y="0"/>
                    <a:ext cx="5334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044836" w14:textId="77777777" w:rsidR="008F25C6" w:rsidRDefault="008F25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6DE9" w14:textId="77777777" w:rsidR="008F25C6" w:rsidRDefault="006A143E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E9014D3" wp14:editId="16274452">
          <wp:simplePos x="0" y="0"/>
          <wp:positionH relativeFrom="page">
            <wp:posOffset>-1424</wp:posOffset>
          </wp:positionH>
          <wp:positionV relativeFrom="page">
            <wp:posOffset>-6985</wp:posOffset>
          </wp:positionV>
          <wp:extent cx="7938000" cy="46800"/>
          <wp:effectExtent l="0" t="0" r="0" b="0"/>
          <wp:wrapNone/>
          <wp:docPr id="1424279754" name="Picture 14242797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279754" name="Picture 14242797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8000" cy="4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40AA61" wp14:editId="0636B433">
          <wp:extent cx="1622502" cy="461963"/>
          <wp:effectExtent l="0" t="0" r="0" b="0"/>
          <wp:docPr id="52053682" name="Picture 52053682" descr="Australian Women's Health Allian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53682" name="Picture 52053682" descr="Australian Women's Health Alliance logo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502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DA3"/>
    <w:multiLevelType w:val="hybridMultilevel"/>
    <w:tmpl w:val="A044B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0696A"/>
    <w:multiLevelType w:val="hybridMultilevel"/>
    <w:tmpl w:val="FD74D574"/>
    <w:lvl w:ilvl="0" w:tplc="49FC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A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8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07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48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CA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2C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6A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B46"/>
    <w:multiLevelType w:val="hybridMultilevel"/>
    <w:tmpl w:val="687E2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E0400"/>
    <w:multiLevelType w:val="hybridMultilevel"/>
    <w:tmpl w:val="265E2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E44F0"/>
    <w:multiLevelType w:val="hybridMultilevel"/>
    <w:tmpl w:val="F416A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3476"/>
    <w:multiLevelType w:val="hybridMultilevel"/>
    <w:tmpl w:val="AD54F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C90"/>
    <w:multiLevelType w:val="hybridMultilevel"/>
    <w:tmpl w:val="207CA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86190"/>
    <w:multiLevelType w:val="hybridMultilevel"/>
    <w:tmpl w:val="34EA5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876BA"/>
    <w:multiLevelType w:val="hybridMultilevel"/>
    <w:tmpl w:val="05F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7745"/>
    <w:multiLevelType w:val="hybridMultilevel"/>
    <w:tmpl w:val="C4908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F37D9"/>
    <w:multiLevelType w:val="hybridMultilevel"/>
    <w:tmpl w:val="84145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07AF"/>
    <w:multiLevelType w:val="hybridMultilevel"/>
    <w:tmpl w:val="0734D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76641">
    <w:abstractNumId w:val="1"/>
  </w:num>
  <w:num w:numId="2" w16cid:durableId="1683387496">
    <w:abstractNumId w:val="8"/>
  </w:num>
  <w:num w:numId="3" w16cid:durableId="259066590">
    <w:abstractNumId w:val="10"/>
  </w:num>
  <w:num w:numId="4" w16cid:durableId="212159574">
    <w:abstractNumId w:val="4"/>
  </w:num>
  <w:num w:numId="5" w16cid:durableId="387386899">
    <w:abstractNumId w:val="11"/>
  </w:num>
  <w:num w:numId="6" w16cid:durableId="722750451">
    <w:abstractNumId w:val="9"/>
  </w:num>
  <w:num w:numId="7" w16cid:durableId="199126655">
    <w:abstractNumId w:val="7"/>
  </w:num>
  <w:num w:numId="8" w16cid:durableId="144321803">
    <w:abstractNumId w:val="5"/>
  </w:num>
  <w:num w:numId="9" w16cid:durableId="1319730715">
    <w:abstractNumId w:val="2"/>
  </w:num>
  <w:num w:numId="10" w16cid:durableId="1290435420">
    <w:abstractNumId w:val="6"/>
  </w:num>
  <w:num w:numId="11" w16cid:durableId="237713307">
    <w:abstractNumId w:val="0"/>
  </w:num>
  <w:num w:numId="12" w16cid:durableId="74850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1A"/>
    <w:rsid w:val="000351CE"/>
    <w:rsid w:val="000424B9"/>
    <w:rsid w:val="0009531A"/>
    <w:rsid w:val="000D0011"/>
    <w:rsid w:val="000E6344"/>
    <w:rsid w:val="00151DE8"/>
    <w:rsid w:val="00167ED4"/>
    <w:rsid w:val="0018594A"/>
    <w:rsid w:val="001B1323"/>
    <w:rsid w:val="002234B8"/>
    <w:rsid w:val="002B5496"/>
    <w:rsid w:val="00325D78"/>
    <w:rsid w:val="003326A8"/>
    <w:rsid w:val="00343D68"/>
    <w:rsid w:val="003467DD"/>
    <w:rsid w:val="00364D65"/>
    <w:rsid w:val="003B1B44"/>
    <w:rsid w:val="003E0B33"/>
    <w:rsid w:val="003E198C"/>
    <w:rsid w:val="003E3C1C"/>
    <w:rsid w:val="00453C39"/>
    <w:rsid w:val="004652AC"/>
    <w:rsid w:val="00486CF6"/>
    <w:rsid w:val="004B7AE5"/>
    <w:rsid w:val="004B7D31"/>
    <w:rsid w:val="00564B33"/>
    <w:rsid w:val="005714CD"/>
    <w:rsid w:val="00591FFB"/>
    <w:rsid w:val="00621D07"/>
    <w:rsid w:val="00657BAD"/>
    <w:rsid w:val="006A143E"/>
    <w:rsid w:val="006B5D67"/>
    <w:rsid w:val="006D7C7F"/>
    <w:rsid w:val="006E1BDC"/>
    <w:rsid w:val="006F50A7"/>
    <w:rsid w:val="007404A7"/>
    <w:rsid w:val="00761C40"/>
    <w:rsid w:val="0078498B"/>
    <w:rsid w:val="007B183A"/>
    <w:rsid w:val="007E59A1"/>
    <w:rsid w:val="00830E35"/>
    <w:rsid w:val="00844B4E"/>
    <w:rsid w:val="008A1350"/>
    <w:rsid w:val="008F0B20"/>
    <w:rsid w:val="008F25C6"/>
    <w:rsid w:val="009248CE"/>
    <w:rsid w:val="009278B3"/>
    <w:rsid w:val="009515E9"/>
    <w:rsid w:val="009B50EF"/>
    <w:rsid w:val="009C2DD7"/>
    <w:rsid w:val="00A1436A"/>
    <w:rsid w:val="00A150ED"/>
    <w:rsid w:val="00A94B2F"/>
    <w:rsid w:val="00A97DF0"/>
    <w:rsid w:val="00A97E15"/>
    <w:rsid w:val="00B11208"/>
    <w:rsid w:val="00BB2C79"/>
    <w:rsid w:val="00BD24B9"/>
    <w:rsid w:val="00C524BF"/>
    <w:rsid w:val="00C92745"/>
    <w:rsid w:val="00CD1674"/>
    <w:rsid w:val="00CD7EBF"/>
    <w:rsid w:val="00D17014"/>
    <w:rsid w:val="00D4649C"/>
    <w:rsid w:val="00DA1391"/>
    <w:rsid w:val="00DB5B54"/>
    <w:rsid w:val="00DE433E"/>
    <w:rsid w:val="00E40693"/>
    <w:rsid w:val="00E90AB3"/>
    <w:rsid w:val="00EB4325"/>
    <w:rsid w:val="00EE5F46"/>
    <w:rsid w:val="00F10D8C"/>
    <w:rsid w:val="00F35717"/>
    <w:rsid w:val="00F54E01"/>
    <w:rsid w:val="00F6463A"/>
    <w:rsid w:val="00F66AFB"/>
    <w:rsid w:val="00FB5E18"/>
    <w:rsid w:val="110904CB"/>
    <w:rsid w:val="1EC579C4"/>
    <w:rsid w:val="30C07CB1"/>
    <w:rsid w:val="39BB0285"/>
    <w:rsid w:val="675BD7E8"/>
    <w:rsid w:val="6BC746DD"/>
    <w:rsid w:val="7B6EA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9D46"/>
  <w15:docId w15:val="{91BEDE28-2A20-44F4-85ED-AB2E660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Rubik" w:eastAsia="Rubik" w:hAnsi="Rubik" w:cs="Rubik"/>
      <w:color w:val="5A006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320"/>
      <w:outlineLvl w:val="1"/>
    </w:pPr>
    <w:rPr>
      <w:rFonts w:ascii="Rubik" w:eastAsia="Rubik" w:hAnsi="Rubik" w:cs="Rubik"/>
      <w:color w:val="5A006F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</w:pPr>
    <w:rPr>
      <w:rFonts w:ascii="Rubik" w:eastAsia="Rubik" w:hAnsi="Rubik" w:cs="Rubik"/>
      <w:color w:val="5A006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Rubik" w:eastAsia="Rubik" w:hAnsi="Rubik" w:cs="Rubik"/>
      <w:color w:val="5A006F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14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E"/>
  </w:style>
  <w:style w:type="paragraph" w:styleId="Footer">
    <w:name w:val="footer"/>
    <w:basedOn w:val="Normal"/>
    <w:link w:val="FooterChar"/>
    <w:uiPriority w:val="99"/>
    <w:unhideWhenUsed/>
    <w:rsid w:val="006A14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E"/>
  </w:style>
  <w:style w:type="character" w:styleId="Hyperlink">
    <w:name w:val="Hyperlink"/>
    <w:basedOn w:val="DefaultParagraphFont"/>
    <w:uiPriority w:val="99"/>
    <w:unhideWhenUsed/>
    <w:rsid w:val="002B5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9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B5496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364D6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4D65"/>
  </w:style>
  <w:style w:type="paragraph" w:styleId="EndnoteText">
    <w:name w:val="endnote text"/>
    <w:basedOn w:val="Normal"/>
    <w:link w:val="EndnoteTextChar"/>
    <w:uiPriority w:val="99"/>
    <w:unhideWhenUsed/>
    <w:rsid w:val="00364D65"/>
    <w:pPr>
      <w:spacing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364D65"/>
  </w:style>
  <w:style w:type="character" w:customStyle="1" w:styleId="normaltextrun">
    <w:name w:val="normaltextrun"/>
    <w:basedOn w:val="DefaultParagraphFont"/>
    <w:rsid w:val="00364D65"/>
  </w:style>
  <w:style w:type="character" w:styleId="FootnoteReference">
    <w:name w:val="footnote reference"/>
    <w:basedOn w:val="DefaultParagraphFont"/>
    <w:uiPriority w:val="99"/>
    <w:semiHidden/>
    <w:unhideWhenUsed/>
    <w:rsid w:val="00364D6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D65"/>
  </w:style>
  <w:style w:type="paragraph" w:styleId="FootnoteText">
    <w:name w:val="footnote text"/>
    <w:basedOn w:val="Normal"/>
    <w:link w:val="FootnoteTextChar"/>
    <w:uiPriority w:val="99"/>
    <w:semiHidden/>
    <w:unhideWhenUsed/>
    <w:rsid w:val="00364D65"/>
    <w:pPr>
      <w:spacing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364D65"/>
  </w:style>
  <w:style w:type="character" w:styleId="FollowedHyperlink">
    <w:name w:val="FollowedHyperlink"/>
    <w:basedOn w:val="DefaultParagraphFont"/>
    <w:uiPriority w:val="99"/>
    <w:semiHidden/>
    <w:unhideWhenUsed/>
    <w:rsid w:val="00C92745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B1323"/>
  </w:style>
  <w:style w:type="character" w:customStyle="1" w:styleId="Heading1Char">
    <w:name w:val="Heading 1 Char"/>
    <w:basedOn w:val="DefaultParagraphFont"/>
    <w:link w:val="Heading1"/>
    <w:uiPriority w:val="9"/>
    <w:rsid w:val="001B1323"/>
    <w:rPr>
      <w:rFonts w:ascii="Rubik" w:eastAsia="Rubik" w:hAnsi="Rubik" w:cs="Rubik"/>
      <w:color w:val="5A006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40693"/>
    <w:rPr>
      <w:rFonts w:ascii="Rubik" w:eastAsia="Rubik" w:hAnsi="Rubik" w:cs="Rubik"/>
      <w:color w:val="5A006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putyChair@australianwomenshealth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ir@australianwomenshealth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ustralianWomensHealt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ustralianWomensHealt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nnaAguilar\Downloads\Policy%20brief_Document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9B620C901544A72D510C44F6C46A" ma:contentTypeVersion="13" ma:contentTypeDescription="Create a new document." ma:contentTypeScope="" ma:versionID="ed4e7f601148ca48e2aa01b8d973d766">
  <xsd:schema xmlns:xsd="http://www.w3.org/2001/XMLSchema" xmlns:xs="http://www.w3.org/2001/XMLSchema" xmlns:p="http://schemas.microsoft.com/office/2006/metadata/properties" xmlns:ns2="153f973e-18e3-4683-9db9-a8b30f12ddca" xmlns:ns3="5b707c4a-f0af-4a30-ae8a-e74992196a0f" targetNamespace="http://schemas.microsoft.com/office/2006/metadata/properties" ma:root="true" ma:fieldsID="d091487e1e15535c11344703c2821d59" ns2:_="" ns3:_="">
    <xsd:import namespace="153f973e-18e3-4683-9db9-a8b30f12ddca"/>
    <xsd:import namespace="5b707c4a-f0af-4a30-ae8a-e74992196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973e-18e3-4683-9db9-a8b30f12d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7082179-ca94-4778-9afe-36ab1981a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07c4a-f0af-4a30-ae8a-e74992196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ea0fec-a4e5-4c0e-bb5d-a316e2eafeb6}" ma:internalName="TaxCatchAll" ma:showField="CatchAllData" ma:web="5b707c4a-f0af-4a30-ae8a-e74992196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3f973e-18e3-4683-9db9-a8b30f12ddca">
      <Terms xmlns="http://schemas.microsoft.com/office/infopath/2007/PartnerControls"/>
    </lcf76f155ced4ddcb4097134ff3c332f>
    <TaxCatchAll xmlns="5b707c4a-f0af-4a30-ae8a-e74992196a0f" xsi:nil="true"/>
    <MediaLengthInSeconds xmlns="153f973e-18e3-4683-9db9-a8b30f12ddca" xsi:nil="true"/>
    <SharedWithUsers xmlns="5b707c4a-f0af-4a30-ae8a-e74992196a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A187AD-0EDB-4B4C-AC27-3835DA922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D438C-5D9E-4BFD-86CF-B55DEA16F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BE1459-18F0-430F-BC61-C2A3BFC7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f973e-18e3-4683-9db9-a8b30f12ddca"/>
    <ds:schemaRef ds:uri="5b707c4a-f0af-4a30-ae8a-e74992196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A6787-EE38-4415-91C1-925AF946DD56}">
  <ds:schemaRefs>
    <ds:schemaRef ds:uri="http://schemas.microsoft.com/office/2006/metadata/properties"/>
    <ds:schemaRef ds:uri="http://schemas.microsoft.com/office/infopath/2007/PartnerControls"/>
    <ds:schemaRef ds:uri="153f973e-18e3-4683-9db9-a8b30f12ddca"/>
    <ds:schemaRef ds:uri="5b707c4a-f0af-4a30-ae8a-e74992196a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brief_Document Style Template</Template>
  <TotalTime>11</TotalTime>
  <Pages>4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Australian Womens Health Alliance</dc:creator>
  <cp:lastModifiedBy>Bonnie Laxton-Blinkhorn</cp:lastModifiedBy>
  <cp:revision>16</cp:revision>
  <cp:lastPrinted>2023-07-17T03:04:00Z</cp:lastPrinted>
  <dcterms:created xsi:type="dcterms:W3CDTF">2023-07-21T00:19:00Z</dcterms:created>
  <dcterms:modified xsi:type="dcterms:W3CDTF">2023-07-21T05:31:00Z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0x010100F5319B620C901544A72D510C44F6C46A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