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3A4C" w14:textId="25833BDC" w:rsidR="008F25C6" w:rsidRDefault="006A143E">
      <w:pPr>
        <w:pStyle w:val="Heading1"/>
      </w:pPr>
      <w:bookmarkStart w:id="0" w:name="_7yqv4eq7a6v8" w:colFirst="0" w:colLast="0"/>
      <w:bookmarkEnd w:id="0"/>
      <w:r>
        <w:t>Policy brief</w:t>
      </w:r>
      <w:r w:rsidR="00114714">
        <w:t xml:space="preserve"> </w:t>
      </w:r>
    </w:p>
    <w:p w14:paraId="65AF30BA" w14:textId="69BA718C" w:rsidR="008F25C6" w:rsidRDefault="00240118" w:rsidP="001D0F3B">
      <w:pPr>
        <w:pStyle w:val="Heading2"/>
        <w:spacing w:after="0"/>
      </w:pPr>
      <w:bookmarkStart w:id="1" w:name="_usdc0nj6twdp" w:colFirst="0" w:colLast="0"/>
      <w:bookmarkEnd w:id="1"/>
      <w:r>
        <w:t xml:space="preserve">Rebalancing </w:t>
      </w:r>
      <w:r w:rsidR="00EF4A17">
        <w:t>c</w:t>
      </w:r>
      <w:r>
        <w:t xml:space="preserve">are, </w:t>
      </w:r>
      <w:proofErr w:type="gramStart"/>
      <w:r w:rsidR="00EF4A17">
        <w:t>w</w:t>
      </w:r>
      <w:r>
        <w:t>ork</w:t>
      </w:r>
      <w:proofErr w:type="gramEnd"/>
      <w:r>
        <w:t xml:space="preserve"> and </w:t>
      </w:r>
      <w:r w:rsidR="00EF4A17">
        <w:t>h</w:t>
      </w:r>
      <w:r>
        <w:t>ealth</w:t>
      </w:r>
    </w:p>
    <w:p w14:paraId="76125069" w14:textId="05FAADE2" w:rsidR="001D0F3B" w:rsidRPr="000311D8" w:rsidRDefault="001D0F3B" w:rsidP="001D0F3B">
      <w:pPr>
        <w:rPr>
          <w:sz w:val="24"/>
          <w:szCs w:val="24"/>
        </w:rPr>
      </w:pPr>
    </w:p>
    <w:p w14:paraId="0CED357A" w14:textId="6D97281A" w:rsidR="008F25C6" w:rsidRDefault="000311D8" w:rsidP="001D0F3B">
      <w:pPr>
        <w:pStyle w:val="Title"/>
      </w:pPr>
      <w:bookmarkStart w:id="2" w:name="_mxjzdfgz5el5" w:colFirst="0" w:colLast="0"/>
      <w:bookmarkEnd w:id="2"/>
      <w:r>
        <w:t>Key messages</w:t>
      </w:r>
      <w:r w:rsidR="00114714">
        <w:t xml:space="preserve"> </w:t>
      </w:r>
    </w:p>
    <w:p w14:paraId="212EE3C4" w14:textId="77777777"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 xml:space="preserve">An intersectional gendered lens on health highlights inequities in both paid and unpaid care work most often performed by women. </w:t>
      </w:r>
    </w:p>
    <w:p w14:paraId="1EE49CDD" w14:textId="77777777"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 xml:space="preserve">Women are more likely to be informal, unpaid carers, and are more likely to be main carers. Aboriginal and/or Torres Strait Islander people, people with migration backgrounds from non-English speaking countries and people with disability are also more likely to be carers. </w:t>
      </w:r>
    </w:p>
    <w:p w14:paraId="436288C7" w14:textId="300AFA0D"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 xml:space="preserve">The longer a person is a carer the greater the negative impacts on their health, mental </w:t>
      </w:r>
      <w:proofErr w:type="gramStart"/>
      <w:r w:rsidRPr="002E5646">
        <w:rPr>
          <w:rStyle w:val="normaltextrun"/>
          <w:rFonts w:eastAsia="Helvetica Neue"/>
          <w:color w:val="000000"/>
          <w:sz w:val="22"/>
          <w:szCs w:val="22"/>
          <w:shd w:val="clear" w:color="auto" w:fill="FFFFFF"/>
        </w:rPr>
        <w:t>health</w:t>
      </w:r>
      <w:proofErr w:type="gramEnd"/>
      <w:r w:rsidRPr="002E5646">
        <w:rPr>
          <w:rStyle w:val="normaltextrun"/>
          <w:rFonts w:eastAsia="Helvetica Neue"/>
          <w:color w:val="000000"/>
          <w:sz w:val="22"/>
          <w:szCs w:val="22"/>
          <w:shd w:val="clear" w:color="auto" w:fill="FFFFFF"/>
        </w:rPr>
        <w:t xml:space="preserve"> and socioeconomic outcomes. </w:t>
      </w:r>
    </w:p>
    <w:p w14:paraId="36260080" w14:textId="77777777"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 xml:space="preserve">The gendered nature of unpaid household and caring work therefore determines women’s health and wellbeing in negative ways.  </w:t>
      </w:r>
    </w:p>
    <w:p w14:paraId="6AEE0FE8" w14:textId="77777777"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Women also make up more than 80% of the health workforce, very often in frontline caring roles, which, in a stretched health system, has led to burnout and a range of negative health impacts.</w:t>
      </w:r>
    </w:p>
    <w:p w14:paraId="49E51637" w14:textId="77777777" w:rsidR="00DD7CE7" w:rsidRPr="002E5646" w:rsidRDefault="00DD7CE7" w:rsidP="002E5646">
      <w:pPr>
        <w:pStyle w:val="ListParagraph"/>
        <w:numPr>
          <w:ilvl w:val="0"/>
          <w:numId w:val="2"/>
        </w:numPr>
        <w:ind w:left="714" w:hanging="357"/>
        <w:rPr>
          <w:rStyle w:val="normaltextrun"/>
          <w:rFonts w:eastAsia="Helvetica Neue"/>
          <w:color w:val="000000"/>
          <w:sz w:val="22"/>
          <w:szCs w:val="22"/>
          <w:shd w:val="clear" w:color="auto" w:fill="FFFFFF"/>
        </w:rPr>
      </w:pPr>
      <w:r w:rsidRPr="002E5646">
        <w:rPr>
          <w:rStyle w:val="normaltextrun"/>
          <w:rFonts w:eastAsia="Helvetica Neue"/>
          <w:color w:val="000000"/>
          <w:sz w:val="22"/>
          <w:szCs w:val="22"/>
          <w:shd w:val="clear" w:color="auto" w:fill="FFFFFF"/>
        </w:rPr>
        <w:t>Gender equitable preventive health requires workforce strategies to reduce gender segregation and address burnout, reform to social protections and transformation of heteronormative gender roles.</w:t>
      </w:r>
    </w:p>
    <w:p w14:paraId="7FB2834C" w14:textId="77777777" w:rsidR="008F25C6" w:rsidRPr="00114714" w:rsidRDefault="008F25C6" w:rsidP="001D0F3B">
      <w:pPr>
        <w:pStyle w:val="Title"/>
        <w:rPr>
          <w:sz w:val="22"/>
          <w:szCs w:val="22"/>
        </w:rPr>
      </w:pPr>
      <w:bookmarkStart w:id="3" w:name="_w8pe7jwkws39" w:colFirst="0" w:colLast="0"/>
      <w:bookmarkEnd w:id="3"/>
    </w:p>
    <w:p w14:paraId="7E63E5D4" w14:textId="56A87119" w:rsidR="008F25C6" w:rsidRDefault="00DD7CE7" w:rsidP="001D0F3B">
      <w:pPr>
        <w:pStyle w:val="Title"/>
      </w:pPr>
      <w:bookmarkStart w:id="4" w:name="_6orn3b6nvj35" w:colFirst="0" w:colLast="0"/>
      <w:bookmarkEnd w:id="4"/>
      <w:r>
        <w:t>Purpose of this brief</w:t>
      </w:r>
    </w:p>
    <w:p w14:paraId="5763D91F" w14:textId="50AE6F28" w:rsidR="006A26AB" w:rsidRPr="002E5646" w:rsidRDefault="006A26AB" w:rsidP="002E5646">
      <w:pPr>
        <w:rPr>
          <w:sz w:val="22"/>
          <w:szCs w:val="22"/>
          <w:lang w:val="en-AU"/>
        </w:rPr>
      </w:pPr>
      <w:r w:rsidRPr="002E5646">
        <w:rPr>
          <w:color w:val="000000" w:themeColor="text1"/>
          <w:sz w:val="22"/>
          <w:szCs w:val="22"/>
        </w:rPr>
        <w:t xml:space="preserve">Australian Women’s Health </w:t>
      </w:r>
      <w:r w:rsidR="0033737A">
        <w:rPr>
          <w:color w:val="000000" w:themeColor="text1"/>
          <w:sz w:val="22"/>
          <w:szCs w:val="22"/>
        </w:rPr>
        <w:t>Alliance</w:t>
      </w:r>
      <w:r w:rsidRPr="002E5646">
        <w:rPr>
          <w:sz w:val="22"/>
          <w:szCs w:val="22"/>
          <w:lang w:val="en-AU"/>
        </w:rPr>
        <w:t xml:space="preserve"> works to articulate the policies and actions necessary to improve health outcomes for women. </w:t>
      </w:r>
      <w:r w:rsidRPr="002E5646">
        <w:rPr>
          <w:sz w:val="22"/>
          <w:szCs w:val="22"/>
        </w:rPr>
        <w:t xml:space="preserve">The purpose of this brief is to put an intersectional gender lens over the relationship between care, </w:t>
      </w:r>
      <w:proofErr w:type="gramStart"/>
      <w:r w:rsidRPr="002E5646">
        <w:rPr>
          <w:sz w:val="22"/>
          <w:szCs w:val="22"/>
        </w:rPr>
        <w:t>work</w:t>
      </w:r>
      <w:proofErr w:type="gramEnd"/>
      <w:r w:rsidRPr="002E5646">
        <w:rPr>
          <w:sz w:val="22"/>
          <w:szCs w:val="22"/>
        </w:rPr>
        <w:t xml:space="preserve"> and health, and to inform policy, strategy and practice. It is applicable in all jurisdictions. </w:t>
      </w:r>
    </w:p>
    <w:p w14:paraId="2C8D57EC" w14:textId="77777777" w:rsidR="006A26AB" w:rsidRPr="002E5646" w:rsidRDefault="006A26AB" w:rsidP="002E5646">
      <w:pPr>
        <w:rPr>
          <w:sz w:val="22"/>
          <w:szCs w:val="22"/>
          <w:lang w:val="en-US"/>
        </w:rPr>
      </w:pPr>
    </w:p>
    <w:p w14:paraId="4572D486" w14:textId="77777777" w:rsidR="006A26AB" w:rsidRPr="002E5646" w:rsidRDefault="006A26AB" w:rsidP="002E5646">
      <w:pPr>
        <w:rPr>
          <w:sz w:val="22"/>
          <w:szCs w:val="22"/>
          <w:lang w:val="en-AU"/>
        </w:rPr>
      </w:pPr>
      <w:r w:rsidRPr="002E5646">
        <w:rPr>
          <w:sz w:val="22"/>
          <w:szCs w:val="22"/>
          <w:lang w:val="en-AU"/>
        </w:rPr>
        <w:t xml:space="preserve">There is poor understanding and a lack of accessible evidence across health and related sectors, about prevention with an intersectional gender and health equity lens. Further, there is a need to articulate how prevention can be more effectively integrated with health care, social care and social service programs developed for women. </w:t>
      </w:r>
    </w:p>
    <w:p w14:paraId="614FDFB6" w14:textId="77777777" w:rsidR="006A26AB" w:rsidRPr="002E5646" w:rsidRDefault="006A26AB" w:rsidP="002E5646">
      <w:pPr>
        <w:rPr>
          <w:sz w:val="22"/>
          <w:szCs w:val="22"/>
          <w:lang w:val="en-AU"/>
        </w:rPr>
      </w:pPr>
    </w:p>
    <w:p w14:paraId="50462A73" w14:textId="77777777" w:rsidR="006A26AB" w:rsidRPr="002E5646" w:rsidRDefault="006A26AB" w:rsidP="002E5646">
      <w:pPr>
        <w:rPr>
          <w:sz w:val="22"/>
          <w:szCs w:val="22"/>
          <w:lang w:val="en-AU"/>
        </w:rPr>
      </w:pPr>
      <w:r w:rsidRPr="002E5646">
        <w:rPr>
          <w:sz w:val="22"/>
          <w:szCs w:val="22"/>
          <w:lang w:val="en-AU"/>
        </w:rPr>
        <w:t>This is a challenge for the National Preventive Health Strategy 2021-2030 (NPHS), the National Women’s Health Strategy 2020-2030 (NWHS) and related policies, because without these understandings, it is difficult to identify and disseminate prevention strategies that will achieve health equity.</w:t>
      </w:r>
    </w:p>
    <w:p w14:paraId="5D222A3E" w14:textId="77777777" w:rsidR="008F25C6" w:rsidRDefault="008F25C6" w:rsidP="001D0F3B">
      <w:pPr>
        <w:rPr>
          <w:rFonts w:ascii="Rubik" w:eastAsia="Rubik" w:hAnsi="Rubik" w:cs="Rubik"/>
          <w:color w:val="5A006F"/>
          <w:sz w:val="18"/>
          <w:szCs w:val="18"/>
        </w:rPr>
      </w:pPr>
    </w:p>
    <w:p w14:paraId="02BB8670" w14:textId="4FF1504D" w:rsidR="008F25C6" w:rsidRDefault="006A26AB" w:rsidP="001D0F3B">
      <w:pPr>
        <w:pStyle w:val="Title"/>
      </w:pPr>
      <w:bookmarkStart w:id="5" w:name="_gyf4cpl5u5vu" w:colFirst="0" w:colLast="0"/>
      <w:bookmarkEnd w:id="5"/>
      <w:r>
        <w:t>Why put an in</w:t>
      </w:r>
      <w:r w:rsidR="00581742">
        <w:t xml:space="preserve">tersectional gender lens on care, </w:t>
      </w:r>
      <w:proofErr w:type="gramStart"/>
      <w:r w:rsidR="00581742">
        <w:t>work</w:t>
      </w:r>
      <w:proofErr w:type="gramEnd"/>
      <w:r w:rsidR="00581742">
        <w:t xml:space="preserve"> and health?</w:t>
      </w:r>
    </w:p>
    <w:p w14:paraId="5FCF52FB" w14:textId="2006A6B8"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r w:rsidRPr="002E5646">
        <w:rPr>
          <w:rStyle w:val="normaltextrun"/>
          <w:rFonts w:asciiTheme="majorHAnsi" w:eastAsia="Helvetica Neue" w:hAnsiTheme="majorHAnsi" w:cstheme="majorHAnsi"/>
          <w:color w:val="000000"/>
          <w:sz w:val="22"/>
          <w:szCs w:val="22"/>
          <w:shd w:val="clear" w:color="auto" w:fill="FFFFFF"/>
        </w:rPr>
        <w:t xml:space="preserve">Care, </w:t>
      </w:r>
      <w:proofErr w:type="gramStart"/>
      <w:r w:rsidRPr="002E5646">
        <w:rPr>
          <w:rStyle w:val="normaltextrun"/>
          <w:rFonts w:asciiTheme="majorHAnsi" w:eastAsia="Helvetica Neue" w:hAnsiTheme="majorHAnsi" w:cstheme="majorHAnsi"/>
          <w:color w:val="000000"/>
          <w:sz w:val="22"/>
          <w:szCs w:val="22"/>
          <w:shd w:val="clear" w:color="auto" w:fill="FFFFFF"/>
        </w:rPr>
        <w:t>work</w:t>
      </w:r>
      <w:proofErr w:type="gramEnd"/>
      <w:r w:rsidRPr="002E5646">
        <w:rPr>
          <w:rStyle w:val="normaltextrun"/>
          <w:rFonts w:asciiTheme="majorHAnsi" w:eastAsia="Helvetica Neue" w:hAnsiTheme="majorHAnsi" w:cstheme="majorHAnsi"/>
          <w:color w:val="000000"/>
          <w:sz w:val="22"/>
          <w:szCs w:val="22"/>
          <w:shd w:val="clear" w:color="auto" w:fill="FFFFFF"/>
        </w:rPr>
        <w:t xml:space="preserve"> and health are intertwined in multiple and mutually reinforcing ways. An intersectional gendered lens on care and work highlights the impacts and ongoing power of traditional, heteronormative gender roles. Women, relative to men, disproportionately provide both paid and unpaid care work in Australia. The impacts of care inequity are further shaped by factors such as </w:t>
      </w:r>
      <w:r w:rsidRPr="002E5646">
        <w:rPr>
          <w:rStyle w:val="normaltextrun"/>
          <w:rFonts w:asciiTheme="majorHAnsi" w:eastAsia="Helvetica Neue" w:hAnsiTheme="majorHAnsi" w:cstheme="majorHAnsi"/>
          <w:color w:val="000000"/>
          <w:sz w:val="22"/>
          <w:szCs w:val="22"/>
          <w:shd w:val="clear" w:color="auto" w:fill="FFFFFF"/>
        </w:rPr>
        <w:lastRenderedPageBreak/>
        <w:t xml:space="preserve">disability, Aboriginal and Torres Strait Islander identity, experiences of migration, access to education and socioeconomic status. Being a </w:t>
      </w:r>
      <w:proofErr w:type="spellStart"/>
      <w:r w:rsidRPr="002E5646">
        <w:rPr>
          <w:rStyle w:val="normaltextrun"/>
          <w:rFonts w:asciiTheme="majorHAnsi" w:eastAsia="Helvetica Neue" w:hAnsiTheme="majorHAnsi" w:cstheme="majorHAnsi"/>
          <w:color w:val="000000"/>
          <w:sz w:val="22"/>
          <w:szCs w:val="22"/>
          <w:shd w:val="clear" w:color="auto" w:fill="FFFFFF"/>
        </w:rPr>
        <w:t>carer</w:t>
      </w:r>
      <w:proofErr w:type="spellEnd"/>
      <w:r w:rsidRPr="002E5646">
        <w:rPr>
          <w:rStyle w:val="normaltextrun"/>
          <w:rFonts w:asciiTheme="majorHAnsi" w:eastAsia="Helvetica Neue" w:hAnsiTheme="majorHAnsi" w:cstheme="majorHAnsi"/>
          <w:color w:val="000000"/>
          <w:sz w:val="22"/>
          <w:szCs w:val="22"/>
          <w:shd w:val="clear" w:color="auto" w:fill="FFFFFF"/>
        </w:rPr>
        <w:t>, whether paid or unpaid</w:t>
      </w:r>
      <w:r w:rsidR="00684E1E">
        <w:rPr>
          <w:rStyle w:val="normaltextrun"/>
          <w:rFonts w:asciiTheme="majorHAnsi" w:eastAsia="Helvetica Neue" w:hAnsiTheme="majorHAnsi" w:cstheme="majorHAnsi"/>
          <w:color w:val="000000"/>
          <w:sz w:val="22"/>
          <w:szCs w:val="22"/>
          <w:shd w:val="clear" w:color="auto" w:fill="FFFFFF"/>
        </w:rPr>
        <w:t>,</w:t>
      </w:r>
      <w:r w:rsidRPr="002E5646">
        <w:rPr>
          <w:rStyle w:val="normaltextrun"/>
          <w:rFonts w:asciiTheme="majorHAnsi" w:eastAsia="Helvetica Neue" w:hAnsiTheme="majorHAnsi" w:cstheme="majorHAnsi"/>
          <w:color w:val="000000"/>
          <w:sz w:val="22"/>
          <w:szCs w:val="22"/>
          <w:shd w:val="clear" w:color="auto" w:fill="FFFFFF"/>
        </w:rPr>
        <w:t xml:space="preserve"> and including in the health workforce, is associated with poorer health outcomes. </w:t>
      </w:r>
    </w:p>
    <w:p w14:paraId="2FAF5B53" w14:textId="7E0CE29A"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r w:rsidRPr="002E5646">
        <w:rPr>
          <w:rFonts w:asciiTheme="majorHAnsi" w:eastAsia="Helvetica Neue" w:hAnsiTheme="majorHAnsi" w:cstheme="majorHAnsi"/>
          <w:color w:val="000000"/>
          <w:sz w:val="22"/>
          <w:szCs w:val="22"/>
          <w:shd w:val="clear" w:color="auto" w:fill="FFFFFF"/>
        </w:rPr>
        <w:br/>
      </w:r>
      <w:r w:rsidRPr="002E5646">
        <w:rPr>
          <w:rStyle w:val="normaltextrun"/>
          <w:rFonts w:asciiTheme="majorHAnsi" w:eastAsia="Helvetica Neue" w:hAnsiTheme="majorHAnsi" w:cstheme="majorHAnsi"/>
          <w:color w:val="000000"/>
          <w:sz w:val="22"/>
          <w:szCs w:val="22"/>
          <w:shd w:val="clear" w:color="auto" w:fill="FFFFFF"/>
        </w:rPr>
        <w:t xml:space="preserve">Women spend a greater amount of time performing unpaid domestic work (including household work and errands) and </w:t>
      </w:r>
      <w:r w:rsidR="008D4BAF" w:rsidRPr="002E5646">
        <w:rPr>
          <w:rStyle w:val="normaltextrun"/>
          <w:rFonts w:asciiTheme="majorHAnsi" w:eastAsia="Helvetica Neue" w:hAnsiTheme="majorHAnsi" w:cstheme="majorHAnsi"/>
          <w:color w:val="000000"/>
          <w:sz w:val="22"/>
          <w:szCs w:val="22"/>
          <w:shd w:val="clear" w:color="auto" w:fill="FFFFFF"/>
        </w:rPr>
        <w:t>childcare</w:t>
      </w:r>
      <w:r w:rsidRPr="002E5646">
        <w:rPr>
          <w:rStyle w:val="normaltextrun"/>
          <w:rFonts w:asciiTheme="majorHAnsi" w:eastAsia="Helvetica Neue" w:hAnsiTheme="majorHAnsi" w:cstheme="majorHAnsi"/>
          <w:color w:val="000000"/>
          <w:sz w:val="22"/>
          <w:szCs w:val="22"/>
          <w:shd w:val="clear" w:color="auto" w:fill="FFFFFF"/>
        </w:rPr>
        <w:t xml:space="preserve"> than men.</w:t>
      </w:r>
      <w:r w:rsidRPr="002E5646">
        <w:rPr>
          <w:rStyle w:val="EndnoteReference"/>
          <w:rFonts w:asciiTheme="majorHAnsi" w:eastAsia="Helvetica Neue" w:hAnsiTheme="majorHAnsi" w:cstheme="majorHAnsi"/>
          <w:color w:val="000000"/>
          <w:sz w:val="22"/>
          <w:szCs w:val="22"/>
          <w:shd w:val="clear" w:color="auto" w:fill="FFFFFF"/>
        </w:rPr>
        <w:endnoteReference w:id="1"/>
      </w:r>
      <w:r w:rsidRPr="002E5646">
        <w:rPr>
          <w:rStyle w:val="normaltextrun"/>
          <w:rFonts w:asciiTheme="majorHAnsi" w:eastAsia="Helvetica Neue" w:hAnsiTheme="majorHAnsi" w:cstheme="majorHAnsi"/>
          <w:color w:val="000000"/>
          <w:sz w:val="22"/>
          <w:szCs w:val="22"/>
          <w:shd w:val="clear" w:color="auto" w:fill="FFFFFF"/>
        </w:rPr>
        <w:t xml:space="preserve"> Women also make up greater proportion of informal carers,</w:t>
      </w:r>
      <w:r w:rsidRPr="002E5646">
        <w:rPr>
          <w:rStyle w:val="EndnoteReference"/>
          <w:rFonts w:asciiTheme="majorHAnsi" w:eastAsia="Helvetica Neue" w:hAnsiTheme="majorHAnsi" w:cstheme="majorHAnsi"/>
          <w:color w:val="000000"/>
          <w:sz w:val="22"/>
          <w:szCs w:val="22"/>
          <w:shd w:val="clear" w:color="auto" w:fill="FFFFFF"/>
        </w:rPr>
        <w:endnoteReference w:id="2"/>
      </w:r>
      <w:r w:rsidRPr="002E5646">
        <w:rPr>
          <w:rStyle w:val="normaltextrun"/>
          <w:rFonts w:asciiTheme="majorHAnsi" w:eastAsia="Helvetica Neue" w:hAnsiTheme="majorHAnsi" w:cstheme="majorHAnsi"/>
          <w:color w:val="000000"/>
          <w:sz w:val="22"/>
          <w:szCs w:val="22"/>
          <w:shd w:val="clear" w:color="auto" w:fill="FFFFFF"/>
        </w:rPr>
        <w:t xml:space="preserve"> (people who provide unpaid care to family, </w:t>
      </w:r>
      <w:proofErr w:type="gramStart"/>
      <w:r w:rsidRPr="002E5646">
        <w:rPr>
          <w:rStyle w:val="normaltextrun"/>
          <w:rFonts w:asciiTheme="majorHAnsi" w:eastAsia="Helvetica Neue" w:hAnsiTheme="majorHAnsi" w:cstheme="majorHAnsi"/>
          <w:color w:val="000000"/>
          <w:sz w:val="22"/>
          <w:szCs w:val="22"/>
          <w:shd w:val="clear" w:color="auto" w:fill="FFFFFF"/>
        </w:rPr>
        <w:t>friends</w:t>
      </w:r>
      <w:proofErr w:type="gramEnd"/>
      <w:r w:rsidRPr="002E5646">
        <w:rPr>
          <w:rStyle w:val="normaltextrun"/>
          <w:rFonts w:asciiTheme="majorHAnsi" w:eastAsia="Helvetica Neue" w:hAnsiTheme="majorHAnsi" w:cstheme="majorHAnsi"/>
          <w:color w:val="000000"/>
          <w:sz w:val="22"/>
          <w:szCs w:val="22"/>
          <w:shd w:val="clear" w:color="auto" w:fill="FFFFFF"/>
        </w:rPr>
        <w:t xml:space="preserve"> or neighbours), and the majority of main carers are women.</w:t>
      </w:r>
      <w:r w:rsidRPr="002E5646">
        <w:rPr>
          <w:rStyle w:val="EndnoteReference"/>
          <w:rFonts w:asciiTheme="majorHAnsi" w:eastAsia="Helvetica Neue" w:hAnsiTheme="majorHAnsi" w:cstheme="majorHAnsi"/>
          <w:color w:val="000000"/>
          <w:sz w:val="22"/>
          <w:szCs w:val="22"/>
          <w:shd w:val="clear" w:color="auto" w:fill="FFFFFF"/>
        </w:rPr>
        <w:endnoteReference w:id="3"/>
      </w:r>
      <w:r w:rsidRPr="002E5646">
        <w:rPr>
          <w:rStyle w:val="normaltextrun"/>
          <w:rFonts w:asciiTheme="majorHAnsi" w:eastAsia="Helvetica Neue" w:hAnsiTheme="majorHAnsi" w:cstheme="majorHAnsi"/>
          <w:color w:val="000000"/>
          <w:sz w:val="22"/>
          <w:szCs w:val="22"/>
          <w:shd w:val="clear" w:color="auto" w:fill="FFFFFF"/>
        </w:rPr>
        <w:t xml:space="preserve"> Women are also more likely to be carers for longer periods than men. Unpaid carers are disproportionately Aboriginal and/or Torres Strait Islander people or migrants from non-English speaking countries and caring is also highly associated with living with disability.</w:t>
      </w:r>
      <w:r w:rsidRPr="002E5646">
        <w:rPr>
          <w:rStyle w:val="EndnoteReference"/>
          <w:rFonts w:asciiTheme="majorHAnsi" w:eastAsia="Helvetica Neue" w:hAnsiTheme="majorHAnsi" w:cstheme="majorHAnsi"/>
          <w:color w:val="000000"/>
          <w:sz w:val="22"/>
          <w:szCs w:val="22"/>
          <w:shd w:val="clear" w:color="auto" w:fill="FFFFFF"/>
        </w:rPr>
        <w:endnoteReference w:id="4"/>
      </w:r>
      <w:r w:rsidRPr="002E5646">
        <w:rPr>
          <w:rStyle w:val="normaltextrun"/>
          <w:rFonts w:asciiTheme="majorHAnsi" w:eastAsia="Helvetica Neue" w:hAnsiTheme="majorHAnsi" w:cstheme="majorHAnsi"/>
          <w:color w:val="000000"/>
          <w:sz w:val="22"/>
          <w:szCs w:val="22"/>
          <w:shd w:val="clear" w:color="auto" w:fill="FFFFFF"/>
        </w:rPr>
        <w:t xml:space="preserve"> </w:t>
      </w:r>
    </w:p>
    <w:p w14:paraId="754F4775" w14:textId="77777777"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p>
    <w:p w14:paraId="7D753834" w14:textId="41353C80"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r w:rsidRPr="002E5646">
        <w:rPr>
          <w:rStyle w:val="normaltextrun"/>
          <w:rFonts w:asciiTheme="majorHAnsi" w:eastAsia="Helvetica Neue" w:hAnsiTheme="majorHAnsi" w:cstheme="majorHAnsi"/>
          <w:color w:val="000000"/>
          <w:sz w:val="22"/>
          <w:szCs w:val="22"/>
          <w:shd w:val="clear" w:color="auto" w:fill="FFFFFF"/>
        </w:rPr>
        <w:t xml:space="preserve">Compared with non-carers and other carers, main carers have poorer general health and mental health outcomes. The longer a person spends as an unpaid main carer, the poorer their socioeconomic </w:t>
      </w:r>
      <w:r w:rsidR="00805618">
        <w:rPr>
          <w:rStyle w:val="normaltextrun"/>
          <w:rFonts w:asciiTheme="majorHAnsi" w:eastAsia="Helvetica Neue" w:hAnsiTheme="majorHAnsi" w:cstheme="majorHAnsi"/>
          <w:color w:val="000000"/>
          <w:sz w:val="22"/>
          <w:szCs w:val="22"/>
          <w:shd w:val="clear" w:color="auto" w:fill="FFFFFF"/>
        </w:rPr>
        <w:t>outcomes</w:t>
      </w:r>
      <w:r w:rsidRPr="002E5646">
        <w:rPr>
          <w:rStyle w:val="normaltextrun"/>
          <w:rFonts w:asciiTheme="majorHAnsi" w:eastAsia="Helvetica Neue" w:hAnsiTheme="majorHAnsi" w:cstheme="majorHAnsi"/>
          <w:color w:val="000000"/>
          <w:sz w:val="22"/>
          <w:szCs w:val="22"/>
          <w:shd w:val="clear" w:color="auto" w:fill="FFFFFF"/>
        </w:rPr>
        <w:t>. Caring impacts women</w:t>
      </w:r>
      <w:r w:rsidR="002013C7">
        <w:rPr>
          <w:rStyle w:val="normaltextrun"/>
          <w:rFonts w:asciiTheme="majorHAnsi" w:eastAsia="Helvetica Neue" w:hAnsiTheme="majorHAnsi" w:cstheme="majorHAnsi"/>
          <w:color w:val="000000"/>
          <w:sz w:val="22"/>
          <w:szCs w:val="22"/>
          <w:shd w:val="clear" w:color="auto" w:fill="FFFFFF"/>
        </w:rPr>
        <w:t>’</w:t>
      </w:r>
      <w:r w:rsidRPr="002E5646">
        <w:rPr>
          <w:rStyle w:val="normaltextrun"/>
          <w:rFonts w:asciiTheme="majorHAnsi" w:eastAsia="Helvetica Neue" w:hAnsiTheme="majorHAnsi" w:cstheme="majorHAnsi"/>
          <w:color w:val="000000"/>
          <w:sz w:val="22"/>
          <w:szCs w:val="22"/>
          <w:shd w:val="clear" w:color="auto" w:fill="FFFFFF"/>
        </w:rPr>
        <w:t>s ability to participate in the workforce, and therefore their economic security and superannuation outcomes.</w:t>
      </w:r>
      <w:r w:rsidRPr="002E5646">
        <w:rPr>
          <w:rStyle w:val="EndnoteReference"/>
          <w:rFonts w:asciiTheme="majorHAnsi" w:eastAsia="Helvetica Neue" w:hAnsiTheme="majorHAnsi" w:cstheme="majorHAnsi"/>
          <w:color w:val="000000"/>
          <w:sz w:val="22"/>
          <w:szCs w:val="22"/>
          <w:shd w:val="clear" w:color="auto" w:fill="FFFFFF"/>
        </w:rPr>
        <w:endnoteReference w:id="5"/>
      </w:r>
      <w:r w:rsidRPr="002E5646">
        <w:rPr>
          <w:rStyle w:val="normaltextrun"/>
          <w:rFonts w:asciiTheme="majorHAnsi" w:eastAsia="Helvetica Neue" w:hAnsiTheme="majorHAnsi" w:cstheme="majorHAnsi"/>
          <w:color w:val="000000"/>
          <w:sz w:val="22"/>
          <w:szCs w:val="22"/>
          <w:shd w:val="clear" w:color="auto" w:fill="FFFFFF"/>
        </w:rPr>
        <w:t xml:space="preserve"> Meanwhile, social protections such as Carer and Jobseeker payment, remain below the cost of living. The gendered nature of unpaid household and caring work therefore determines women’s health and wellbeing in inequitable ways.  </w:t>
      </w:r>
    </w:p>
    <w:p w14:paraId="14FA27E4" w14:textId="77777777"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p>
    <w:p w14:paraId="5BD91930" w14:textId="122F9CD8"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r w:rsidRPr="002E5646">
        <w:rPr>
          <w:rStyle w:val="normaltextrun"/>
          <w:rFonts w:asciiTheme="majorHAnsi" w:eastAsia="Helvetica Neue" w:hAnsiTheme="majorHAnsi" w:cstheme="majorHAnsi"/>
          <w:color w:val="000000"/>
          <w:sz w:val="22"/>
          <w:szCs w:val="22"/>
          <w:shd w:val="clear" w:color="auto" w:fill="FFFFFF"/>
        </w:rPr>
        <w:t>Gendered care inequity is associated with women’s overrepresentation in paid care work, including healthcare. Women make up more than 80% of the health and social assistance care workforce.</w:t>
      </w:r>
      <w:r w:rsidRPr="002E5646">
        <w:rPr>
          <w:rStyle w:val="EndnoteReference"/>
          <w:rFonts w:asciiTheme="majorHAnsi" w:eastAsia="Helvetica Neue" w:hAnsiTheme="majorHAnsi" w:cstheme="majorHAnsi"/>
          <w:color w:val="000000"/>
          <w:sz w:val="22"/>
          <w:szCs w:val="22"/>
          <w:shd w:val="clear" w:color="auto" w:fill="FFFFFF"/>
        </w:rPr>
        <w:endnoteReference w:id="6"/>
      </w:r>
      <w:r w:rsidRPr="002E5646">
        <w:rPr>
          <w:rStyle w:val="normaltextrun"/>
          <w:rFonts w:asciiTheme="majorHAnsi" w:eastAsia="Helvetica Neue" w:hAnsiTheme="majorHAnsi" w:cstheme="majorHAnsi"/>
          <w:color w:val="000000"/>
          <w:sz w:val="22"/>
          <w:szCs w:val="22"/>
          <w:shd w:val="clear" w:color="auto" w:fill="FFFFFF"/>
        </w:rPr>
        <w:t xml:space="preserve"> The lower relative pay of sectors including aged care, disability care, </w:t>
      </w:r>
      <w:r w:rsidR="00763F3B" w:rsidRPr="002E5646">
        <w:rPr>
          <w:rStyle w:val="normaltextrun"/>
          <w:rFonts w:asciiTheme="majorHAnsi" w:eastAsia="Helvetica Neue" w:hAnsiTheme="majorHAnsi" w:cstheme="majorHAnsi"/>
          <w:color w:val="000000"/>
          <w:sz w:val="22"/>
          <w:szCs w:val="22"/>
          <w:shd w:val="clear" w:color="auto" w:fill="FFFFFF"/>
        </w:rPr>
        <w:t>childcare</w:t>
      </w:r>
      <w:r w:rsidRPr="002E5646">
        <w:rPr>
          <w:rStyle w:val="normaltextrun"/>
          <w:rFonts w:asciiTheme="majorHAnsi" w:eastAsia="Helvetica Neue" w:hAnsiTheme="majorHAnsi" w:cstheme="majorHAnsi"/>
          <w:color w:val="000000"/>
          <w:sz w:val="22"/>
          <w:szCs w:val="22"/>
          <w:shd w:val="clear" w:color="auto" w:fill="FFFFFF"/>
        </w:rPr>
        <w:t xml:space="preserve"> and community services is associated with the lesser social value ascribed to women’s work. With women continuing to be overrepresented in these sectors, this inequity in value has ongoing impacts for women’s socioeconomic</w:t>
      </w:r>
      <w:r w:rsidR="009011C4">
        <w:rPr>
          <w:rStyle w:val="normaltextrun"/>
          <w:rFonts w:asciiTheme="majorHAnsi" w:eastAsia="Helvetica Neue" w:hAnsiTheme="majorHAnsi" w:cstheme="majorHAnsi"/>
          <w:color w:val="000000"/>
          <w:sz w:val="22"/>
          <w:szCs w:val="22"/>
          <w:shd w:val="clear" w:color="auto" w:fill="FFFFFF"/>
        </w:rPr>
        <w:t xml:space="preserve"> status</w:t>
      </w:r>
      <w:r w:rsidRPr="002E5646">
        <w:rPr>
          <w:rStyle w:val="normaltextrun"/>
          <w:rFonts w:asciiTheme="majorHAnsi" w:eastAsia="Helvetica Neue" w:hAnsiTheme="majorHAnsi" w:cstheme="majorHAnsi"/>
          <w:color w:val="000000"/>
          <w:sz w:val="22"/>
          <w:szCs w:val="22"/>
          <w:shd w:val="clear" w:color="auto" w:fill="FFFFFF"/>
        </w:rPr>
        <w:t xml:space="preserve">, and therefore health, outcomes. </w:t>
      </w:r>
    </w:p>
    <w:p w14:paraId="32A82B98" w14:textId="77777777"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p>
    <w:p w14:paraId="789D21EF" w14:textId="12066AEA"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r w:rsidRPr="002E5646">
        <w:rPr>
          <w:rStyle w:val="normaltextrun"/>
          <w:rFonts w:asciiTheme="majorHAnsi" w:eastAsia="Helvetica Neue" w:hAnsiTheme="majorHAnsi" w:cstheme="majorHAnsi"/>
          <w:color w:val="000000"/>
          <w:sz w:val="22"/>
          <w:szCs w:val="22"/>
          <w:shd w:val="clear" w:color="auto" w:fill="FFFFFF"/>
        </w:rPr>
        <w:t xml:space="preserve">Women are overrepresented in the health workforce, and this trend is exaggerated for frontline health roles such as aged care and nursing. Additionally, low paid sectors such as aged care, </w:t>
      </w:r>
      <w:r w:rsidR="00783BF2" w:rsidRPr="002E5646">
        <w:rPr>
          <w:rStyle w:val="normaltextrun"/>
          <w:rFonts w:asciiTheme="majorHAnsi" w:eastAsia="Helvetica Neue" w:hAnsiTheme="majorHAnsi" w:cstheme="majorHAnsi"/>
          <w:color w:val="000000"/>
          <w:sz w:val="22"/>
          <w:szCs w:val="22"/>
          <w:shd w:val="clear" w:color="auto" w:fill="FFFFFF"/>
        </w:rPr>
        <w:t>childcare</w:t>
      </w:r>
      <w:r w:rsidRPr="002E5646">
        <w:rPr>
          <w:rStyle w:val="normaltextrun"/>
          <w:rFonts w:asciiTheme="majorHAnsi" w:eastAsia="Helvetica Neue" w:hAnsiTheme="majorHAnsi" w:cstheme="majorHAnsi"/>
          <w:color w:val="000000"/>
          <w:sz w:val="22"/>
          <w:szCs w:val="22"/>
          <w:shd w:val="clear" w:color="auto" w:fill="FFFFFF"/>
        </w:rPr>
        <w:t xml:space="preserve"> and disability care have a greater proportion of workers born in a country other than Australia</w:t>
      </w:r>
      <w:r w:rsidR="002F035B">
        <w:rPr>
          <w:rStyle w:val="normaltextrun"/>
          <w:rFonts w:asciiTheme="majorHAnsi" w:eastAsia="Helvetica Neue" w:hAnsiTheme="majorHAnsi" w:cstheme="majorHAnsi"/>
          <w:color w:val="000000"/>
          <w:sz w:val="22"/>
          <w:szCs w:val="22"/>
          <w:shd w:val="clear" w:color="auto" w:fill="FFFFFF"/>
        </w:rPr>
        <w:t>,</w:t>
      </w:r>
      <w:r w:rsidRPr="002E5646">
        <w:rPr>
          <w:rStyle w:val="EndnoteReference"/>
          <w:rFonts w:asciiTheme="majorHAnsi" w:eastAsia="Helvetica Neue" w:hAnsiTheme="majorHAnsi" w:cstheme="majorHAnsi"/>
          <w:color w:val="000000"/>
          <w:sz w:val="22"/>
          <w:szCs w:val="22"/>
          <w:shd w:val="clear" w:color="auto" w:fill="FFFFFF"/>
        </w:rPr>
        <w:endnoteReference w:id="7"/>
      </w:r>
      <w:r w:rsidRPr="002E5646">
        <w:rPr>
          <w:rStyle w:val="normaltextrun"/>
          <w:rFonts w:asciiTheme="majorHAnsi" w:eastAsia="Helvetica Neue" w:hAnsiTheme="majorHAnsi" w:cstheme="majorHAnsi"/>
          <w:color w:val="000000"/>
          <w:sz w:val="22"/>
          <w:szCs w:val="22"/>
          <w:shd w:val="clear" w:color="auto" w:fill="FFFFFF"/>
        </w:rPr>
        <w:t xml:space="preserve"> indicating how different intersectional factors shape the determinants of health for individual women. The general health workforce crisis and COVID-19 pandemic,</w:t>
      </w:r>
      <w:r w:rsidRPr="002E5646">
        <w:rPr>
          <w:rStyle w:val="EndnoteReference"/>
          <w:rFonts w:asciiTheme="majorHAnsi" w:eastAsia="Helvetica Neue" w:hAnsiTheme="majorHAnsi" w:cstheme="majorHAnsi"/>
          <w:color w:val="000000"/>
          <w:sz w:val="22"/>
          <w:szCs w:val="22"/>
          <w:shd w:val="clear" w:color="auto" w:fill="FFFFFF"/>
        </w:rPr>
        <w:endnoteReference w:id="8"/>
      </w:r>
      <w:r w:rsidR="00683636">
        <w:rPr>
          <w:rStyle w:val="normaltextrun"/>
          <w:rFonts w:asciiTheme="majorHAnsi" w:eastAsia="Helvetica Neue" w:hAnsiTheme="majorHAnsi" w:cstheme="majorHAnsi"/>
          <w:color w:val="000000"/>
          <w:sz w:val="22"/>
          <w:szCs w:val="22"/>
          <w:shd w:val="clear" w:color="auto" w:fill="FFFFFF"/>
        </w:rPr>
        <w:t xml:space="preserve"> </w:t>
      </w:r>
      <w:r w:rsidR="0087441B" w:rsidRPr="002E5646">
        <w:rPr>
          <w:rStyle w:val="EndnoteReference"/>
          <w:rFonts w:asciiTheme="majorHAnsi" w:eastAsia="Helvetica Neue" w:hAnsiTheme="majorHAnsi" w:cstheme="majorHAnsi"/>
          <w:color w:val="000000"/>
          <w:sz w:val="22"/>
          <w:szCs w:val="22"/>
          <w:shd w:val="clear" w:color="auto" w:fill="FFFFFF"/>
        </w:rPr>
        <w:endnoteReference w:id="9"/>
      </w:r>
      <w:r w:rsidRPr="002E5646">
        <w:rPr>
          <w:rStyle w:val="normaltextrun"/>
          <w:rFonts w:asciiTheme="majorHAnsi" w:eastAsia="Helvetica Neue" w:hAnsiTheme="majorHAnsi" w:cstheme="majorHAnsi"/>
          <w:color w:val="000000"/>
          <w:sz w:val="22"/>
          <w:szCs w:val="22"/>
          <w:shd w:val="clear" w:color="auto" w:fill="FFFFFF"/>
        </w:rPr>
        <w:t xml:space="preserve"> have had negative impacts on the mental health and wellbeing of health care workers with high reported rates of anxiety, depression, </w:t>
      </w:r>
      <w:proofErr w:type="gramStart"/>
      <w:r w:rsidRPr="002E5646">
        <w:rPr>
          <w:rStyle w:val="normaltextrun"/>
          <w:rFonts w:asciiTheme="majorHAnsi" w:eastAsia="Helvetica Neue" w:hAnsiTheme="majorHAnsi" w:cstheme="majorHAnsi"/>
          <w:color w:val="000000"/>
          <w:sz w:val="22"/>
          <w:szCs w:val="22"/>
          <w:shd w:val="clear" w:color="auto" w:fill="FFFFFF"/>
        </w:rPr>
        <w:t>burnout</w:t>
      </w:r>
      <w:proofErr w:type="gramEnd"/>
      <w:r w:rsidRPr="002E5646">
        <w:rPr>
          <w:rStyle w:val="normaltextrun"/>
          <w:rFonts w:asciiTheme="majorHAnsi" w:eastAsia="Helvetica Neue" w:hAnsiTheme="majorHAnsi" w:cstheme="majorHAnsi"/>
          <w:color w:val="000000"/>
          <w:sz w:val="22"/>
          <w:szCs w:val="22"/>
          <w:shd w:val="clear" w:color="auto" w:fill="FFFFFF"/>
        </w:rPr>
        <w:t xml:space="preserve"> and post-traumatic stress disorder. </w:t>
      </w:r>
    </w:p>
    <w:p w14:paraId="3F2BC51C" w14:textId="77777777" w:rsidR="00D52F03" w:rsidRPr="002E5646" w:rsidRDefault="00D52F03" w:rsidP="002E5646">
      <w:pPr>
        <w:rPr>
          <w:rStyle w:val="normaltextrun"/>
          <w:rFonts w:asciiTheme="majorHAnsi" w:eastAsia="Helvetica Neue" w:hAnsiTheme="majorHAnsi" w:cstheme="majorHAnsi"/>
          <w:color w:val="000000"/>
          <w:sz w:val="22"/>
          <w:szCs w:val="22"/>
          <w:shd w:val="clear" w:color="auto" w:fill="FFFFFF"/>
        </w:rPr>
      </w:pPr>
    </w:p>
    <w:p w14:paraId="6C7DA767" w14:textId="56A184D5" w:rsidR="008F25C6" w:rsidRDefault="00D52F03" w:rsidP="002E5646">
      <w:pPr>
        <w:rPr>
          <w:rFonts w:asciiTheme="majorHAnsi" w:eastAsia="Times New Roman" w:hAnsiTheme="majorHAnsi" w:cstheme="majorHAnsi"/>
          <w:sz w:val="22"/>
          <w:szCs w:val="22"/>
          <w:lang w:val="en-AU"/>
        </w:rPr>
      </w:pPr>
      <w:r w:rsidRPr="002E5646">
        <w:rPr>
          <w:rStyle w:val="normaltextrun"/>
          <w:rFonts w:asciiTheme="majorHAnsi" w:eastAsia="Helvetica Neue" w:hAnsiTheme="majorHAnsi" w:cstheme="majorHAnsi"/>
          <w:color w:val="000000"/>
          <w:sz w:val="22"/>
          <w:szCs w:val="22"/>
          <w:shd w:val="clear" w:color="auto" w:fill="FFFFFF"/>
        </w:rPr>
        <w:t>The relationship between gender roles, care and health outcomes is complex and mutual</w:t>
      </w:r>
      <w:r w:rsidR="00683636">
        <w:rPr>
          <w:rStyle w:val="normaltextrun"/>
          <w:rFonts w:asciiTheme="majorHAnsi" w:eastAsia="Helvetica Neue" w:hAnsiTheme="majorHAnsi" w:cstheme="majorHAnsi"/>
          <w:color w:val="000000"/>
          <w:sz w:val="22"/>
          <w:szCs w:val="22"/>
          <w:shd w:val="clear" w:color="auto" w:fill="FFFFFF"/>
        </w:rPr>
        <w:t>ly</w:t>
      </w:r>
      <w:r w:rsidRPr="002E5646">
        <w:rPr>
          <w:rStyle w:val="normaltextrun"/>
          <w:rFonts w:asciiTheme="majorHAnsi" w:eastAsia="Helvetica Neue" w:hAnsiTheme="majorHAnsi" w:cstheme="majorHAnsi"/>
          <w:color w:val="000000"/>
          <w:sz w:val="22"/>
          <w:szCs w:val="22"/>
          <w:shd w:val="clear" w:color="auto" w:fill="FFFFFF"/>
        </w:rPr>
        <w:t xml:space="preserve"> reinforcing</w:t>
      </w:r>
      <w:r w:rsidR="000A2266">
        <w:rPr>
          <w:rStyle w:val="normaltextrun"/>
          <w:rFonts w:asciiTheme="majorHAnsi" w:eastAsia="Helvetica Neue" w:hAnsiTheme="majorHAnsi" w:cstheme="majorHAnsi"/>
          <w:color w:val="000000"/>
          <w:sz w:val="22"/>
          <w:szCs w:val="22"/>
          <w:shd w:val="clear" w:color="auto" w:fill="FFFFFF"/>
        </w:rPr>
        <w:t xml:space="preserve"> and</w:t>
      </w:r>
      <w:r w:rsidRPr="002E5646">
        <w:rPr>
          <w:rStyle w:val="normaltextrun"/>
          <w:rFonts w:asciiTheme="majorHAnsi" w:eastAsia="Helvetica Neue" w:hAnsiTheme="majorHAnsi" w:cstheme="majorHAnsi"/>
          <w:color w:val="000000"/>
          <w:sz w:val="22"/>
          <w:szCs w:val="22"/>
          <w:shd w:val="clear" w:color="auto" w:fill="FFFFFF"/>
        </w:rPr>
        <w:t xml:space="preserve"> </w:t>
      </w:r>
      <w:r w:rsidR="000A2266">
        <w:rPr>
          <w:rStyle w:val="normaltextrun"/>
          <w:rFonts w:asciiTheme="majorHAnsi" w:eastAsia="Helvetica Neue" w:hAnsiTheme="majorHAnsi" w:cstheme="majorHAnsi"/>
          <w:color w:val="000000"/>
          <w:sz w:val="22"/>
          <w:szCs w:val="22"/>
          <w:shd w:val="clear" w:color="auto" w:fill="FFFFFF"/>
        </w:rPr>
        <w:t>i</w:t>
      </w:r>
      <w:r w:rsidRPr="002E5646">
        <w:rPr>
          <w:rStyle w:val="normaltextrun"/>
          <w:rFonts w:asciiTheme="majorHAnsi" w:eastAsia="Helvetica Neue" w:hAnsiTheme="majorHAnsi" w:cstheme="majorHAnsi"/>
          <w:color w:val="000000"/>
          <w:sz w:val="22"/>
          <w:szCs w:val="22"/>
          <w:shd w:val="clear" w:color="auto" w:fill="FFFFFF"/>
        </w:rPr>
        <w:t xml:space="preserve">nequities in care work play an important and intersecting role in determining women’s gendered health outcomes.  </w:t>
      </w:r>
    </w:p>
    <w:p w14:paraId="1AE547A9" w14:textId="77777777" w:rsidR="002E5646" w:rsidRPr="002E5646" w:rsidRDefault="002E5646" w:rsidP="002E5646">
      <w:pPr>
        <w:rPr>
          <w:rFonts w:asciiTheme="majorHAnsi" w:eastAsia="Times New Roman" w:hAnsiTheme="majorHAnsi" w:cstheme="majorHAnsi"/>
          <w:sz w:val="22"/>
          <w:szCs w:val="22"/>
          <w:lang w:val="en-AU"/>
        </w:rPr>
      </w:pPr>
    </w:p>
    <w:p w14:paraId="2B8C0AAA" w14:textId="5407E6FF" w:rsidR="008F25C6" w:rsidRDefault="00D76115" w:rsidP="001D0F3B">
      <w:pPr>
        <w:pStyle w:val="Title"/>
      </w:pPr>
      <w:bookmarkStart w:id="6" w:name="_np7im68hc48z" w:colFirst="0" w:colLast="0"/>
      <w:bookmarkEnd w:id="6"/>
      <w:r>
        <w:t>What does this mean for health equity?</w:t>
      </w:r>
    </w:p>
    <w:p w14:paraId="12CF0EF8" w14:textId="11E5F574" w:rsidR="00B83C1A" w:rsidRPr="00A950AF" w:rsidRDefault="00B83C1A" w:rsidP="00A950AF">
      <w:pPr>
        <w:rPr>
          <w:sz w:val="22"/>
          <w:szCs w:val="22"/>
          <w:lang w:val="en-AU"/>
        </w:rPr>
      </w:pPr>
      <w:r w:rsidRPr="00A950AF">
        <w:rPr>
          <w:color w:val="000000" w:themeColor="text1"/>
          <w:sz w:val="22"/>
          <w:szCs w:val="22"/>
        </w:rPr>
        <w:t xml:space="preserve">Australian Women’s Health </w:t>
      </w:r>
      <w:r w:rsidR="00452391">
        <w:rPr>
          <w:color w:val="000000" w:themeColor="text1"/>
          <w:sz w:val="22"/>
          <w:szCs w:val="22"/>
        </w:rPr>
        <w:t>Alliance</w:t>
      </w:r>
      <w:r w:rsidRPr="00A950AF">
        <w:rPr>
          <w:sz w:val="22"/>
          <w:szCs w:val="22"/>
          <w:lang w:val="en-AU"/>
        </w:rPr>
        <w:t xml:space="preserve"> recognises the importance of addressing inequities in care work in health care and prevention. Rebalancing care for better health outcomes requires multiple strategies which consider the unpaid, paid and cultural nature of care work</w:t>
      </w:r>
      <w:r w:rsidR="00556A8D">
        <w:rPr>
          <w:sz w:val="22"/>
          <w:szCs w:val="22"/>
          <w:lang w:val="en-AU"/>
        </w:rPr>
        <w:t>.</w:t>
      </w:r>
    </w:p>
    <w:p w14:paraId="2C7DF213" w14:textId="77777777" w:rsidR="00B83C1A" w:rsidRPr="00A950AF" w:rsidRDefault="00B83C1A" w:rsidP="00A950AF">
      <w:pPr>
        <w:rPr>
          <w:sz w:val="22"/>
          <w:szCs w:val="22"/>
          <w:lang w:val="en-AU"/>
        </w:rPr>
      </w:pPr>
    </w:p>
    <w:p w14:paraId="76BC7C4B" w14:textId="06878E88" w:rsidR="00B83C1A" w:rsidRPr="00A950AF" w:rsidRDefault="00B83C1A" w:rsidP="00A950AF">
      <w:pPr>
        <w:rPr>
          <w:sz w:val="22"/>
          <w:szCs w:val="22"/>
          <w:lang w:val="en-AU"/>
        </w:rPr>
      </w:pPr>
      <w:r w:rsidRPr="00A950AF">
        <w:rPr>
          <w:sz w:val="22"/>
          <w:szCs w:val="22"/>
          <w:lang w:val="en-AU"/>
        </w:rPr>
        <w:lastRenderedPageBreak/>
        <w:t>Workforce strategies which value and support care work and rebalance inequities in gender-segregated care industries are needed. These include improvements in wages and conditions for care industries, including aged care, childcare, disability care and community sectors. Strategies to alleviate burnout in nursing and health workforces and reform to regulation</w:t>
      </w:r>
      <w:r w:rsidR="009731C5">
        <w:rPr>
          <w:sz w:val="22"/>
          <w:szCs w:val="22"/>
          <w:lang w:val="en-AU"/>
        </w:rPr>
        <w:t>s</w:t>
      </w:r>
      <w:r w:rsidRPr="00A950AF">
        <w:rPr>
          <w:sz w:val="22"/>
          <w:szCs w:val="22"/>
          <w:lang w:val="en-AU"/>
        </w:rPr>
        <w:t xml:space="preserve"> preventing recognition of overseas qualifications </w:t>
      </w:r>
      <w:r w:rsidR="00031ED9">
        <w:rPr>
          <w:sz w:val="22"/>
          <w:szCs w:val="22"/>
          <w:lang w:val="en-AU"/>
        </w:rPr>
        <w:t>is</w:t>
      </w:r>
      <w:r w:rsidRPr="00A950AF">
        <w:rPr>
          <w:sz w:val="22"/>
          <w:szCs w:val="22"/>
          <w:lang w:val="en-AU"/>
        </w:rPr>
        <w:t xml:space="preserve"> also needed. </w:t>
      </w:r>
    </w:p>
    <w:p w14:paraId="37F94EB2" w14:textId="77777777" w:rsidR="00B83C1A" w:rsidRPr="00A950AF" w:rsidRDefault="00B83C1A" w:rsidP="00A950AF">
      <w:pPr>
        <w:rPr>
          <w:sz w:val="22"/>
          <w:szCs w:val="22"/>
          <w:lang w:val="en-AU"/>
        </w:rPr>
      </w:pPr>
    </w:p>
    <w:p w14:paraId="724CC978" w14:textId="77777777" w:rsidR="00B83C1A" w:rsidRPr="00A950AF" w:rsidRDefault="00B83C1A" w:rsidP="00A950AF">
      <w:pPr>
        <w:rPr>
          <w:sz w:val="22"/>
          <w:szCs w:val="22"/>
          <w:lang w:val="en-AU"/>
        </w:rPr>
      </w:pPr>
      <w:r w:rsidRPr="00A950AF">
        <w:rPr>
          <w:sz w:val="22"/>
          <w:szCs w:val="22"/>
          <w:lang w:val="en-AU"/>
        </w:rPr>
        <w:t xml:space="preserve">Rebalancing care also requires strengthening of social protections for carers and parents, and people with disability. This includes increases to Carer and Jobseeker payments and the Disability Support Pension, and ongoing reform of parenting payments. Increases to parental leave, and the payment of superannuation of parental leave are also needed. </w:t>
      </w:r>
    </w:p>
    <w:p w14:paraId="270CAFD1" w14:textId="77777777" w:rsidR="002E5646" w:rsidRPr="00A950AF" w:rsidRDefault="002E5646" w:rsidP="00A950AF">
      <w:pPr>
        <w:rPr>
          <w:sz w:val="22"/>
          <w:szCs w:val="22"/>
          <w:lang w:val="en-AU"/>
        </w:rPr>
      </w:pPr>
    </w:p>
    <w:p w14:paraId="544C46C8" w14:textId="77777777" w:rsidR="002E5646" w:rsidRPr="00A950AF" w:rsidRDefault="002E5646" w:rsidP="00A950AF">
      <w:pPr>
        <w:rPr>
          <w:rFonts w:eastAsiaTheme="minorEastAsia" w:cstheme="minorBidi"/>
          <w:sz w:val="22"/>
          <w:szCs w:val="22"/>
          <w:lang w:val="en-AU"/>
        </w:rPr>
      </w:pPr>
      <w:r w:rsidRPr="00A950AF">
        <w:rPr>
          <w:sz w:val="22"/>
          <w:szCs w:val="22"/>
          <w:lang w:val="en-AU"/>
        </w:rPr>
        <w:t xml:space="preserve">Broader gender equity work to challenge and transform traditional heteronormative gender roles which determine the distribution of care work within communities and in the home will also support more equitable health outcomes for carers. </w:t>
      </w:r>
    </w:p>
    <w:p w14:paraId="0D444405" w14:textId="77777777" w:rsidR="002E5646" w:rsidRPr="00A950AF" w:rsidRDefault="002E5646" w:rsidP="00A950AF">
      <w:pPr>
        <w:rPr>
          <w:rFonts w:eastAsia="Times New Roman" w:cs="Times New Roman"/>
          <w:sz w:val="22"/>
          <w:szCs w:val="22"/>
          <w:lang w:val="en-AU"/>
        </w:rPr>
      </w:pPr>
    </w:p>
    <w:p w14:paraId="0EF233BC" w14:textId="5485B054" w:rsidR="002E5646" w:rsidRPr="00A950AF" w:rsidRDefault="002E5646" w:rsidP="00A950AF">
      <w:pPr>
        <w:rPr>
          <w:sz w:val="22"/>
          <w:szCs w:val="22"/>
          <w:highlight w:val="yellow"/>
          <w:lang w:val="en-AU"/>
        </w:rPr>
      </w:pPr>
      <w:r w:rsidRPr="00A950AF">
        <w:rPr>
          <w:sz w:val="22"/>
          <w:szCs w:val="22"/>
          <w:lang w:val="en-AU"/>
        </w:rPr>
        <w:t xml:space="preserve">National Health Strategies, including the National Preventive Health Strategy, need to consider the extent to which gender inequities, particularly those resulting from intersectionality, impact on women. In taking a determinants lens, the National Preventive Health Strategy must integrate with and support cross-portfolio initiatives which address social determinants of women’s health outcomes. </w:t>
      </w:r>
    </w:p>
    <w:p w14:paraId="19D58330" w14:textId="77777777" w:rsidR="001D0F3B" w:rsidRPr="001D0F3B" w:rsidRDefault="001D0F3B" w:rsidP="001D0F3B">
      <w:pPr>
        <w:rPr>
          <w:sz w:val="22"/>
          <w:szCs w:val="22"/>
        </w:rPr>
      </w:pPr>
      <w:bookmarkStart w:id="7" w:name="_3o4edt9ykrb" w:colFirst="0" w:colLast="0"/>
      <w:bookmarkStart w:id="8" w:name="_w2i9j027erjg" w:colFirst="0" w:colLast="0"/>
      <w:bookmarkEnd w:id="7"/>
      <w:bookmarkEnd w:id="8"/>
    </w:p>
    <w:p w14:paraId="5C21E045" w14:textId="77777777" w:rsidR="008F25C6" w:rsidRDefault="006A143E" w:rsidP="001D0F3B">
      <w:pPr>
        <w:pStyle w:val="Title"/>
      </w:pPr>
      <w:bookmarkStart w:id="9" w:name="_x08bk2744mac" w:colFirst="0" w:colLast="0"/>
      <w:bookmarkStart w:id="10" w:name="_1r2q62wcngoy" w:colFirst="0" w:colLast="0"/>
      <w:bookmarkEnd w:id="9"/>
      <w:bookmarkEnd w:id="10"/>
      <w:r>
        <w:t>About us</w:t>
      </w:r>
    </w:p>
    <w:p w14:paraId="1AA58FC9" w14:textId="77777777" w:rsidR="008F25C6" w:rsidRPr="00884EFA" w:rsidRDefault="006A143E" w:rsidP="001D0F3B">
      <w:pPr>
        <w:rPr>
          <w:sz w:val="22"/>
          <w:szCs w:val="22"/>
        </w:rPr>
      </w:pPr>
      <w:r w:rsidRPr="00884EFA">
        <w:rPr>
          <w:sz w:val="22"/>
          <w:szCs w:val="22"/>
        </w:rPr>
        <w:t xml:space="preserve">The Australian Women’s Health </w:t>
      </w:r>
      <w:r w:rsidR="002B5496" w:rsidRPr="00884EFA">
        <w:rPr>
          <w:sz w:val="22"/>
          <w:szCs w:val="22"/>
        </w:rPr>
        <w:t>Alliance</w:t>
      </w:r>
      <w:r w:rsidRPr="00884EFA">
        <w:rPr>
          <w:sz w:val="22"/>
          <w:szCs w:val="22"/>
        </w:rPr>
        <w:t xml:space="preserve"> provides a national voice on women’s health. </w:t>
      </w:r>
      <w:r w:rsidR="002B5496" w:rsidRPr="00884EFA">
        <w:rPr>
          <w:sz w:val="22"/>
          <w:szCs w:val="22"/>
        </w:rPr>
        <w:t>We highlight how gender shapes experiences of health and health care, recognising that women’s health is determined by social, cultural, environmental, and political factors.</w:t>
      </w:r>
    </w:p>
    <w:p w14:paraId="5C89C7E4" w14:textId="77777777" w:rsidR="008F25C6" w:rsidRDefault="008F25C6" w:rsidP="001D0F3B">
      <w:pPr>
        <w:rPr>
          <w:sz w:val="17"/>
          <w:szCs w:val="17"/>
        </w:rPr>
      </w:pPr>
    </w:p>
    <w:p w14:paraId="2CC666AC" w14:textId="77777777" w:rsidR="008F25C6" w:rsidRDefault="006A143E" w:rsidP="001D0F3B">
      <w:pPr>
        <w:pStyle w:val="Title"/>
      </w:pPr>
      <w:bookmarkStart w:id="11" w:name="_o7z4ctmkhc0d" w:colFirst="0" w:colLast="0"/>
      <w:bookmarkEnd w:id="11"/>
      <w:r>
        <w:t>Contact us</w:t>
      </w:r>
    </w:p>
    <w:p w14:paraId="525D9D17" w14:textId="77777777" w:rsidR="002B5496" w:rsidRPr="00884EFA" w:rsidRDefault="002B5496" w:rsidP="001D0F3B">
      <w:pPr>
        <w:rPr>
          <w:sz w:val="22"/>
          <w:szCs w:val="22"/>
        </w:rPr>
      </w:pPr>
      <w:r w:rsidRPr="00884EFA">
        <w:rPr>
          <w:sz w:val="22"/>
          <w:szCs w:val="22"/>
        </w:rPr>
        <w:t>Enquiries:</w:t>
      </w:r>
      <w:r w:rsidRPr="00884EFA">
        <w:rPr>
          <w:sz w:val="22"/>
          <w:szCs w:val="22"/>
        </w:rPr>
        <w:tab/>
      </w:r>
      <w:hyperlink r:id="rId11" w:history="1">
        <w:r w:rsidRPr="00884EFA">
          <w:rPr>
            <w:rStyle w:val="Hyperlink"/>
            <w:sz w:val="22"/>
            <w:szCs w:val="22"/>
          </w:rPr>
          <w:t>Info@AustralianWomensHealth.org</w:t>
        </w:r>
      </w:hyperlink>
      <w:r w:rsidRPr="00884EFA">
        <w:rPr>
          <w:sz w:val="22"/>
          <w:szCs w:val="22"/>
        </w:rPr>
        <w:t xml:space="preserve">    </w:t>
      </w:r>
    </w:p>
    <w:p w14:paraId="6C605591" w14:textId="77777777" w:rsidR="002B5496" w:rsidRPr="00884EFA" w:rsidRDefault="002B5496" w:rsidP="001D0F3B">
      <w:pPr>
        <w:rPr>
          <w:sz w:val="22"/>
          <w:szCs w:val="22"/>
        </w:rPr>
      </w:pPr>
      <w:r w:rsidRPr="00884EFA">
        <w:rPr>
          <w:sz w:val="22"/>
          <w:szCs w:val="22"/>
        </w:rPr>
        <w:t>Web:</w:t>
      </w:r>
      <w:r w:rsidRPr="00884EFA">
        <w:rPr>
          <w:sz w:val="22"/>
          <w:szCs w:val="22"/>
        </w:rPr>
        <w:tab/>
      </w:r>
      <w:r w:rsidRPr="00884EFA">
        <w:rPr>
          <w:sz w:val="22"/>
          <w:szCs w:val="22"/>
        </w:rPr>
        <w:tab/>
      </w:r>
      <w:hyperlink r:id="rId12" w:history="1">
        <w:r w:rsidRPr="00884EFA">
          <w:rPr>
            <w:rStyle w:val="Hyperlink"/>
            <w:sz w:val="22"/>
            <w:szCs w:val="22"/>
          </w:rPr>
          <w:t>www.AustralianWomensHealth.org</w:t>
        </w:r>
      </w:hyperlink>
      <w:r w:rsidRPr="00884EFA">
        <w:rPr>
          <w:sz w:val="22"/>
          <w:szCs w:val="22"/>
        </w:rPr>
        <w:t xml:space="preserve">   </w:t>
      </w:r>
    </w:p>
    <w:p w14:paraId="46BF9030" w14:textId="77777777" w:rsidR="008F25C6" w:rsidRDefault="008F25C6" w:rsidP="001D0F3B"/>
    <w:p w14:paraId="3E0B6CA9" w14:textId="366B96C9" w:rsidR="008F25C6" w:rsidRDefault="00EF4A17" w:rsidP="001D0F3B">
      <w:pPr>
        <w:pStyle w:val="Title"/>
      </w:pPr>
      <w:r>
        <w:t>Suggested c</w:t>
      </w:r>
      <w:r w:rsidR="006A143E">
        <w:t>itation</w:t>
      </w:r>
    </w:p>
    <w:p w14:paraId="57546676" w14:textId="32D8C3E6" w:rsidR="008F25C6" w:rsidRPr="00884EFA" w:rsidRDefault="006A143E" w:rsidP="001D0F3B">
      <w:pPr>
        <w:rPr>
          <w:sz w:val="22"/>
          <w:szCs w:val="22"/>
        </w:rPr>
      </w:pPr>
      <w:r w:rsidRPr="00884EFA">
        <w:rPr>
          <w:sz w:val="22"/>
          <w:szCs w:val="22"/>
        </w:rPr>
        <w:t xml:space="preserve">Australian Women’s Health </w:t>
      </w:r>
      <w:r w:rsidR="008A6F68" w:rsidRPr="00884EFA">
        <w:rPr>
          <w:sz w:val="22"/>
          <w:szCs w:val="22"/>
        </w:rPr>
        <w:t>Alliance</w:t>
      </w:r>
      <w:r w:rsidRPr="00884EFA">
        <w:rPr>
          <w:sz w:val="22"/>
          <w:szCs w:val="22"/>
        </w:rPr>
        <w:t xml:space="preserve">, </w:t>
      </w:r>
      <w:r w:rsidRPr="00917B79">
        <w:rPr>
          <w:i/>
          <w:iCs/>
          <w:sz w:val="22"/>
          <w:szCs w:val="22"/>
        </w:rPr>
        <w:t xml:space="preserve">Policy </w:t>
      </w:r>
      <w:r w:rsidR="00EF4A17">
        <w:rPr>
          <w:i/>
          <w:iCs/>
          <w:sz w:val="22"/>
          <w:szCs w:val="22"/>
        </w:rPr>
        <w:t>b</w:t>
      </w:r>
      <w:r w:rsidRPr="00917B79">
        <w:rPr>
          <w:i/>
          <w:iCs/>
          <w:sz w:val="22"/>
          <w:szCs w:val="22"/>
        </w:rPr>
        <w:t xml:space="preserve">rief – </w:t>
      </w:r>
      <w:r w:rsidR="000C3380" w:rsidRPr="00917B79">
        <w:rPr>
          <w:i/>
          <w:iCs/>
          <w:sz w:val="22"/>
          <w:szCs w:val="22"/>
        </w:rPr>
        <w:t xml:space="preserve">Rebalancing </w:t>
      </w:r>
      <w:r w:rsidR="00EF4A17">
        <w:rPr>
          <w:i/>
          <w:iCs/>
          <w:sz w:val="22"/>
          <w:szCs w:val="22"/>
        </w:rPr>
        <w:t>c</w:t>
      </w:r>
      <w:r w:rsidR="000C3380" w:rsidRPr="00917B79">
        <w:rPr>
          <w:i/>
          <w:iCs/>
          <w:sz w:val="22"/>
          <w:szCs w:val="22"/>
        </w:rPr>
        <w:t xml:space="preserve">are, </w:t>
      </w:r>
      <w:r w:rsidR="00EF4A17">
        <w:rPr>
          <w:i/>
          <w:iCs/>
          <w:sz w:val="22"/>
          <w:szCs w:val="22"/>
        </w:rPr>
        <w:t>w</w:t>
      </w:r>
      <w:r w:rsidR="000C3380" w:rsidRPr="00917B79">
        <w:rPr>
          <w:i/>
          <w:iCs/>
          <w:sz w:val="22"/>
          <w:szCs w:val="22"/>
        </w:rPr>
        <w:t xml:space="preserve">ork and </w:t>
      </w:r>
      <w:r w:rsidR="00EF4A17">
        <w:rPr>
          <w:i/>
          <w:iCs/>
          <w:sz w:val="22"/>
          <w:szCs w:val="22"/>
        </w:rPr>
        <w:t>h</w:t>
      </w:r>
      <w:r w:rsidR="000C3380" w:rsidRPr="00917B79">
        <w:rPr>
          <w:i/>
          <w:iCs/>
          <w:sz w:val="22"/>
          <w:szCs w:val="22"/>
        </w:rPr>
        <w:t>ealth</w:t>
      </w:r>
      <w:r w:rsidR="000C3380">
        <w:rPr>
          <w:sz w:val="22"/>
          <w:szCs w:val="22"/>
        </w:rPr>
        <w:t>,</w:t>
      </w:r>
      <w:r w:rsidR="008A6F68" w:rsidRPr="00884EFA">
        <w:rPr>
          <w:sz w:val="22"/>
          <w:szCs w:val="22"/>
        </w:rPr>
        <w:t xml:space="preserve"> </w:t>
      </w:r>
      <w:r w:rsidR="000B6654" w:rsidRPr="00884EFA">
        <w:rPr>
          <w:sz w:val="22"/>
          <w:szCs w:val="22"/>
        </w:rPr>
        <w:t xml:space="preserve">Australian Women’s Health Alliance, </w:t>
      </w:r>
      <w:r w:rsidR="000C3380">
        <w:rPr>
          <w:sz w:val="22"/>
          <w:szCs w:val="22"/>
        </w:rPr>
        <w:t>2023</w:t>
      </w:r>
      <w:r w:rsidR="000B6654" w:rsidRPr="00884EFA">
        <w:rPr>
          <w:sz w:val="22"/>
          <w:szCs w:val="22"/>
        </w:rPr>
        <w:t>.</w:t>
      </w:r>
    </w:p>
    <w:p w14:paraId="78632B07" w14:textId="6D9EF11D" w:rsidR="002B5496" w:rsidRDefault="002B5496" w:rsidP="001D0F3B">
      <w:pPr>
        <w:rPr>
          <w:sz w:val="22"/>
          <w:szCs w:val="22"/>
        </w:rPr>
      </w:pPr>
    </w:p>
    <w:p w14:paraId="7DF9342A" w14:textId="77777777" w:rsidR="000C3380" w:rsidRPr="00936FB0" w:rsidRDefault="000C3380" w:rsidP="001D0F3B">
      <w:pPr>
        <w:rPr>
          <w:sz w:val="22"/>
          <w:szCs w:val="22"/>
        </w:rPr>
      </w:pPr>
    </w:p>
    <w:p w14:paraId="0F769246" w14:textId="77777777" w:rsidR="008F25C6" w:rsidRPr="001D0F3B" w:rsidRDefault="006A143E" w:rsidP="001D0F3B">
      <w:pPr>
        <w:rPr>
          <w:i/>
          <w:sz w:val="22"/>
          <w:szCs w:val="22"/>
        </w:rPr>
      </w:pPr>
      <w:r w:rsidRPr="001D0F3B">
        <w:rPr>
          <w:i/>
          <w:sz w:val="22"/>
          <w:szCs w:val="22"/>
        </w:rPr>
        <w:t>We acknowledge the Traditional Custodians of the lands and waters on which we live and work.</w:t>
      </w:r>
    </w:p>
    <w:p w14:paraId="4011F1A0" w14:textId="49CA9CED" w:rsidR="00936FB0" w:rsidRDefault="006A143E" w:rsidP="00A3768D">
      <w:pPr>
        <w:rPr>
          <w:rFonts w:ascii="Rubik" w:eastAsia="Rubik" w:hAnsi="Rubik" w:cs="Rubik"/>
          <w:color w:val="5A006F"/>
          <w:sz w:val="22"/>
          <w:szCs w:val="22"/>
        </w:rPr>
      </w:pPr>
      <w:r w:rsidRPr="001D0F3B">
        <w:rPr>
          <w:i/>
          <w:sz w:val="22"/>
          <w:szCs w:val="22"/>
        </w:rPr>
        <w:t>We pay our respect to Elders past and present. Sovereignty has never been ceded.</w:t>
      </w:r>
      <w:r w:rsidR="00A3768D">
        <w:rPr>
          <w:i/>
          <w:sz w:val="22"/>
          <w:szCs w:val="22"/>
        </w:rPr>
        <w:t xml:space="preserve"> </w:t>
      </w:r>
    </w:p>
    <w:p w14:paraId="26E231AC" w14:textId="477D4EF4" w:rsidR="00A3768D" w:rsidRPr="00B26570" w:rsidRDefault="00A3768D" w:rsidP="00A3768D">
      <w:pPr>
        <w:rPr>
          <w:sz w:val="22"/>
          <w:szCs w:val="22"/>
        </w:rPr>
      </w:pPr>
    </w:p>
    <w:p w14:paraId="42B8FB40" w14:textId="31AA9D19" w:rsidR="0094593C" w:rsidRPr="00936FB0" w:rsidRDefault="0094593C" w:rsidP="0094593C">
      <w:pPr>
        <w:rPr>
          <w:sz w:val="22"/>
          <w:szCs w:val="22"/>
        </w:rPr>
      </w:pPr>
    </w:p>
    <w:p w14:paraId="644DB0DE" w14:textId="77777777" w:rsidR="0094593C" w:rsidRPr="00936FB0" w:rsidRDefault="0094593C" w:rsidP="00A3768D">
      <w:pPr>
        <w:rPr>
          <w:rFonts w:ascii="Rubik" w:eastAsia="Rubik" w:hAnsi="Rubik" w:cs="Rubik"/>
          <w:color w:val="5A006F"/>
          <w:sz w:val="22"/>
          <w:szCs w:val="22"/>
        </w:rPr>
      </w:pPr>
    </w:p>
    <w:p w14:paraId="7FCCA5E1" w14:textId="77777777" w:rsidR="008F25C6" w:rsidRDefault="008F25C6">
      <w:pPr>
        <w:rPr>
          <w:rFonts w:ascii="Rubik" w:eastAsia="Rubik" w:hAnsi="Rubik" w:cs="Rubik"/>
          <w:color w:val="5A006F"/>
          <w:sz w:val="24"/>
          <w:szCs w:val="24"/>
        </w:rPr>
      </w:pPr>
    </w:p>
    <w:p w14:paraId="6904B347" w14:textId="77777777" w:rsidR="008F25C6" w:rsidRDefault="008F25C6">
      <w:pPr>
        <w:rPr>
          <w:rFonts w:ascii="Rubik" w:eastAsia="Rubik" w:hAnsi="Rubik" w:cs="Rubik"/>
          <w:color w:val="5A006F"/>
          <w:sz w:val="24"/>
          <w:szCs w:val="24"/>
        </w:rPr>
      </w:pPr>
    </w:p>
    <w:p w14:paraId="745EA573" w14:textId="77777777" w:rsidR="008F25C6" w:rsidRDefault="008F25C6">
      <w:pPr>
        <w:rPr>
          <w:rFonts w:ascii="Rubik" w:eastAsia="Rubik" w:hAnsi="Rubik" w:cs="Rubik"/>
          <w:color w:val="5A006F"/>
          <w:sz w:val="17"/>
          <w:szCs w:val="17"/>
        </w:rPr>
      </w:pPr>
    </w:p>
    <w:p w14:paraId="6DFE13E0" w14:textId="77777777" w:rsidR="008F25C6" w:rsidRDefault="008F25C6">
      <w:pPr>
        <w:rPr>
          <w:rFonts w:ascii="Rubik" w:eastAsia="Rubik" w:hAnsi="Rubik" w:cs="Rubik"/>
          <w:color w:val="5A006F"/>
          <w:sz w:val="17"/>
          <w:szCs w:val="17"/>
        </w:rPr>
      </w:pPr>
    </w:p>
    <w:sectPr w:rsidR="008F25C6" w:rsidSect="002B5496">
      <w:headerReference w:type="default" r:id="rId13"/>
      <w:footerReference w:type="default" r:id="rId14"/>
      <w:headerReference w:type="first" r:id="rId15"/>
      <w:footerReference w:type="first" r:id="rId16"/>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DF27" w14:textId="77777777" w:rsidR="003364BD" w:rsidRDefault="003364BD">
      <w:pPr>
        <w:spacing w:line="240" w:lineRule="auto"/>
      </w:pPr>
      <w:r>
        <w:separator/>
      </w:r>
    </w:p>
  </w:endnote>
  <w:endnote w:type="continuationSeparator" w:id="0">
    <w:p w14:paraId="13A8D1C8" w14:textId="77777777" w:rsidR="003364BD" w:rsidRDefault="003364BD">
      <w:pPr>
        <w:spacing w:line="240" w:lineRule="auto"/>
      </w:pPr>
      <w:r>
        <w:continuationSeparator/>
      </w:r>
    </w:p>
  </w:endnote>
  <w:endnote w:id="1">
    <w:p w14:paraId="6649719B" w14:textId="647F2759" w:rsidR="00D52F03" w:rsidRPr="00C511A6" w:rsidRDefault="00D52F03" w:rsidP="00C511A6">
      <w:pPr>
        <w:rPr>
          <w:sz w:val="18"/>
          <w:szCs w:val="18"/>
          <w:lang w:val="en-US"/>
        </w:rPr>
      </w:pPr>
      <w:r w:rsidRPr="00C511A6">
        <w:rPr>
          <w:rStyle w:val="EndnoteReference"/>
          <w:sz w:val="18"/>
          <w:szCs w:val="18"/>
        </w:rPr>
        <w:endnoteRef/>
      </w:r>
      <w:r w:rsidR="00DA70EC" w:rsidRPr="00C511A6">
        <w:rPr>
          <w:sz w:val="18"/>
          <w:szCs w:val="18"/>
        </w:rPr>
        <w:t xml:space="preserve"> R Wilkins, E Vera-Toscano, F Botha, M Wooden and T-Anh Trinh, </w:t>
      </w:r>
      <w:hyperlink r:id="rId1" w:history="1">
        <w:r w:rsidR="00DA70EC" w:rsidRPr="00C511A6">
          <w:rPr>
            <w:rStyle w:val="Hyperlink"/>
            <w:i/>
            <w:iCs/>
            <w:sz w:val="18"/>
            <w:szCs w:val="18"/>
          </w:rPr>
          <w:t>The Household, Income and Labour Dynamics in Australia Survey: Selected Findings from Waves 1 to 20</w:t>
        </w:r>
      </w:hyperlink>
      <w:r w:rsidR="00C5417A" w:rsidRPr="00C511A6">
        <w:rPr>
          <w:sz w:val="18"/>
          <w:szCs w:val="18"/>
        </w:rPr>
        <w:t xml:space="preserve">, </w:t>
      </w:r>
      <w:r w:rsidR="00DA70EC" w:rsidRPr="00C511A6">
        <w:rPr>
          <w:sz w:val="18"/>
          <w:szCs w:val="18"/>
        </w:rPr>
        <w:t>Melbourne Institute: Applied Economic &amp; Social Research, University of Melbourne</w:t>
      </w:r>
      <w:r w:rsidR="00FF1339" w:rsidRPr="00C511A6">
        <w:rPr>
          <w:sz w:val="18"/>
          <w:szCs w:val="18"/>
        </w:rPr>
        <w:t>,</w:t>
      </w:r>
      <w:r w:rsidR="00E13E5E" w:rsidRPr="00C511A6">
        <w:rPr>
          <w:sz w:val="18"/>
          <w:szCs w:val="18"/>
        </w:rPr>
        <w:t xml:space="preserve"> 2022, accessed 1 July 2023. </w:t>
      </w:r>
    </w:p>
  </w:endnote>
  <w:endnote w:id="2">
    <w:p w14:paraId="2A983681" w14:textId="78C8A31C" w:rsidR="00D52F03" w:rsidRPr="00C511A6" w:rsidRDefault="00D52F03" w:rsidP="00C511A6">
      <w:pPr>
        <w:rPr>
          <w:sz w:val="18"/>
          <w:szCs w:val="18"/>
        </w:rPr>
      </w:pPr>
      <w:r w:rsidRPr="00C511A6">
        <w:rPr>
          <w:rStyle w:val="EndnoteReference"/>
          <w:sz w:val="18"/>
          <w:szCs w:val="18"/>
        </w:rPr>
        <w:endnoteRef/>
      </w:r>
      <w:r w:rsidRPr="00C511A6">
        <w:rPr>
          <w:sz w:val="18"/>
          <w:szCs w:val="18"/>
        </w:rPr>
        <w:t xml:space="preserve"> </w:t>
      </w:r>
      <w:r w:rsidR="009E5006" w:rsidRPr="00C511A6">
        <w:rPr>
          <w:sz w:val="18"/>
          <w:szCs w:val="18"/>
        </w:rPr>
        <w:t>R Wilkins et al.</w:t>
      </w:r>
      <w:r w:rsidR="002939A1" w:rsidRPr="00C511A6">
        <w:rPr>
          <w:sz w:val="18"/>
          <w:szCs w:val="18"/>
        </w:rPr>
        <w:t xml:space="preserve">, </w:t>
      </w:r>
      <w:r w:rsidR="007439EB" w:rsidRPr="00C511A6">
        <w:rPr>
          <w:sz w:val="18"/>
          <w:szCs w:val="18"/>
        </w:rPr>
        <w:t xml:space="preserve">The Household, Income and Labour Dynamics </w:t>
      </w:r>
      <w:r w:rsidR="002F4194" w:rsidRPr="00C511A6">
        <w:rPr>
          <w:sz w:val="18"/>
          <w:szCs w:val="18"/>
        </w:rPr>
        <w:t>in Australian Survey</w:t>
      </w:r>
      <w:r w:rsidR="00BF5502" w:rsidRPr="00C511A6">
        <w:rPr>
          <w:sz w:val="18"/>
          <w:szCs w:val="18"/>
        </w:rPr>
        <w:t xml:space="preserve">, accessed 1 July 2023. </w:t>
      </w:r>
      <w:r w:rsidR="002F4194" w:rsidRPr="00C511A6">
        <w:rPr>
          <w:sz w:val="18"/>
          <w:szCs w:val="18"/>
        </w:rPr>
        <w:t xml:space="preserve"> </w:t>
      </w:r>
    </w:p>
  </w:endnote>
  <w:endnote w:id="3">
    <w:p w14:paraId="2C6FBB9F" w14:textId="1CB74C15" w:rsidR="00D52F03" w:rsidRPr="00C511A6" w:rsidRDefault="00D52F03" w:rsidP="00C511A6">
      <w:pPr>
        <w:rPr>
          <w:sz w:val="18"/>
          <w:szCs w:val="18"/>
        </w:rPr>
      </w:pPr>
      <w:r w:rsidRPr="00C511A6">
        <w:rPr>
          <w:rStyle w:val="EndnoteReference"/>
          <w:sz w:val="18"/>
          <w:szCs w:val="18"/>
        </w:rPr>
        <w:endnoteRef/>
      </w:r>
      <w:r w:rsidRPr="00C511A6">
        <w:rPr>
          <w:sz w:val="18"/>
          <w:szCs w:val="18"/>
        </w:rPr>
        <w:t xml:space="preserve"> </w:t>
      </w:r>
      <w:r w:rsidR="004F515D" w:rsidRPr="00C511A6">
        <w:rPr>
          <w:sz w:val="18"/>
          <w:szCs w:val="18"/>
        </w:rPr>
        <w:t xml:space="preserve">Australian Institute of Health and Welfare, </w:t>
      </w:r>
      <w:hyperlink r:id="rId2" w:history="1">
        <w:r w:rsidR="004F515D" w:rsidRPr="00C511A6">
          <w:rPr>
            <w:rStyle w:val="Hyperlink"/>
            <w:i/>
            <w:iCs/>
            <w:sz w:val="18"/>
            <w:szCs w:val="18"/>
          </w:rPr>
          <w:t>Informal carers</w:t>
        </w:r>
      </w:hyperlink>
      <w:r w:rsidR="004F515D" w:rsidRPr="00C511A6">
        <w:rPr>
          <w:sz w:val="18"/>
          <w:szCs w:val="18"/>
        </w:rPr>
        <w:t xml:space="preserve">, </w:t>
      </w:r>
      <w:r w:rsidR="00D1664A" w:rsidRPr="00C511A6">
        <w:rPr>
          <w:sz w:val="18"/>
          <w:szCs w:val="18"/>
        </w:rPr>
        <w:t>Australian Government</w:t>
      </w:r>
      <w:r w:rsidR="00377DAD" w:rsidRPr="00C511A6">
        <w:rPr>
          <w:sz w:val="18"/>
          <w:szCs w:val="18"/>
        </w:rPr>
        <w:t>, 2021,</w:t>
      </w:r>
      <w:r w:rsidR="00D1664A" w:rsidRPr="00C511A6">
        <w:rPr>
          <w:sz w:val="18"/>
          <w:szCs w:val="18"/>
        </w:rPr>
        <w:t xml:space="preserve"> </w:t>
      </w:r>
      <w:r w:rsidRPr="00C511A6">
        <w:rPr>
          <w:sz w:val="18"/>
          <w:szCs w:val="18"/>
        </w:rPr>
        <w:t xml:space="preserve">accessed 1 July 2023. </w:t>
      </w:r>
    </w:p>
  </w:endnote>
  <w:endnote w:id="4">
    <w:p w14:paraId="557D848C" w14:textId="5A33664F" w:rsidR="00D52F03" w:rsidRPr="00C511A6" w:rsidRDefault="00D52F03" w:rsidP="00C511A6">
      <w:pPr>
        <w:rPr>
          <w:sz w:val="18"/>
          <w:szCs w:val="18"/>
        </w:rPr>
      </w:pPr>
      <w:r w:rsidRPr="00C511A6">
        <w:rPr>
          <w:rStyle w:val="EndnoteReference"/>
          <w:sz w:val="18"/>
          <w:szCs w:val="18"/>
        </w:rPr>
        <w:endnoteRef/>
      </w:r>
      <w:r w:rsidRPr="00C511A6">
        <w:rPr>
          <w:sz w:val="18"/>
          <w:szCs w:val="18"/>
        </w:rPr>
        <w:t xml:space="preserve"> </w:t>
      </w:r>
      <w:r w:rsidR="004C0F1D" w:rsidRPr="00C511A6">
        <w:rPr>
          <w:sz w:val="18"/>
          <w:szCs w:val="18"/>
        </w:rPr>
        <w:t xml:space="preserve">R Wilkins et al., The Household, Income and Labour Dynamics in Australian Survey, accessed 1 July 2023.  </w:t>
      </w:r>
    </w:p>
  </w:endnote>
  <w:endnote w:id="5">
    <w:p w14:paraId="4B52DB21" w14:textId="6CD1116F" w:rsidR="00D52F03" w:rsidRPr="00C511A6" w:rsidRDefault="00D52F03" w:rsidP="00C511A6">
      <w:pPr>
        <w:rPr>
          <w:sz w:val="18"/>
          <w:szCs w:val="18"/>
        </w:rPr>
      </w:pPr>
      <w:r w:rsidRPr="00C511A6">
        <w:rPr>
          <w:rStyle w:val="EndnoteReference"/>
          <w:sz w:val="18"/>
          <w:szCs w:val="18"/>
        </w:rPr>
        <w:endnoteRef/>
      </w:r>
      <w:r w:rsidRPr="00C511A6">
        <w:rPr>
          <w:sz w:val="18"/>
          <w:szCs w:val="18"/>
        </w:rPr>
        <w:t xml:space="preserve"> </w:t>
      </w:r>
      <w:r w:rsidR="004603EB" w:rsidRPr="00C511A6">
        <w:rPr>
          <w:sz w:val="18"/>
          <w:szCs w:val="18"/>
        </w:rPr>
        <w:t>R</w:t>
      </w:r>
      <w:r w:rsidR="00116B06">
        <w:rPr>
          <w:sz w:val="18"/>
          <w:szCs w:val="18"/>
        </w:rPr>
        <w:t xml:space="preserve"> </w:t>
      </w:r>
      <w:r w:rsidR="004603EB" w:rsidRPr="00C511A6">
        <w:rPr>
          <w:sz w:val="18"/>
          <w:szCs w:val="18"/>
        </w:rPr>
        <w:t xml:space="preserve">Wilkins et al., The Household, Income and Labour Dynamics in Australian Survey, accessed 1 July 2023.  </w:t>
      </w:r>
    </w:p>
  </w:endnote>
  <w:endnote w:id="6">
    <w:p w14:paraId="44AD6CE3" w14:textId="4DB1DE1A" w:rsidR="00D52F03" w:rsidRPr="00C511A6" w:rsidRDefault="00D52F03" w:rsidP="00C511A6">
      <w:pPr>
        <w:rPr>
          <w:sz w:val="18"/>
          <w:szCs w:val="18"/>
        </w:rPr>
      </w:pPr>
      <w:r w:rsidRPr="00C511A6">
        <w:rPr>
          <w:rStyle w:val="EndnoteReference"/>
          <w:sz w:val="18"/>
          <w:szCs w:val="18"/>
        </w:rPr>
        <w:endnoteRef/>
      </w:r>
      <w:r w:rsidRPr="00C511A6">
        <w:rPr>
          <w:sz w:val="18"/>
          <w:szCs w:val="18"/>
        </w:rPr>
        <w:t xml:space="preserve"> </w:t>
      </w:r>
      <w:r w:rsidR="006B7AB5" w:rsidRPr="00C511A6">
        <w:rPr>
          <w:sz w:val="18"/>
          <w:szCs w:val="18"/>
        </w:rPr>
        <w:t xml:space="preserve">A Duncan, A Mavisakalyan and S Salazar, </w:t>
      </w:r>
      <w:hyperlink r:id="rId3" w:history="1">
        <w:r w:rsidR="006B7AB5" w:rsidRPr="00C511A6">
          <w:rPr>
            <w:rStyle w:val="Hyperlink"/>
            <w:i/>
            <w:iCs/>
            <w:sz w:val="18"/>
            <w:szCs w:val="18"/>
          </w:rPr>
          <w:t>Gender Equity Insights 2022: The State of Inequality in Australia</w:t>
        </w:r>
      </w:hyperlink>
      <w:r w:rsidR="006B7AB5" w:rsidRPr="00C511A6">
        <w:rPr>
          <w:sz w:val="18"/>
          <w:szCs w:val="18"/>
        </w:rPr>
        <w:t xml:space="preserve">, BCEC|WGEA Gender Equity Series, Issue #7, October </w:t>
      </w:r>
      <w:r w:rsidR="002B0E49" w:rsidRPr="00C511A6">
        <w:rPr>
          <w:sz w:val="18"/>
          <w:szCs w:val="18"/>
        </w:rPr>
        <w:t>2022 accessed 1 July 2023.</w:t>
      </w:r>
    </w:p>
  </w:endnote>
  <w:endnote w:id="7">
    <w:p w14:paraId="4C370985" w14:textId="6545EA5E" w:rsidR="00D52F03" w:rsidRPr="00C511A6" w:rsidRDefault="00D52F03" w:rsidP="00C511A6">
      <w:pPr>
        <w:rPr>
          <w:sz w:val="18"/>
          <w:szCs w:val="18"/>
        </w:rPr>
      </w:pPr>
      <w:r w:rsidRPr="00C511A6">
        <w:rPr>
          <w:rStyle w:val="EndnoteReference"/>
          <w:sz w:val="18"/>
          <w:szCs w:val="18"/>
        </w:rPr>
        <w:endnoteRef/>
      </w:r>
      <w:r w:rsidR="00A1635E" w:rsidRPr="00C511A6">
        <w:rPr>
          <w:sz w:val="18"/>
          <w:szCs w:val="18"/>
        </w:rPr>
        <w:t xml:space="preserve"> C Eastman, S Charlesworth and E Hill, </w:t>
      </w:r>
      <w:hyperlink r:id="rId4" w:history="1">
        <w:r w:rsidR="00A1635E" w:rsidRPr="00C511A6">
          <w:rPr>
            <w:rStyle w:val="Hyperlink"/>
            <w:sz w:val="18"/>
            <w:szCs w:val="18"/>
          </w:rPr>
          <w:t>Fact Sheet 1: Migrant Workers in Frontline Care</w:t>
        </w:r>
      </w:hyperlink>
      <w:r w:rsidR="00A1635E" w:rsidRPr="00C511A6">
        <w:rPr>
          <w:sz w:val="18"/>
          <w:szCs w:val="18"/>
        </w:rPr>
        <w:t>,</w:t>
      </w:r>
      <w:r w:rsidR="00F17564" w:rsidRPr="00C511A6">
        <w:rPr>
          <w:sz w:val="18"/>
          <w:szCs w:val="18"/>
        </w:rPr>
        <w:t xml:space="preserve"> University of NSW</w:t>
      </w:r>
      <w:r w:rsidR="00D67543" w:rsidRPr="00C511A6">
        <w:rPr>
          <w:sz w:val="18"/>
          <w:szCs w:val="18"/>
        </w:rPr>
        <w:t>,</w:t>
      </w:r>
      <w:r w:rsidR="00A1635E" w:rsidRPr="00C511A6">
        <w:rPr>
          <w:sz w:val="18"/>
          <w:szCs w:val="18"/>
        </w:rPr>
        <w:t xml:space="preserve"> </w:t>
      </w:r>
      <w:r w:rsidR="00E9448A" w:rsidRPr="00C511A6">
        <w:rPr>
          <w:sz w:val="18"/>
          <w:szCs w:val="18"/>
        </w:rPr>
        <w:t>n.d</w:t>
      </w:r>
      <w:r w:rsidR="00F17564" w:rsidRPr="00C511A6">
        <w:rPr>
          <w:sz w:val="18"/>
          <w:szCs w:val="18"/>
        </w:rPr>
        <w:t xml:space="preserve">., </w:t>
      </w:r>
      <w:r w:rsidRPr="00C511A6">
        <w:rPr>
          <w:sz w:val="18"/>
          <w:szCs w:val="18"/>
        </w:rPr>
        <w:t xml:space="preserve">accessed 2 July 2023. </w:t>
      </w:r>
    </w:p>
  </w:endnote>
  <w:endnote w:id="8">
    <w:p w14:paraId="083C241E" w14:textId="31685FF6" w:rsidR="005C5609" w:rsidRPr="00C511A6" w:rsidRDefault="00D52F03" w:rsidP="00DA2871">
      <w:pPr>
        <w:rPr>
          <w:sz w:val="18"/>
          <w:szCs w:val="18"/>
        </w:rPr>
      </w:pPr>
      <w:r w:rsidRPr="00C511A6">
        <w:rPr>
          <w:rStyle w:val="EndnoteReference"/>
          <w:sz w:val="18"/>
          <w:szCs w:val="18"/>
        </w:rPr>
        <w:endnoteRef/>
      </w:r>
      <w:r w:rsidR="005C5609" w:rsidRPr="00C511A6">
        <w:rPr>
          <w:sz w:val="18"/>
          <w:szCs w:val="18"/>
        </w:rPr>
        <w:t xml:space="preserve"> S McGuinness, J Johnson, O Eades, P Cameron, A Forbes, J Fisher, K Grantham, C Hodgson, P Hunter, J Kasza, H Kelsall, M Kirkman, G Russell, P Russo, M Sim, K Singh, H Skouteris, K Smith, R Stuart, H Teede, J Trauer, A Udy, S Zoungas and K Leder </w:t>
      </w:r>
    </w:p>
    <w:p w14:paraId="64A348E0" w14:textId="179C4637" w:rsidR="00031FFB" w:rsidRPr="00C511A6" w:rsidRDefault="0099587E" w:rsidP="00DA2871">
      <w:pPr>
        <w:rPr>
          <w:color w:val="212121"/>
          <w:sz w:val="18"/>
          <w:szCs w:val="18"/>
        </w:rPr>
      </w:pPr>
      <w:r w:rsidRPr="00C511A6">
        <w:rPr>
          <w:sz w:val="18"/>
          <w:szCs w:val="18"/>
        </w:rPr>
        <w:t xml:space="preserve"> </w:t>
      </w:r>
      <w:r w:rsidR="00177540" w:rsidRPr="00C511A6">
        <w:rPr>
          <w:sz w:val="18"/>
          <w:szCs w:val="18"/>
        </w:rPr>
        <w:t>‘</w:t>
      </w:r>
      <w:hyperlink r:id="rId5" w:anchor=":~:text=Conclusions%3A%20Australian%20HCWs%20employed%20during,organisational%20and%20state%20policy%20levels" w:history="1">
        <w:r w:rsidR="00177540" w:rsidRPr="00C511A6">
          <w:rPr>
            <w:rStyle w:val="Hyperlink"/>
            <w:sz w:val="18"/>
            <w:szCs w:val="18"/>
          </w:rPr>
          <w:t>M</w:t>
        </w:r>
        <w:r w:rsidRPr="00C511A6">
          <w:rPr>
            <w:rStyle w:val="Hyperlink"/>
            <w:sz w:val="18"/>
            <w:szCs w:val="18"/>
          </w:rPr>
          <w:t>ental Health Outcomes in Australian Healthcare and Aged-Care Workers during the Second Year of the COVID-19 Pandemic</w:t>
        </w:r>
      </w:hyperlink>
      <w:r w:rsidR="00EA5F13" w:rsidRPr="00C511A6">
        <w:rPr>
          <w:sz w:val="18"/>
          <w:szCs w:val="18"/>
        </w:rPr>
        <w:t>’</w:t>
      </w:r>
      <w:r w:rsidR="00830133" w:rsidRPr="00C511A6">
        <w:rPr>
          <w:sz w:val="18"/>
          <w:szCs w:val="18"/>
        </w:rPr>
        <w:t xml:space="preserve">, </w:t>
      </w:r>
      <w:r w:rsidR="00830133" w:rsidRPr="001834D9">
        <w:rPr>
          <w:i/>
          <w:iCs/>
          <w:sz w:val="18"/>
          <w:szCs w:val="18"/>
        </w:rPr>
        <w:t xml:space="preserve">International </w:t>
      </w:r>
      <w:r w:rsidR="00116B06">
        <w:rPr>
          <w:i/>
          <w:iCs/>
          <w:sz w:val="18"/>
          <w:szCs w:val="18"/>
        </w:rPr>
        <w:t>J</w:t>
      </w:r>
      <w:r w:rsidR="00830133" w:rsidRPr="001834D9">
        <w:rPr>
          <w:i/>
          <w:iCs/>
          <w:sz w:val="18"/>
          <w:szCs w:val="18"/>
        </w:rPr>
        <w:t xml:space="preserve">ournal of </w:t>
      </w:r>
      <w:r w:rsidR="00116B06">
        <w:rPr>
          <w:i/>
          <w:iCs/>
          <w:sz w:val="18"/>
          <w:szCs w:val="18"/>
        </w:rPr>
        <w:t>E</w:t>
      </w:r>
      <w:r w:rsidR="00830133" w:rsidRPr="001834D9">
        <w:rPr>
          <w:i/>
          <w:iCs/>
          <w:sz w:val="18"/>
          <w:szCs w:val="18"/>
        </w:rPr>
        <w:t xml:space="preserve">nvironmental </w:t>
      </w:r>
      <w:r w:rsidR="00116B06">
        <w:rPr>
          <w:i/>
          <w:iCs/>
          <w:sz w:val="18"/>
          <w:szCs w:val="18"/>
        </w:rPr>
        <w:t>R</w:t>
      </w:r>
      <w:r w:rsidR="00830133" w:rsidRPr="001834D9">
        <w:rPr>
          <w:i/>
          <w:iCs/>
          <w:sz w:val="18"/>
          <w:szCs w:val="18"/>
        </w:rPr>
        <w:t xml:space="preserve">esearch and </w:t>
      </w:r>
      <w:r w:rsidR="00116B06">
        <w:rPr>
          <w:i/>
          <w:iCs/>
          <w:sz w:val="18"/>
          <w:szCs w:val="18"/>
        </w:rPr>
        <w:t>P</w:t>
      </w:r>
      <w:r w:rsidR="00830133" w:rsidRPr="001834D9">
        <w:rPr>
          <w:i/>
          <w:iCs/>
          <w:sz w:val="18"/>
          <w:szCs w:val="18"/>
        </w:rPr>
        <w:t xml:space="preserve">ublic </w:t>
      </w:r>
      <w:r w:rsidR="00116B06">
        <w:rPr>
          <w:i/>
          <w:iCs/>
          <w:sz w:val="18"/>
          <w:szCs w:val="18"/>
        </w:rPr>
        <w:t>H</w:t>
      </w:r>
      <w:r w:rsidR="00830133" w:rsidRPr="001834D9">
        <w:rPr>
          <w:i/>
          <w:iCs/>
          <w:sz w:val="18"/>
          <w:szCs w:val="18"/>
        </w:rPr>
        <w:t>ealth</w:t>
      </w:r>
      <w:r w:rsidR="00830133" w:rsidRPr="00C511A6">
        <w:rPr>
          <w:sz w:val="18"/>
          <w:szCs w:val="18"/>
        </w:rPr>
        <w:t>,</w:t>
      </w:r>
      <w:r w:rsidR="00B95C5A" w:rsidRPr="00C511A6">
        <w:rPr>
          <w:sz w:val="18"/>
          <w:szCs w:val="18"/>
        </w:rPr>
        <w:t xml:space="preserve"> April 19 2022, </w:t>
      </w:r>
      <w:r w:rsidR="00B457C8" w:rsidRPr="00C511A6">
        <w:rPr>
          <w:sz w:val="18"/>
          <w:szCs w:val="18"/>
        </w:rPr>
        <w:t xml:space="preserve">19(9):4951, accessed 1 July 2023. </w:t>
      </w:r>
    </w:p>
  </w:endnote>
  <w:endnote w:id="9">
    <w:p w14:paraId="587432AC" w14:textId="32B0F888" w:rsidR="00146629" w:rsidRPr="00C511A6" w:rsidRDefault="0087441B" w:rsidP="00C511A6">
      <w:pPr>
        <w:rPr>
          <w:sz w:val="18"/>
          <w:szCs w:val="18"/>
        </w:rPr>
      </w:pPr>
      <w:r w:rsidRPr="00C511A6">
        <w:rPr>
          <w:rStyle w:val="EndnoteReference"/>
          <w:sz w:val="18"/>
          <w:szCs w:val="18"/>
        </w:rPr>
        <w:endnoteRef/>
      </w:r>
      <w:r w:rsidR="00146629" w:rsidRPr="00C511A6">
        <w:rPr>
          <w:sz w:val="18"/>
          <w:szCs w:val="18"/>
        </w:rPr>
        <w:t xml:space="preserve"> </w:t>
      </w:r>
      <w:r w:rsidR="00E40891" w:rsidRPr="00C511A6">
        <w:rPr>
          <w:sz w:val="18"/>
          <w:szCs w:val="18"/>
        </w:rPr>
        <w:t>Australian Nursing &amp; Midwifery Federation,</w:t>
      </w:r>
      <w:r w:rsidRPr="00C511A6">
        <w:rPr>
          <w:sz w:val="18"/>
          <w:szCs w:val="18"/>
        </w:rPr>
        <w:t xml:space="preserve"> </w:t>
      </w:r>
      <w:hyperlink r:id="rId6" w:history="1">
        <w:r w:rsidR="00E40891" w:rsidRPr="00C511A6">
          <w:rPr>
            <w:rStyle w:val="Hyperlink"/>
            <w:i/>
            <w:iCs/>
            <w:sz w:val="18"/>
            <w:szCs w:val="18"/>
          </w:rPr>
          <w:t>Overha</w:t>
        </w:r>
        <w:r w:rsidR="0010180F" w:rsidRPr="00C511A6">
          <w:rPr>
            <w:rStyle w:val="Hyperlink"/>
            <w:i/>
            <w:iCs/>
            <w:sz w:val="18"/>
            <w:szCs w:val="18"/>
          </w:rPr>
          <w:t>u</w:t>
        </w:r>
        <w:r w:rsidR="00E40891" w:rsidRPr="00C511A6">
          <w:rPr>
            <w:rStyle w:val="Hyperlink"/>
            <w:i/>
            <w:iCs/>
            <w:sz w:val="18"/>
            <w:szCs w:val="18"/>
          </w:rPr>
          <w:t>ls needed to slow nurse and midwife exodus</w:t>
        </w:r>
      </w:hyperlink>
      <w:r w:rsidR="00E40891" w:rsidRPr="00C511A6">
        <w:rPr>
          <w:sz w:val="18"/>
          <w:szCs w:val="18"/>
        </w:rPr>
        <w:t>,</w:t>
      </w:r>
      <w:r w:rsidR="0010180F" w:rsidRPr="00C511A6">
        <w:rPr>
          <w:sz w:val="18"/>
          <w:szCs w:val="18"/>
        </w:rPr>
        <w:t xml:space="preserve"> Australian Nursing &amp; Midwifery Federation</w:t>
      </w:r>
      <w:r w:rsidR="00C511A6" w:rsidRPr="00C511A6">
        <w:rPr>
          <w:sz w:val="18"/>
          <w:szCs w:val="18"/>
        </w:rPr>
        <w:t>, 15 February 2023, accessed 2 July 2023.</w:t>
      </w:r>
    </w:p>
    <w:p w14:paraId="407947A2" w14:textId="77777777" w:rsidR="00146629" w:rsidRDefault="00146629" w:rsidP="0087441B">
      <w:pPr>
        <w:rPr>
          <w:sz w:val="18"/>
          <w:szCs w:val="18"/>
        </w:rPr>
      </w:pPr>
    </w:p>
    <w:p w14:paraId="198F536D" w14:textId="77777777" w:rsidR="00146629" w:rsidRDefault="00146629" w:rsidP="0087441B">
      <w:pPr>
        <w:rPr>
          <w:sz w:val="18"/>
          <w:szCs w:val="18"/>
        </w:rPr>
      </w:pPr>
    </w:p>
    <w:p w14:paraId="64B0ACCF" w14:textId="77777777" w:rsidR="0087441B" w:rsidRDefault="0087441B" w:rsidP="0087441B">
      <w:pPr>
        <w:pStyle w:val="EndnoteText"/>
        <w:rPr>
          <w:sz w:val="18"/>
          <w:szCs w:val="18"/>
        </w:rPr>
      </w:pPr>
    </w:p>
    <w:p w14:paraId="68E274BD" w14:textId="77777777" w:rsidR="0087441B" w:rsidRDefault="0087441B" w:rsidP="008744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0CD"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28D0771B" wp14:editId="60761EFF">
          <wp:simplePos x="0" y="0"/>
          <wp:positionH relativeFrom="column">
            <wp:posOffset>-964565</wp:posOffset>
          </wp:positionH>
          <wp:positionV relativeFrom="paragraph">
            <wp:posOffset>523875</wp:posOffset>
          </wp:positionV>
          <wp:extent cx="7631430" cy="125730"/>
          <wp:effectExtent l="0" t="0" r="0" b="0"/>
          <wp:wrapNone/>
          <wp:docPr id="854930143" name="Picture 85493014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0F"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08BC56BF" wp14:editId="19AE5041">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7B97" w14:textId="77777777" w:rsidR="003364BD" w:rsidRDefault="003364BD">
      <w:pPr>
        <w:spacing w:line="240" w:lineRule="auto"/>
      </w:pPr>
      <w:r>
        <w:separator/>
      </w:r>
    </w:p>
  </w:footnote>
  <w:footnote w:type="continuationSeparator" w:id="0">
    <w:p w14:paraId="1DABFEF1" w14:textId="77777777" w:rsidR="003364BD" w:rsidRDefault="00336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6F6" w14:textId="77777777" w:rsidR="008F25C6" w:rsidRDefault="006A143E">
    <w:r>
      <w:rPr>
        <w:noProof/>
      </w:rPr>
      <w:drawing>
        <wp:anchor distT="114300" distB="114300" distL="114300" distR="114300" simplePos="0" relativeHeight="251658240" behindDoc="0" locked="0" layoutInCell="1" hidden="0" allowOverlap="1" wp14:anchorId="47B69850" wp14:editId="31625DBF">
          <wp:simplePos x="0" y="0"/>
          <wp:positionH relativeFrom="column">
            <wp:posOffset>1</wp:posOffset>
          </wp:positionH>
          <wp:positionV relativeFrom="paragraph">
            <wp:posOffset>114300</wp:posOffset>
          </wp:positionV>
          <wp:extent cx="533400" cy="466725"/>
          <wp:effectExtent l="0" t="0" r="0" b="0"/>
          <wp:wrapNone/>
          <wp:docPr id="1781817302" name="Picture 1781817302" descr="Australian Women's Health Alliance logo with four icons only, no text"/>
          <wp:cNvGraphicFramePr/>
          <a:graphic xmlns:a="http://schemas.openxmlformats.org/drawingml/2006/main">
            <a:graphicData uri="http://schemas.openxmlformats.org/drawingml/2006/picture">
              <pic:pic xmlns:pic="http://schemas.openxmlformats.org/drawingml/2006/picture">
                <pic:nvPicPr>
                  <pic:cNvPr id="1781817302" name="Picture 1781817302" descr="Australian Women's Health Alliance logo with four icons only, no text"/>
                  <pic:cNvPicPr preferRelativeResize="0"/>
                </pic:nvPicPr>
                <pic:blipFill>
                  <a:blip r:embed="rId1"/>
                  <a:srcRect r="67058"/>
                  <a:stretch>
                    <a:fillRect/>
                  </a:stretch>
                </pic:blipFill>
                <pic:spPr>
                  <a:xfrm>
                    <a:off x="0" y="0"/>
                    <a:ext cx="533400" cy="466725"/>
                  </a:xfrm>
                  <a:prstGeom prst="rect">
                    <a:avLst/>
                  </a:prstGeom>
                  <a:ln/>
                </pic:spPr>
              </pic:pic>
            </a:graphicData>
          </a:graphic>
        </wp:anchor>
      </w:drawing>
    </w:r>
  </w:p>
  <w:p w14:paraId="06044836"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DE9" w14:textId="77777777" w:rsidR="008F25C6" w:rsidRDefault="006A143E">
    <w:r>
      <w:rPr>
        <w:noProof/>
      </w:rPr>
      <w:drawing>
        <wp:anchor distT="114300" distB="114300" distL="114300" distR="114300" simplePos="0" relativeHeight="251659264" behindDoc="0" locked="0" layoutInCell="1" hidden="0" allowOverlap="1" wp14:anchorId="2E9014D3" wp14:editId="29EC8155">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40AA61" wp14:editId="0CC4EC42">
          <wp:extent cx="1622502" cy="461963"/>
          <wp:effectExtent l="0" t="0" r="0" b="0"/>
          <wp:docPr id="52053682" name="Picture 52053682" descr="Australian Women's Health Alliance logo"/>
          <wp:cNvGraphicFramePr/>
          <a:graphic xmlns:a="http://schemas.openxmlformats.org/drawingml/2006/main">
            <a:graphicData uri="http://schemas.openxmlformats.org/drawingml/2006/picture">
              <pic:pic xmlns:pic="http://schemas.openxmlformats.org/drawingml/2006/picture">
                <pic:nvPicPr>
                  <pic:cNvPr id="52053682" name="Picture 52053682" descr="Australian Women's Health Alliance log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22502"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1054"/>
    <w:multiLevelType w:val="multilevel"/>
    <w:tmpl w:val="4D36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9C743"/>
    <w:multiLevelType w:val="hybridMultilevel"/>
    <w:tmpl w:val="AA6C7FEC"/>
    <w:lvl w:ilvl="0" w:tplc="E08E630C">
      <w:start w:val="1"/>
      <w:numFmt w:val="bullet"/>
      <w:lvlText w:val=""/>
      <w:lvlJc w:val="left"/>
      <w:pPr>
        <w:ind w:left="720" w:hanging="360"/>
      </w:pPr>
      <w:rPr>
        <w:rFonts w:ascii="Symbol" w:hAnsi="Symbol" w:hint="default"/>
      </w:rPr>
    </w:lvl>
    <w:lvl w:ilvl="1" w:tplc="49D861A4">
      <w:start w:val="1"/>
      <w:numFmt w:val="bullet"/>
      <w:lvlText w:val="o"/>
      <w:lvlJc w:val="left"/>
      <w:pPr>
        <w:ind w:left="1440" w:hanging="360"/>
      </w:pPr>
      <w:rPr>
        <w:rFonts w:ascii="Courier New" w:hAnsi="Courier New" w:cs="Times New Roman" w:hint="default"/>
      </w:rPr>
    </w:lvl>
    <w:lvl w:ilvl="2" w:tplc="64B60ECC">
      <w:start w:val="1"/>
      <w:numFmt w:val="bullet"/>
      <w:lvlText w:val=""/>
      <w:lvlJc w:val="left"/>
      <w:pPr>
        <w:ind w:left="2160" w:hanging="360"/>
      </w:pPr>
      <w:rPr>
        <w:rFonts w:ascii="Wingdings" w:hAnsi="Wingdings" w:hint="default"/>
      </w:rPr>
    </w:lvl>
    <w:lvl w:ilvl="3" w:tplc="2160A97E">
      <w:start w:val="1"/>
      <w:numFmt w:val="bullet"/>
      <w:lvlText w:val=""/>
      <w:lvlJc w:val="left"/>
      <w:pPr>
        <w:ind w:left="2880" w:hanging="360"/>
      </w:pPr>
      <w:rPr>
        <w:rFonts w:ascii="Symbol" w:hAnsi="Symbol" w:hint="default"/>
      </w:rPr>
    </w:lvl>
    <w:lvl w:ilvl="4" w:tplc="DFFE93EC">
      <w:start w:val="1"/>
      <w:numFmt w:val="bullet"/>
      <w:lvlText w:val="o"/>
      <w:lvlJc w:val="left"/>
      <w:pPr>
        <w:ind w:left="3600" w:hanging="360"/>
      </w:pPr>
      <w:rPr>
        <w:rFonts w:ascii="Courier New" w:hAnsi="Courier New" w:cs="Times New Roman" w:hint="default"/>
      </w:rPr>
    </w:lvl>
    <w:lvl w:ilvl="5" w:tplc="6CA0911C">
      <w:start w:val="1"/>
      <w:numFmt w:val="bullet"/>
      <w:lvlText w:val=""/>
      <w:lvlJc w:val="left"/>
      <w:pPr>
        <w:ind w:left="4320" w:hanging="360"/>
      </w:pPr>
      <w:rPr>
        <w:rFonts w:ascii="Wingdings" w:hAnsi="Wingdings" w:hint="default"/>
      </w:rPr>
    </w:lvl>
    <w:lvl w:ilvl="6" w:tplc="4802DE6C">
      <w:start w:val="1"/>
      <w:numFmt w:val="bullet"/>
      <w:lvlText w:val=""/>
      <w:lvlJc w:val="left"/>
      <w:pPr>
        <w:ind w:left="5040" w:hanging="360"/>
      </w:pPr>
      <w:rPr>
        <w:rFonts w:ascii="Symbol" w:hAnsi="Symbol" w:hint="default"/>
      </w:rPr>
    </w:lvl>
    <w:lvl w:ilvl="7" w:tplc="85348D50">
      <w:start w:val="1"/>
      <w:numFmt w:val="bullet"/>
      <w:lvlText w:val="o"/>
      <w:lvlJc w:val="left"/>
      <w:pPr>
        <w:ind w:left="5760" w:hanging="360"/>
      </w:pPr>
      <w:rPr>
        <w:rFonts w:ascii="Courier New" w:hAnsi="Courier New" w:cs="Times New Roman" w:hint="default"/>
      </w:rPr>
    </w:lvl>
    <w:lvl w:ilvl="8" w:tplc="B72A6B12">
      <w:start w:val="1"/>
      <w:numFmt w:val="bullet"/>
      <w:lvlText w:val=""/>
      <w:lvlJc w:val="left"/>
      <w:pPr>
        <w:ind w:left="6480" w:hanging="360"/>
      </w:pPr>
      <w:rPr>
        <w:rFonts w:ascii="Wingdings" w:hAnsi="Wingdings" w:hint="default"/>
      </w:rPr>
    </w:lvl>
  </w:abstractNum>
  <w:num w:numId="1" w16cid:durableId="191843308">
    <w:abstractNumId w:val="0"/>
  </w:num>
  <w:num w:numId="2" w16cid:durableId="44088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1A"/>
    <w:rsid w:val="000311D8"/>
    <w:rsid w:val="00031ED9"/>
    <w:rsid w:val="00031FFB"/>
    <w:rsid w:val="00094B4A"/>
    <w:rsid w:val="0009531A"/>
    <w:rsid w:val="000A2266"/>
    <w:rsid w:val="000B6654"/>
    <w:rsid w:val="000C3380"/>
    <w:rsid w:val="000F3C05"/>
    <w:rsid w:val="0010180F"/>
    <w:rsid w:val="0010361D"/>
    <w:rsid w:val="00114714"/>
    <w:rsid w:val="00116B06"/>
    <w:rsid w:val="001262B0"/>
    <w:rsid w:val="00146629"/>
    <w:rsid w:val="00177540"/>
    <w:rsid w:val="001834D9"/>
    <w:rsid w:val="0018594A"/>
    <w:rsid w:val="001D0F3B"/>
    <w:rsid w:val="001D3161"/>
    <w:rsid w:val="002013C7"/>
    <w:rsid w:val="00240118"/>
    <w:rsid w:val="00292F04"/>
    <w:rsid w:val="002939A1"/>
    <w:rsid w:val="002950B9"/>
    <w:rsid w:val="002B0E49"/>
    <w:rsid w:val="002B5496"/>
    <w:rsid w:val="002E5646"/>
    <w:rsid w:val="002F035B"/>
    <w:rsid w:val="002F4194"/>
    <w:rsid w:val="00304AED"/>
    <w:rsid w:val="00325D78"/>
    <w:rsid w:val="003364BD"/>
    <w:rsid w:val="0033737A"/>
    <w:rsid w:val="00377DAD"/>
    <w:rsid w:val="003E7891"/>
    <w:rsid w:val="0043130C"/>
    <w:rsid w:val="00452391"/>
    <w:rsid w:val="0045432F"/>
    <w:rsid w:val="004603EB"/>
    <w:rsid w:val="004C0F1D"/>
    <w:rsid w:val="004F515D"/>
    <w:rsid w:val="00501F53"/>
    <w:rsid w:val="00556A8D"/>
    <w:rsid w:val="0056629F"/>
    <w:rsid w:val="00581742"/>
    <w:rsid w:val="005C5609"/>
    <w:rsid w:val="0062274E"/>
    <w:rsid w:val="006362F2"/>
    <w:rsid w:val="00637E99"/>
    <w:rsid w:val="00683636"/>
    <w:rsid w:val="00684E1E"/>
    <w:rsid w:val="00690DC2"/>
    <w:rsid w:val="006A143E"/>
    <w:rsid w:val="006A26AB"/>
    <w:rsid w:val="006B7AB5"/>
    <w:rsid w:val="006C02DB"/>
    <w:rsid w:val="006E4029"/>
    <w:rsid w:val="00722315"/>
    <w:rsid w:val="007439EB"/>
    <w:rsid w:val="00763F3B"/>
    <w:rsid w:val="00783BF2"/>
    <w:rsid w:val="007876BF"/>
    <w:rsid w:val="007C3085"/>
    <w:rsid w:val="00805618"/>
    <w:rsid w:val="00813C9D"/>
    <w:rsid w:val="00830133"/>
    <w:rsid w:val="0087441B"/>
    <w:rsid w:val="00884EFA"/>
    <w:rsid w:val="00891CC5"/>
    <w:rsid w:val="008A6F68"/>
    <w:rsid w:val="008D4BAF"/>
    <w:rsid w:val="008E0498"/>
    <w:rsid w:val="008F25C6"/>
    <w:rsid w:val="009011C4"/>
    <w:rsid w:val="00917B79"/>
    <w:rsid w:val="00936FB0"/>
    <w:rsid w:val="0094593C"/>
    <w:rsid w:val="00972F86"/>
    <w:rsid w:val="009731C5"/>
    <w:rsid w:val="00982951"/>
    <w:rsid w:val="0099587E"/>
    <w:rsid w:val="009D5F97"/>
    <w:rsid w:val="009E5006"/>
    <w:rsid w:val="00A065E3"/>
    <w:rsid w:val="00A1635E"/>
    <w:rsid w:val="00A3768D"/>
    <w:rsid w:val="00A86D47"/>
    <w:rsid w:val="00A950AF"/>
    <w:rsid w:val="00AE00D1"/>
    <w:rsid w:val="00B26570"/>
    <w:rsid w:val="00B457C8"/>
    <w:rsid w:val="00B83C1A"/>
    <w:rsid w:val="00B95C5A"/>
    <w:rsid w:val="00BA11D5"/>
    <w:rsid w:val="00BF5502"/>
    <w:rsid w:val="00C511A6"/>
    <w:rsid w:val="00C524BF"/>
    <w:rsid w:val="00C5417A"/>
    <w:rsid w:val="00C61522"/>
    <w:rsid w:val="00C647DA"/>
    <w:rsid w:val="00C859E9"/>
    <w:rsid w:val="00CE70C4"/>
    <w:rsid w:val="00CF46A9"/>
    <w:rsid w:val="00D1664A"/>
    <w:rsid w:val="00D52F03"/>
    <w:rsid w:val="00D67543"/>
    <w:rsid w:val="00D76115"/>
    <w:rsid w:val="00DA2871"/>
    <w:rsid w:val="00DA70EC"/>
    <w:rsid w:val="00DD7CE7"/>
    <w:rsid w:val="00E13E5E"/>
    <w:rsid w:val="00E21FA2"/>
    <w:rsid w:val="00E40891"/>
    <w:rsid w:val="00E73399"/>
    <w:rsid w:val="00E9448A"/>
    <w:rsid w:val="00EA5F13"/>
    <w:rsid w:val="00EF4A17"/>
    <w:rsid w:val="00F17564"/>
    <w:rsid w:val="00FA733E"/>
    <w:rsid w:val="00FD5BCE"/>
    <w:rsid w:val="00FF1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9D46"/>
  <w15:docId w15:val="{91BEDE28-2A20-44F4-85ED-AB2E660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1B"/>
  </w:style>
  <w:style w:type="paragraph" w:styleId="Heading1">
    <w:name w:val="heading 1"/>
    <w:basedOn w:val="Normal"/>
    <w:next w:val="Normal"/>
    <w:link w:val="Heading1Char"/>
    <w:uiPriority w:val="9"/>
    <w:qFormat/>
    <w:pPr>
      <w:keepNext/>
      <w:keepLines/>
      <w:outlineLvl w:val="0"/>
    </w:pPr>
    <w:rPr>
      <w:rFonts w:ascii="Rubik" w:eastAsia="Rubik" w:hAnsi="Rubik" w:cs="Rubik"/>
      <w:color w:val="5A006F"/>
      <w:sz w:val="36"/>
      <w:szCs w:val="36"/>
    </w:rPr>
  </w:style>
  <w:style w:type="paragraph" w:styleId="Heading2">
    <w:name w:val="heading 2"/>
    <w:basedOn w:val="Normal"/>
    <w:next w:val="Normal"/>
    <w:uiPriority w:val="9"/>
    <w:unhideWhenUsed/>
    <w:qFormat/>
    <w:pPr>
      <w:keepNext/>
      <w:keepLines/>
      <w:spacing w:after="320"/>
      <w:outlineLvl w:val="1"/>
    </w:pPr>
    <w:rPr>
      <w:rFonts w:ascii="Rubik" w:eastAsia="Rubik" w:hAnsi="Rubik" w:cs="Rubik"/>
      <w:color w:val="5A006F"/>
      <w:sz w:val="30"/>
      <w:szCs w:val="3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character" w:customStyle="1" w:styleId="contentpasted0">
    <w:name w:val="contentpasted0"/>
    <w:basedOn w:val="DefaultParagraphFont"/>
    <w:rsid w:val="00936FB0"/>
  </w:style>
  <w:style w:type="character" w:customStyle="1" w:styleId="contentpasted1">
    <w:name w:val="contentpasted1"/>
    <w:basedOn w:val="DefaultParagraphFont"/>
    <w:rsid w:val="00936FB0"/>
  </w:style>
  <w:style w:type="character" w:customStyle="1" w:styleId="normaltextrun">
    <w:name w:val="normaltextrun"/>
    <w:basedOn w:val="DefaultParagraphFont"/>
    <w:rsid w:val="00DD7CE7"/>
  </w:style>
  <w:style w:type="paragraph" w:styleId="FootnoteText">
    <w:name w:val="footnote text"/>
    <w:basedOn w:val="Normal"/>
    <w:link w:val="FootnoteTextChar"/>
    <w:autoRedefine/>
    <w:uiPriority w:val="99"/>
    <w:semiHidden/>
    <w:unhideWhenUsed/>
    <w:rsid w:val="00D52F03"/>
    <w:pPr>
      <w:autoSpaceDE w:val="0"/>
      <w:autoSpaceDN w:val="0"/>
      <w:spacing w:line="240" w:lineRule="auto"/>
    </w:pPr>
    <w:rPr>
      <w:rFonts w:asciiTheme="minorHAnsi" w:eastAsia="Times New Roman" w:hAnsiTheme="minorHAnsi" w:cs="Times"/>
      <w:sz w:val="18"/>
      <w:szCs w:val="24"/>
      <w:lang w:val="en-AU" w:eastAsia="en-US"/>
    </w:rPr>
  </w:style>
  <w:style w:type="character" w:customStyle="1" w:styleId="FootnoteTextChar">
    <w:name w:val="Footnote Text Char"/>
    <w:basedOn w:val="DefaultParagraphFont"/>
    <w:link w:val="FootnoteText"/>
    <w:uiPriority w:val="99"/>
    <w:semiHidden/>
    <w:rsid w:val="00D52F03"/>
    <w:rPr>
      <w:rFonts w:asciiTheme="minorHAnsi" w:eastAsia="Times New Roman" w:hAnsiTheme="minorHAnsi" w:cs="Times"/>
      <w:sz w:val="18"/>
      <w:szCs w:val="24"/>
      <w:lang w:val="en-AU" w:eastAsia="en-US"/>
    </w:rPr>
  </w:style>
  <w:style w:type="paragraph" w:styleId="EndnoteText">
    <w:name w:val="endnote text"/>
    <w:basedOn w:val="Normal"/>
    <w:link w:val="EndnoteTextChar"/>
    <w:uiPriority w:val="99"/>
    <w:semiHidden/>
    <w:unhideWhenUsed/>
    <w:rsid w:val="00D52F03"/>
    <w:pPr>
      <w:spacing w:line="240" w:lineRule="auto"/>
    </w:pPr>
    <w:rPr>
      <w:rFonts w:asciiTheme="minorHAnsi" w:eastAsia="Times New Roman" w:hAnsiTheme="minorHAnsi" w:cs="Times New Roman"/>
      <w:lang w:val="en-US" w:eastAsia="en-US"/>
    </w:rPr>
  </w:style>
  <w:style w:type="character" w:customStyle="1" w:styleId="EndnoteTextChar">
    <w:name w:val="Endnote Text Char"/>
    <w:basedOn w:val="DefaultParagraphFont"/>
    <w:link w:val="EndnoteText"/>
    <w:uiPriority w:val="99"/>
    <w:semiHidden/>
    <w:rsid w:val="00D52F03"/>
    <w:rPr>
      <w:rFonts w:asciiTheme="minorHAnsi" w:eastAsia="Times New Roman" w:hAnsiTheme="minorHAnsi" w:cs="Times New Roman"/>
      <w:lang w:val="en-US" w:eastAsia="en-US"/>
    </w:rPr>
  </w:style>
  <w:style w:type="character" w:styleId="FootnoteReference">
    <w:name w:val="footnote reference"/>
    <w:basedOn w:val="DefaultParagraphFont"/>
    <w:uiPriority w:val="99"/>
    <w:semiHidden/>
    <w:unhideWhenUsed/>
    <w:rsid w:val="00D52F03"/>
    <w:rPr>
      <w:rFonts w:asciiTheme="minorHAnsi" w:hAnsiTheme="minorHAnsi" w:cs="Calibri" w:hint="default"/>
      <w:sz w:val="18"/>
      <w:vertAlign w:val="superscript"/>
    </w:rPr>
  </w:style>
  <w:style w:type="character" w:styleId="EndnoteReference">
    <w:name w:val="endnote reference"/>
    <w:basedOn w:val="DefaultParagraphFont"/>
    <w:uiPriority w:val="99"/>
    <w:semiHidden/>
    <w:unhideWhenUsed/>
    <w:rsid w:val="00D52F03"/>
    <w:rPr>
      <w:vertAlign w:val="superscript"/>
    </w:rPr>
  </w:style>
  <w:style w:type="character" w:styleId="FollowedHyperlink">
    <w:name w:val="FollowedHyperlink"/>
    <w:basedOn w:val="DefaultParagraphFont"/>
    <w:uiPriority w:val="99"/>
    <w:semiHidden/>
    <w:unhideWhenUsed/>
    <w:rsid w:val="00FA733E"/>
    <w:rPr>
      <w:color w:val="800080" w:themeColor="followedHyperlink"/>
      <w:u w:val="single"/>
    </w:rPr>
  </w:style>
  <w:style w:type="character" w:customStyle="1" w:styleId="authors-list-item">
    <w:name w:val="authors-list-item"/>
    <w:basedOn w:val="DefaultParagraphFont"/>
    <w:rsid w:val="005C5609"/>
  </w:style>
  <w:style w:type="character" w:customStyle="1" w:styleId="author-sup-separator">
    <w:name w:val="author-sup-separator"/>
    <w:basedOn w:val="DefaultParagraphFont"/>
    <w:rsid w:val="005C5609"/>
  </w:style>
  <w:style w:type="character" w:customStyle="1" w:styleId="comma">
    <w:name w:val="comma"/>
    <w:basedOn w:val="DefaultParagraphFont"/>
    <w:rsid w:val="005C5609"/>
  </w:style>
  <w:style w:type="character" w:customStyle="1" w:styleId="Heading1Char">
    <w:name w:val="Heading 1 Char"/>
    <w:basedOn w:val="DefaultParagraphFont"/>
    <w:link w:val="Heading1"/>
    <w:uiPriority w:val="9"/>
    <w:rsid w:val="0087441B"/>
    <w:rPr>
      <w:rFonts w:ascii="Rubik" w:eastAsia="Rubik" w:hAnsi="Rubik" w:cs="Rubik"/>
      <w:color w:val="5A006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811">
      <w:bodyDiv w:val="1"/>
      <w:marLeft w:val="0"/>
      <w:marRight w:val="0"/>
      <w:marTop w:val="0"/>
      <w:marBottom w:val="0"/>
      <w:divBdr>
        <w:top w:val="none" w:sz="0" w:space="0" w:color="auto"/>
        <w:left w:val="none" w:sz="0" w:space="0" w:color="auto"/>
        <w:bottom w:val="none" w:sz="0" w:space="0" w:color="auto"/>
        <w:right w:val="none" w:sz="0" w:space="0" w:color="auto"/>
      </w:divBdr>
    </w:div>
    <w:div w:id="184365199">
      <w:bodyDiv w:val="1"/>
      <w:marLeft w:val="0"/>
      <w:marRight w:val="0"/>
      <w:marTop w:val="0"/>
      <w:marBottom w:val="0"/>
      <w:divBdr>
        <w:top w:val="none" w:sz="0" w:space="0" w:color="auto"/>
        <w:left w:val="none" w:sz="0" w:space="0" w:color="auto"/>
        <w:bottom w:val="none" w:sz="0" w:space="0" w:color="auto"/>
        <w:right w:val="none" w:sz="0" w:space="0" w:color="auto"/>
      </w:divBdr>
    </w:div>
    <w:div w:id="292447897">
      <w:bodyDiv w:val="1"/>
      <w:marLeft w:val="0"/>
      <w:marRight w:val="0"/>
      <w:marTop w:val="0"/>
      <w:marBottom w:val="0"/>
      <w:divBdr>
        <w:top w:val="none" w:sz="0" w:space="0" w:color="auto"/>
        <w:left w:val="none" w:sz="0" w:space="0" w:color="auto"/>
        <w:bottom w:val="none" w:sz="0" w:space="0" w:color="auto"/>
        <w:right w:val="none" w:sz="0" w:space="0" w:color="auto"/>
      </w:divBdr>
    </w:div>
    <w:div w:id="455680947">
      <w:bodyDiv w:val="1"/>
      <w:marLeft w:val="0"/>
      <w:marRight w:val="0"/>
      <w:marTop w:val="0"/>
      <w:marBottom w:val="0"/>
      <w:divBdr>
        <w:top w:val="none" w:sz="0" w:space="0" w:color="auto"/>
        <w:left w:val="none" w:sz="0" w:space="0" w:color="auto"/>
        <w:bottom w:val="none" w:sz="0" w:space="0" w:color="auto"/>
        <w:right w:val="none" w:sz="0" w:space="0" w:color="auto"/>
      </w:divBdr>
    </w:div>
    <w:div w:id="707607484">
      <w:bodyDiv w:val="1"/>
      <w:marLeft w:val="0"/>
      <w:marRight w:val="0"/>
      <w:marTop w:val="0"/>
      <w:marBottom w:val="0"/>
      <w:divBdr>
        <w:top w:val="none" w:sz="0" w:space="0" w:color="auto"/>
        <w:left w:val="none" w:sz="0" w:space="0" w:color="auto"/>
        <w:bottom w:val="none" w:sz="0" w:space="0" w:color="auto"/>
        <w:right w:val="none" w:sz="0" w:space="0" w:color="auto"/>
      </w:divBdr>
    </w:div>
    <w:div w:id="821778867">
      <w:bodyDiv w:val="1"/>
      <w:marLeft w:val="0"/>
      <w:marRight w:val="0"/>
      <w:marTop w:val="0"/>
      <w:marBottom w:val="0"/>
      <w:divBdr>
        <w:top w:val="none" w:sz="0" w:space="0" w:color="auto"/>
        <w:left w:val="none" w:sz="0" w:space="0" w:color="auto"/>
        <w:bottom w:val="none" w:sz="0" w:space="0" w:color="auto"/>
        <w:right w:val="none" w:sz="0" w:space="0" w:color="auto"/>
      </w:divBdr>
    </w:div>
    <w:div w:id="152825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Womens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wgea.gov.au/sites/default/files/documents/BCEC_WGEA_Gender_Equity_Insights_Report_2022_WEB.pdf" TargetMode="External"/><Relationship Id="rId2" Type="http://schemas.openxmlformats.org/officeDocument/2006/relationships/hyperlink" Target="https://www.aihw.gov.au/reports/australias-welfare/informal-carers" TargetMode="External"/><Relationship Id="rId1" Type="http://schemas.openxmlformats.org/officeDocument/2006/relationships/hyperlink" Target="https://melbourneinstitute.unimelb.edu.au/__data/assets/pdf_file/0011/4382057/HILDA_Statistical_Report_2022.pdf" TargetMode="External"/><Relationship Id="rId6" Type="http://schemas.openxmlformats.org/officeDocument/2006/relationships/hyperlink" Target="https://www.anmf.org.au/media-campaigns/news/overhauls-needed-to-slow-nurse-and-midwife-exodus" TargetMode="External"/><Relationship Id="rId5" Type="http://schemas.openxmlformats.org/officeDocument/2006/relationships/hyperlink" Target="https://pubmed.ncbi.nlm.nih.gov/35564351/" TargetMode="External"/><Relationship Id="rId4" Type="http://schemas.openxmlformats.org/officeDocument/2006/relationships/hyperlink" Target="https://www.arts.unsw.edu.au/sites/default/files/documents/Migrant%20Workers%20in%20Frontline%20Car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SharedWithUsers xmlns="5b707c4a-f0af-4a30-ae8a-e74992196a0f">
      <UserInfo>
        <DisplayName/>
        <AccountId xsi:nil="true"/>
        <AccountType/>
      </UserInfo>
    </SharedWithUsers>
    <MediaLengthInSeconds xmlns="153f973e-18e3-4683-9db9-a8b30f12dd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2.xml><?xml version="1.0" encoding="utf-8"?>
<ds:datastoreItem xmlns:ds="http://schemas.openxmlformats.org/officeDocument/2006/customXml" ds:itemID="{C63A194F-A567-41C0-A3DF-48A0355DC78D}">
  <ds:schemaRefs>
    <ds:schemaRef ds:uri="http://schemas.openxmlformats.org/officeDocument/2006/bibliography"/>
  </ds:schemaRefs>
</ds:datastoreItem>
</file>

<file path=customXml/itemProps3.xml><?xml version="1.0" encoding="utf-8"?>
<ds:datastoreItem xmlns:ds="http://schemas.openxmlformats.org/officeDocument/2006/customXml" ds:itemID="{354A6787-EE38-4415-91C1-925AF946DD56}">
  <ds:schemaRefs>
    <ds:schemaRef ds:uri="153f973e-18e3-4683-9db9-a8b30f12ddca"/>
    <ds:schemaRef ds:uri="http://purl.org/dc/elements/1.1/"/>
    <ds:schemaRef ds:uri="5b707c4a-f0af-4a30-ae8a-e74992196a0f"/>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A5B0107-68BB-4C14-93E3-DDE29B75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1</TotalTime>
  <Pages>4</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2</cp:revision>
  <dcterms:created xsi:type="dcterms:W3CDTF">2023-07-21T08:42:00Z</dcterms:created>
  <dcterms:modified xsi:type="dcterms:W3CDTF">2023-07-21T08:42:00Z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Order">
    <vt:r8>164300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