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E3A4C" w14:textId="71E7D0CE" w:rsidR="008F25C6" w:rsidRDefault="006A143E">
      <w:pPr>
        <w:pStyle w:val="Heading1"/>
      </w:pPr>
      <w:r>
        <w:t xml:space="preserve">Policy </w:t>
      </w:r>
      <w:r w:rsidR="00E22073">
        <w:t>B</w:t>
      </w:r>
      <w:r>
        <w:t>rief</w:t>
      </w:r>
      <w:r w:rsidR="00114714">
        <w:t xml:space="preserve"> </w:t>
      </w:r>
    </w:p>
    <w:p w14:paraId="65AF30BA" w14:textId="0604F5C7" w:rsidR="008F25C6" w:rsidRDefault="006D3C27" w:rsidP="001D0F3B">
      <w:pPr>
        <w:pStyle w:val="Heading2"/>
        <w:spacing w:after="0"/>
      </w:pPr>
      <w:bookmarkStart w:id="0" w:name="_usdc0nj6twdp" w:colFirst="0" w:colLast="0"/>
      <w:bookmarkEnd w:id="0"/>
      <w:r>
        <w:t xml:space="preserve">Addressing the </w:t>
      </w:r>
      <w:r w:rsidR="00E22073">
        <w:t>g</w:t>
      </w:r>
      <w:r>
        <w:t xml:space="preserve">endered </w:t>
      </w:r>
      <w:r w:rsidR="00E22073">
        <w:t>n</w:t>
      </w:r>
      <w:r>
        <w:t xml:space="preserve">ature of </w:t>
      </w:r>
      <w:r w:rsidR="00E22073">
        <w:t>vi</w:t>
      </w:r>
      <w:r>
        <w:t xml:space="preserve">olence and its </w:t>
      </w:r>
      <w:r w:rsidR="00E22073">
        <w:t>h</w:t>
      </w:r>
      <w:r>
        <w:t xml:space="preserve">ealth </w:t>
      </w:r>
      <w:r w:rsidR="00E22073">
        <w:t>i</w:t>
      </w:r>
      <w:r>
        <w:t>mpacts</w:t>
      </w:r>
    </w:p>
    <w:p w14:paraId="76125069" w14:textId="611004C9" w:rsidR="001D0F3B" w:rsidRDefault="001D0F3B" w:rsidP="001D0F3B">
      <w:pPr>
        <w:rPr>
          <w:sz w:val="24"/>
          <w:szCs w:val="24"/>
        </w:rPr>
      </w:pPr>
    </w:p>
    <w:p w14:paraId="53F7679B" w14:textId="77777777" w:rsidR="00167A2C" w:rsidRPr="006D3C27" w:rsidRDefault="00167A2C" w:rsidP="001D0F3B">
      <w:pPr>
        <w:rPr>
          <w:sz w:val="24"/>
          <w:szCs w:val="24"/>
        </w:rPr>
      </w:pPr>
    </w:p>
    <w:p w14:paraId="0CED357A" w14:textId="26E10D5F" w:rsidR="008F25C6" w:rsidRPr="007446FB" w:rsidRDefault="007F399D" w:rsidP="001D0F3B">
      <w:pPr>
        <w:pStyle w:val="Title"/>
      </w:pPr>
      <w:bookmarkStart w:id="1" w:name="_mxjzdfgz5el5" w:colFirst="0" w:colLast="0"/>
      <w:bookmarkEnd w:id="1"/>
      <w:r w:rsidRPr="007446FB">
        <w:t>Key messages</w:t>
      </w:r>
    </w:p>
    <w:p w14:paraId="30604E19" w14:textId="77FEF040" w:rsidR="005F566C" w:rsidRPr="00AB6EC5" w:rsidRDefault="005F566C" w:rsidP="004B493B">
      <w:pPr>
        <w:pStyle w:val="ListParagraph"/>
        <w:numPr>
          <w:ilvl w:val="0"/>
          <w:numId w:val="2"/>
        </w:numPr>
        <w:ind w:left="714" w:hanging="357"/>
        <w:rPr>
          <w:sz w:val="21"/>
          <w:szCs w:val="21"/>
        </w:rPr>
      </w:pPr>
      <w:r w:rsidRPr="00AB6EC5">
        <w:rPr>
          <w:sz w:val="21"/>
          <w:szCs w:val="21"/>
        </w:rPr>
        <w:t xml:space="preserve">The relationships between gender-based violence, women’s health and prevention with an intersectional gender and health equity lens are not always well understood or </w:t>
      </w:r>
      <w:r w:rsidR="0023496B" w:rsidRPr="00AB6EC5">
        <w:rPr>
          <w:sz w:val="21"/>
          <w:szCs w:val="21"/>
        </w:rPr>
        <w:t>explained</w:t>
      </w:r>
      <w:r w:rsidRPr="00AB6EC5">
        <w:rPr>
          <w:sz w:val="21"/>
          <w:szCs w:val="21"/>
        </w:rPr>
        <w:t>.</w:t>
      </w:r>
    </w:p>
    <w:p w14:paraId="79A0DC43" w14:textId="4735BA54" w:rsidR="005F566C" w:rsidRPr="00AB6EC5" w:rsidRDefault="005F566C" w:rsidP="004B493B">
      <w:pPr>
        <w:pStyle w:val="ListParagraph"/>
        <w:numPr>
          <w:ilvl w:val="0"/>
          <w:numId w:val="2"/>
        </w:numPr>
        <w:ind w:left="714" w:hanging="357"/>
        <w:rPr>
          <w:sz w:val="21"/>
          <w:szCs w:val="21"/>
        </w:rPr>
      </w:pPr>
      <w:r w:rsidRPr="00AB6EC5">
        <w:rPr>
          <w:sz w:val="21"/>
          <w:szCs w:val="21"/>
        </w:rPr>
        <w:t>Women disproportionately bear the health impacts of all forms of violence</w:t>
      </w:r>
      <w:r w:rsidR="00390DA1" w:rsidRPr="00AB6EC5">
        <w:rPr>
          <w:sz w:val="21"/>
          <w:szCs w:val="21"/>
        </w:rPr>
        <w:t xml:space="preserve">, </w:t>
      </w:r>
      <w:r w:rsidRPr="00AB6EC5">
        <w:rPr>
          <w:sz w:val="21"/>
          <w:szCs w:val="21"/>
        </w:rPr>
        <w:t xml:space="preserve">are more likely to </w:t>
      </w:r>
      <w:r w:rsidR="3264B4F5" w:rsidRPr="00AB6EC5">
        <w:rPr>
          <w:sz w:val="21"/>
          <w:szCs w:val="21"/>
        </w:rPr>
        <w:t>acquire disabilities</w:t>
      </w:r>
      <w:r w:rsidR="00FE40CD" w:rsidRPr="00AB6EC5">
        <w:rPr>
          <w:sz w:val="21"/>
          <w:szCs w:val="21"/>
        </w:rPr>
        <w:t>,</w:t>
      </w:r>
      <w:r w:rsidR="009B3D01" w:rsidRPr="00AB6EC5">
        <w:rPr>
          <w:sz w:val="21"/>
          <w:szCs w:val="21"/>
        </w:rPr>
        <w:t xml:space="preserve"> develop</w:t>
      </w:r>
      <w:r w:rsidRPr="00AB6EC5">
        <w:rPr>
          <w:sz w:val="21"/>
          <w:szCs w:val="21"/>
        </w:rPr>
        <w:t xml:space="preserve"> long-term health conditions</w:t>
      </w:r>
      <w:r w:rsidR="00FE40CD" w:rsidRPr="00AB6EC5">
        <w:rPr>
          <w:sz w:val="21"/>
          <w:szCs w:val="21"/>
        </w:rPr>
        <w:t xml:space="preserve">, and </w:t>
      </w:r>
      <w:r w:rsidR="00ED309C" w:rsidRPr="00AB6EC5">
        <w:rPr>
          <w:sz w:val="21"/>
          <w:szCs w:val="21"/>
        </w:rPr>
        <w:t>are at</w:t>
      </w:r>
      <w:r w:rsidR="0070608F" w:rsidRPr="00AB6EC5">
        <w:rPr>
          <w:sz w:val="21"/>
          <w:szCs w:val="21"/>
        </w:rPr>
        <w:t xml:space="preserve"> risk of experiencing homelessness</w:t>
      </w:r>
      <w:r w:rsidRPr="00AB6EC5">
        <w:rPr>
          <w:sz w:val="21"/>
          <w:szCs w:val="21"/>
        </w:rPr>
        <w:t xml:space="preserve"> </w:t>
      </w:r>
      <w:r w:rsidR="0AFF3DEB" w:rsidRPr="00AB6EC5">
        <w:rPr>
          <w:sz w:val="21"/>
          <w:szCs w:val="21"/>
        </w:rPr>
        <w:t>as a result</w:t>
      </w:r>
      <w:r w:rsidR="002E5A68" w:rsidRPr="00AB6EC5">
        <w:rPr>
          <w:sz w:val="21"/>
          <w:szCs w:val="21"/>
        </w:rPr>
        <w:t xml:space="preserve"> of</w:t>
      </w:r>
      <w:r w:rsidR="00A62A90" w:rsidRPr="00AB6EC5">
        <w:rPr>
          <w:sz w:val="21"/>
          <w:szCs w:val="21"/>
        </w:rPr>
        <w:t xml:space="preserve"> </w:t>
      </w:r>
      <w:r w:rsidRPr="00AB6EC5">
        <w:rPr>
          <w:sz w:val="21"/>
          <w:szCs w:val="21"/>
        </w:rPr>
        <w:t>gendered violence.</w:t>
      </w:r>
    </w:p>
    <w:p w14:paraId="2B2EE59C" w14:textId="35B0BEE8" w:rsidR="005F566C" w:rsidRPr="00AB6EC5" w:rsidRDefault="3C7CDDCC" w:rsidP="00122E00">
      <w:pPr>
        <w:pStyle w:val="ListParagraph"/>
        <w:numPr>
          <w:ilvl w:val="0"/>
          <w:numId w:val="2"/>
        </w:numPr>
        <w:ind w:left="714" w:hanging="357"/>
        <w:rPr>
          <w:sz w:val="21"/>
          <w:szCs w:val="21"/>
        </w:rPr>
      </w:pPr>
      <w:r w:rsidRPr="00AB6EC5">
        <w:rPr>
          <w:sz w:val="21"/>
          <w:szCs w:val="21"/>
        </w:rPr>
        <w:t xml:space="preserve">Women who experience intersectional disadvantage </w:t>
      </w:r>
      <w:r w:rsidR="37177B4E" w:rsidRPr="00AB6EC5">
        <w:rPr>
          <w:sz w:val="21"/>
          <w:szCs w:val="21"/>
        </w:rPr>
        <w:t>are subject to</w:t>
      </w:r>
      <w:r w:rsidRPr="00AB6EC5">
        <w:rPr>
          <w:sz w:val="21"/>
          <w:szCs w:val="21"/>
        </w:rPr>
        <w:t xml:space="preserve"> higher rates of violence</w:t>
      </w:r>
      <w:r w:rsidR="718EFDF4" w:rsidRPr="00AB6EC5">
        <w:rPr>
          <w:sz w:val="21"/>
          <w:szCs w:val="21"/>
        </w:rPr>
        <w:t>,</w:t>
      </w:r>
      <w:r w:rsidRPr="00AB6EC5">
        <w:rPr>
          <w:sz w:val="21"/>
          <w:szCs w:val="21"/>
        </w:rPr>
        <w:t xml:space="preserve"> have </w:t>
      </w:r>
      <w:r w:rsidR="7DB76E2C" w:rsidRPr="00AB6EC5">
        <w:rPr>
          <w:sz w:val="21"/>
          <w:szCs w:val="21"/>
        </w:rPr>
        <w:t xml:space="preserve">poorer experiences in healthcare and have </w:t>
      </w:r>
      <w:r w:rsidR="004D4511" w:rsidRPr="00AB6EC5">
        <w:rPr>
          <w:sz w:val="21"/>
          <w:szCs w:val="21"/>
        </w:rPr>
        <w:t xml:space="preserve">poorer </w:t>
      </w:r>
      <w:r w:rsidR="7DB76E2C" w:rsidRPr="00AB6EC5">
        <w:rPr>
          <w:sz w:val="21"/>
          <w:szCs w:val="21"/>
        </w:rPr>
        <w:t xml:space="preserve">health outcomes. </w:t>
      </w:r>
      <w:r w:rsidR="00167584" w:rsidRPr="00AB6EC5">
        <w:rPr>
          <w:sz w:val="21"/>
          <w:szCs w:val="21"/>
        </w:rPr>
        <w:t xml:space="preserve">Applying an intersectional gender lens to violence </w:t>
      </w:r>
      <w:r w:rsidR="2D9D79D3" w:rsidRPr="00AB6EC5">
        <w:rPr>
          <w:sz w:val="21"/>
          <w:szCs w:val="21"/>
        </w:rPr>
        <w:t xml:space="preserve">is </w:t>
      </w:r>
      <w:r w:rsidR="00167584" w:rsidRPr="00AB6EC5">
        <w:rPr>
          <w:sz w:val="21"/>
          <w:szCs w:val="21"/>
        </w:rPr>
        <w:t>essential to understand</w:t>
      </w:r>
      <w:r w:rsidR="003173B3" w:rsidRPr="00AB6EC5">
        <w:rPr>
          <w:sz w:val="21"/>
          <w:szCs w:val="21"/>
        </w:rPr>
        <w:t>ing</w:t>
      </w:r>
      <w:r w:rsidR="00167584" w:rsidRPr="00AB6EC5">
        <w:rPr>
          <w:sz w:val="21"/>
          <w:szCs w:val="21"/>
        </w:rPr>
        <w:t xml:space="preserve"> the diversity of lived experience, the intersecting forms of oppression, discrimination, power and privilege, and address</w:t>
      </w:r>
      <w:r w:rsidR="003173B3" w:rsidRPr="00AB6EC5">
        <w:rPr>
          <w:sz w:val="21"/>
          <w:szCs w:val="21"/>
        </w:rPr>
        <w:t>ing</w:t>
      </w:r>
      <w:r w:rsidR="00167584" w:rsidRPr="00AB6EC5">
        <w:rPr>
          <w:sz w:val="21"/>
          <w:szCs w:val="21"/>
        </w:rPr>
        <w:t xml:space="preserve"> structural inequalities </w:t>
      </w:r>
      <w:r w:rsidR="003173B3" w:rsidRPr="00AB6EC5">
        <w:rPr>
          <w:sz w:val="21"/>
          <w:szCs w:val="21"/>
        </w:rPr>
        <w:t>through</w:t>
      </w:r>
      <w:r w:rsidR="00167584" w:rsidRPr="00AB6EC5">
        <w:rPr>
          <w:sz w:val="21"/>
          <w:szCs w:val="21"/>
        </w:rPr>
        <w:t xml:space="preserve"> target</w:t>
      </w:r>
      <w:r w:rsidR="003173B3" w:rsidRPr="00AB6EC5">
        <w:rPr>
          <w:sz w:val="21"/>
          <w:szCs w:val="21"/>
        </w:rPr>
        <w:t>ed</w:t>
      </w:r>
      <w:r w:rsidR="00167584" w:rsidRPr="00AB6EC5">
        <w:rPr>
          <w:sz w:val="21"/>
          <w:szCs w:val="21"/>
        </w:rPr>
        <w:t xml:space="preserve"> prevention action.</w:t>
      </w:r>
    </w:p>
    <w:p w14:paraId="412B6179" w14:textId="60819AEC" w:rsidR="005F566C" w:rsidRPr="00AB6EC5" w:rsidRDefault="3428491C" w:rsidP="004B493B">
      <w:pPr>
        <w:pStyle w:val="ListParagraph"/>
        <w:numPr>
          <w:ilvl w:val="0"/>
          <w:numId w:val="2"/>
        </w:numPr>
        <w:ind w:left="714" w:hanging="357"/>
        <w:rPr>
          <w:rStyle w:val="normaltextrun"/>
          <w:sz w:val="21"/>
          <w:szCs w:val="21"/>
        </w:rPr>
      </w:pPr>
      <w:r w:rsidRPr="00AB6EC5">
        <w:rPr>
          <w:rStyle w:val="normaltextrun"/>
          <w:color w:val="000000" w:themeColor="text1"/>
          <w:sz w:val="21"/>
          <w:szCs w:val="21"/>
        </w:rPr>
        <w:t>Gendered v</w:t>
      </w:r>
      <w:r w:rsidR="001E7F3E" w:rsidRPr="00AB6EC5">
        <w:rPr>
          <w:rStyle w:val="normaltextrun"/>
          <w:color w:val="000000" w:themeColor="text1"/>
          <w:sz w:val="21"/>
          <w:szCs w:val="21"/>
        </w:rPr>
        <w:t xml:space="preserve">iolence also </w:t>
      </w:r>
      <w:r w:rsidR="5B96B197" w:rsidRPr="00AB6EC5">
        <w:rPr>
          <w:rStyle w:val="normaltextrun"/>
          <w:color w:val="000000" w:themeColor="text1"/>
          <w:sz w:val="21"/>
          <w:szCs w:val="21"/>
        </w:rPr>
        <w:t>impact</w:t>
      </w:r>
      <w:r w:rsidR="009E2F52" w:rsidRPr="00AB6EC5">
        <w:rPr>
          <w:rStyle w:val="normaltextrun"/>
          <w:color w:val="000000" w:themeColor="text1"/>
          <w:sz w:val="21"/>
          <w:szCs w:val="21"/>
        </w:rPr>
        <w:t>s</w:t>
      </w:r>
      <w:r w:rsidR="001E7F3E" w:rsidRPr="00AB6EC5">
        <w:rPr>
          <w:rStyle w:val="normaltextrun"/>
          <w:color w:val="000000" w:themeColor="text1"/>
          <w:sz w:val="21"/>
          <w:szCs w:val="21"/>
        </w:rPr>
        <w:t xml:space="preserve"> access to health care</w:t>
      </w:r>
      <w:r w:rsidR="006733FF" w:rsidRPr="00AB6EC5">
        <w:rPr>
          <w:rStyle w:val="normaltextrun"/>
          <w:color w:val="000000" w:themeColor="text1"/>
          <w:sz w:val="21"/>
          <w:szCs w:val="21"/>
        </w:rPr>
        <w:t xml:space="preserve"> and</w:t>
      </w:r>
      <w:r w:rsidR="001E7F3E" w:rsidRPr="00AB6EC5">
        <w:rPr>
          <w:rStyle w:val="normaltextrun"/>
          <w:color w:val="000000" w:themeColor="text1"/>
          <w:sz w:val="21"/>
          <w:szCs w:val="21"/>
        </w:rPr>
        <w:t xml:space="preserve"> occur</w:t>
      </w:r>
      <w:r w:rsidR="34F4AEAC" w:rsidRPr="00AB6EC5">
        <w:rPr>
          <w:rStyle w:val="normaltextrun"/>
          <w:color w:val="000000" w:themeColor="text1"/>
          <w:sz w:val="21"/>
          <w:szCs w:val="21"/>
        </w:rPr>
        <w:t>s</w:t>
      </w:r>
      <w:r w:rsidR="001E7F3E" w:rsidRPr="00AB6EC5">
        <w:rPr>
          <w:rStyle w:val="normaltextrun"/>
          <w:color w:val="000000" w:themeColor="text1"/>
          <w:sz w:val="21"/>
          <w:szCs w:val="21"/>
        </w:rPr>
        <w:t xml:space="preserve"> within health settings</w:t>
      </w:r>
      <w:r w:rsidR="00BB3741" w:rsidRPr="00AB6EC5">
        <w:rPr>
          <w:sz w:val="21"/>
          <w:szCs w:val="21"/>
        </w:rPr>
        <w:t>.</w:t>
      </w:r>
      <w:r w:rsidR="006733FF" w:rsidRPr="00AB6EC5">
        <w:rPr>
          <w:sz w:val="21"/>
          <w:szCs w:val="21"/>
        </w:rPr>
        <w:t xml:space="preserve"> It is vital to build a health system that does not perpetrate, condone or enable violence.</w:t>
      </w:r>
    </w:p>
    <w:p w14:paraId="7050F37C" w14:textId="0C4421BB" w:rsidR="000D5CFD" w:rsidRPr="00AB6EC5" w:rsidRDefault="49506479" w:rsidP="004B493B">
      <w:pPr>
        <w:pStyle w:val="ListParagraph"/>
        <w:numPr>
          <w:ilvl w:val="0"/>
          <w:numId w:val="2"/>
        </w:numPr>
        <w:ind w:left="714" w:hanging="357"/>
        <w:rPr>
          <w:rStyle w:val="normaltextrun"/>
          <w:sz w:val="21"/>
          <w:szCs w:val="21"/>
        </w:rPr>
      </w:pPr>
      <w:r w:rsidRPr="00AB6EC5">
        <w:rPr>
          <w:rStyle w:val="normaltextrun"/>
          <w:sz w:val="21"/>
          <w:szCs w:val="21"/>
        </w:rPr>
        <w:t xml:space="preserve">Violence against women is a significant public health problem, as well as a fundamental violation of women’s </w:t>
      </w:r>
      <w:r w:rsidR="00FB473B" w:rsidRPr="00AB6EC5">
        <w:rPr>
          <w:rStyle w:val="normaltextrun"/>
          <w:sz w:val="21"/>
          <w:szCs w:val="21"/>
        </w:rPr>
        <w:t xml:space="preserve">and girl’s </w:t>
      </w:r>
      <w:r w:rsidRPr="00AB6EC5">
        <w:rPr>
          <w:rStyle w:val="normaltextrun"/>
          <w:sz w:val="21"/>
          <w:szCs w:val="21"/>
        </w:rPr>
        <w:t xml:space="preserve">human rights. </w:t>
      </w:r>
      <w:r w:rsidR="00901696" w:rsidRPr="00AB6EC5">
        <w:rPr>
          <w:sz w:val="21"/>
          <w:szCs w:val="21"/>
        </w:rPr>
        <w:t>Responding to and preventing gender-based violence are therefore key preventive health measures</w:t>
      </w:r>
      <w:r w:rsidR="00B53D83" w:rsidRPr="00AB6EC5">
        <w:rPr>
          <w:sz w:val="21"/>
          <w:szCs w:val="21"/>
        </w:rPr>
        <w:t>.</w:t>
      </w:r>
    </w:p>
    <w:p w14:paraId="3DD394E6" w14:textId="1069003C" w:rsidR="000D5CFD" w:rsidRPr="00AB6EC5" w:rsidRDefault="49506479" w:rsidP="004B493B">
      <w:pPr>
        <w:pStyle w:val="ListParagraph"/>
        <w:numPr>
          <w:ilvl w:val="0"/>
          <w:numId w:val="2"/>
        </w:numPr>
        <w:ind w:left="714" w:hanging="357"/>
        <w:rPr>
          <w:rStyle w:val="normaltextrun"/>
          <w:sz w:val="21"/>
          <w:szCs w:val="21"/>
        </w:rPr>
      </w:pPr>
      <w:r w:rsidRPr="00AB6EC5">
        <w:rPr>
          <w:rStyle w:val="normaltextrun"/>
          <w:sz w:val="21"/>
          <w:szCs w:val="21"/>
        </w:rPr>
        <w:t>Health equity cannot be achieved without responding to and preventing gender-based violence.</w:t>
      </w:r>
    </w:p>
    <w:p w14:paraId="38472398" w14:textId="32E0A561" w:rsidR="005F566C" w:rsidRPr="00AB6EC5" w:rsidRDefault="006733FF" w:rsidP="004B493B">
      <w:pPr>
        <w:pStyle w:val="ListParagraph"/>
        <w:numPr>
          <w:ilvl w:val="0"/>
          <w:numId w:val="2"/>
        </w:numPr>
        <w:ind w:left="714" w:hanging="357"/>
        <w:rPr>
          <w:rStyle w:val="normaltextrun"/>
          <w:sz w:val="21"/>
          <w:szCs w:val="21"/>
        </w:rPr>
      </w:pPr>
      <w:r w:rsidRPr="00AB6EC5">
        <w:rPr>
          <w:rStyle w:val="normaltextrun"/>
          <w:color w:val="000000" w:themeColor="text1"/>
          <w:sz w:val="21"/>
          <w:szCs w:val="21"/>
        </w:rPr>
        <w:t>Implementation of government health strategies must integrate preventive health with frameworks and actions that address</w:t>
      </w:r>
      <w:r w:rsidR="009774D5" w:rsidRPr="00AB6EC5">
        <w:rPr>
          <w:rStyle w:val="normaltextrun"/>
          <w:color w:val="000000" w:themeColor="text1"/>
          <w:sz w:val="21"/>
          <w:szCs w:val="21"/>
        </w:rPr>
        <w:t xml:space="preserve"> the</w:t>
      </w:r>
      <w:r w:rsidRPr="00AB6EC5">
        <w:rPr>
          <w:rStyle w:val="normaltextrun"/>
          <w:color w:val="000000" w:themeColor="text1"/>
          <w:sz w:val="21"/>
          <w:szCs w:val="21"/>
        </w:rPr>
        <w:t xml:space="preserve"> gendered drivers and intersectional nature of violence. </w:t>
      </w:r>
      <w:r w:rsidR="00DC644E" w:rsidRPr="00AB6EC5">
        <w:rPr>
          <w:rStyle w:val="normaltextrun"/>
          <w:color w:val="000000" w:themeColor="text1"/>
          <w:sz w:val="21"/>
          <w:szCs w:val="21"/>
        </w:rPr>
        <w:t xml:space="preserve"> </w:t>
      </w:r>
    </w:p>
    <w:p w14:paraId="0DD4019F" w14:textId="77777777" w:rsidR="000960B3" w:rsidRDefault="000960B3" w:rsidP="000960B3">
      <w:pPr>
        <w:pStyle w:val="ListParagraph"/>
        <w:ind w:left="714"/>
        <w:rPr>
          <w:color w:val="000000" w:themeColor="text1"/>
          <w:sz w:val="22"/>
          <w:szCs w:val="22"/>
        </w:rPr>
      </w:pPr>
    </w:p>
    <w:p w14:paraId="551A11A5" w14:textId="77777777" w:rsidR="00167A2C" w:rsidRPr="000960B3" w:rsidRDefault="00167A2C" w:rsidP="000960B3">
      <w:pPr>
        <w:pStyle w:val="ListParagraph"/>
        <w:ind w:left="714"/>
        <w:rPr>
          <w:color w:val="000000" w:themeColor="text1"/>
          <w:sz w:val="22"/>
          <w:szCs w:val="22"/>
        </w:rPr>
      </w:pPr>
    </w:p>
    <w:p w14:paraId="5D128262" w14:textId="7DE2AEEB" w:rsidR="00A55F54" w:rsidRDefault="00C73571" w:rsidP="00A55F54">
      <w:pPr>
        <w:pStyle w:val="Title"/>
      </w:pPr>
      <w:r>
        <w:t>Purpose of this brief</w:t>
      </w:r>
    </w:p>
    <w:p w14:paraId="4148B725" w14:textId="7B728B6C" w:rsidR="00CA0F8C" w:rsidRPr="00167A2C" w:rsidRDefault="00CA0F8C" w:rsidP="000960B3">
      <w:pPr>
        <w:rPr>
          <w:sz w:val="21"/>
          <w:szCs w:val="21"/>
        </w:rPr>
      </w:pPr>
      <w:bookmarkStart w:id="2" w:name="_d9fan75aal69"/>
      <w:bookmarkEnd w:id="2"/>
      <w:r w:rsidRPr="00167A2C">
        <w:rPr>
          <w:sz w:val="21"/>
          <w:szCs w:val="21"/>
        </w:rPr>
        <w:t xml:space="preserve">Australian Women’s Health Alliance works to articulate the policies and actions necessary to improve health outcomes for </w:t>
      </w:r>
      <w:r w:rsidR="000D7DBD" w:rsidRPr="00167A2C">
        <w:rPr>
          <w:sz w:val="21"/>
          <w:szCs w:val="21"/>
        </w:rPr>
        <w:t xml:space="preserve">all </w:t>
      </w:r>
      <w:r w:rsidRPr="00167A2C">
        <w:rPr>
          <w:sz w:val="21"/>
          <w:szCs w:val="21"/>
        </w:rPr>
        <w:t xml:space="preserve">women. </w:t>
      </w:r>
      <w:r w:rsidR="003E5A2A" w:rsidRPr="00167A2C">
        <w:rPr>
          <w:sz w:val="21"/>
          <w:szCs w:val="21"/>
        </w:rPr>
        <w:t>T</w:t>
      </w:r>
      <w:r w:rsidRPr="00167A2C">
        <w:rPr>
          <w:sz w:val="21"/>
          <w:szCs w:val="21"/>
        </w:rPr>
        <w:t xml:space="preserve">his brief </w:t>
      </w:r>
      <w:r w:rsidR="003E5A2A" w:rsidRPr="00167A2C">
        <w:rPr>
          <w:sz w:val="21"/>
          <w:szCs w:val="21"/>
        </w:rPr>
        <w:t>aims</w:t>
      </w:r>
      <w:r w:rsidRPr="00167A2C">
        <w:rPr>
          <w:sz w:val="21"/>
          <w:szCs w:val="21"/>
        </w:rPr>
        <w:t xml:space="preserve"> to </w:t>
      </w:r>
      <w:r w:rsidR="0071667E" w:rsidRPr="00167A2C">
        <w:rPr>
          <w:sz w:val="21"/>
          <w:szCs w:val="21"/>
        </w:rPr>
        <w:t xml:space="preserve">highlight </w:t>
      </w:r>
      <w:r w:rsidRPr="00167A2C">
        <w:rPr>
          <w:sz w:val="21"/>
          <w:szCs w:val="21"/>
        </w:rPr>
        <w:t xml:space="preserve">the links between </w:t>
      </w:r>
      <w:r w:rsidR="0071667E" w:rsidRPr="00167A2C">
        <w:rPr>
          <w:sz w:val="21"/>
          <w:szCs w:val="21"/>
        </w:rPr>
        <w:t>gender-based violence and women’s health outcomes, and position</w:t>
      </w:r>
      <w:r w:rsidR="00015F1D" w:rsidRPr="00167A2C">
        <w:rPr>
          <w:sz w:val="21"/>
          <w:szCs w:val="21"/>
        </w:rPr>
        <w:t>s</w:t>
      </w:r>
      <w:r w:rsidR="0071667E" w:rsidRPr="00167A2C">
        <w:rPr>
          <w:sz w:val="21"/>
          <w:szCs w:val="21"/>
        </w:rPr>
        <w:t xml:space="preserve"> </w:t>
      </w:r>
      <w:r w:rsidRPr="00167A2C">
        <w:rPr>
          <w:sz w:val="21"/>
          <w:szCs w:val="21"/>
        </w:rPr>
        <w:t xml:space="preserve">violence prevention </w:t>
      </w:r>
      <w:r w:rsidR="0071667E" w:rsidRPr="00167A2C">
        <w:rPr>
          <w:sz w:val="21"/>
          <w:szCs w:val="21"/>
        </w:rPr>
        <w:t xml:space="preserve">as </w:t>
      </w:r>
      <w:r w:rsidRPr="00167A2C">
        <w:rPr>
          <w:sz w:val="21"/>
          <w:szCs w:val="21"/>
        </w:rPr>
        <w:t>preventive health</w:t>
      </w:r>
      <w:r w:rsidR="0071667E" w:rsidRPr="00167A2C">
        <w:rPr>
          <w:sz w:val="21"/>
          <w:szCs w:val="21"/>
        </w:rPr>
        <w:t xml:space="preserve"> action</w:t>
      </w:r>
      <w:r w:rsidR="00842D45" w:rsidRPr="00167A2C">
        <w:rPr>
          <w:sz w:val="21"/>
          <w:szCs w:val="21"/>
        </w:rPr>
        <w:t>. It is</w:t>
      </w:r>
      <w:r w:rsidRPr="00167A2C">
        <w:rPr>
          <w:sz w:val="21"/>
          <w:szCs w:val="21"/>
        </w:rPr>
        <w:t xml:space="preserve"> applicable in all jurisdictions.</w:t>
      </w:r>
    </w:p>
    <w:p w14:paraId="70D790D0" w14:textId="77777777" w:rsidR="0089094E" w:rsidRPr="00167A2C" w:rsidRDefault="0089094E" w:rsidP="000960B3">
      <w:pPr>
        <w:rPr>
          <w:sz w:val="21"/>
          <w:szCs w:val="21"/>
        </w:rPr>
      </w:pPr>
    </w:p>
    <w:p w14:paraId="5E41A29B" w14:textId="2E4AC399" w:rsidR="00167A2C" w:rsidRDefault="005D6B4C" w:rsidP="000960B3">
      <w:pPr>
        <w:rPr>
          <w:rStyle w:val="normaltextrun"/>
          <w:color w:val="000000" w:themeColor="text1"/>
          <w:sz w:val="21"/>
          <w:szCs w:val="21"/>
          <w:lang w:val="en-AU"/>
        </w:rPr>
      </w:pPr>
      <w:r w:rsidRPr="00167A2C">
        <w:rPr>
          <w:sz w:val="21"/>
          <w:szCs w:val="21"/>
        </w:rPr>
        <w:t>U</w:t>
      </w:r>
      <w:r w:rsidR="0010422B" w:rsidRPr="00167A2C">
        <w:rPr>
          <w:sz w:val="21"/>
          <w:szCs w:val="21"/>
        </w:rPr>
        <w:t xml:space="preserve">nderstanding </w:t>
      </w:r>
      <w:r w:rsidRPr="00167A2C">
        <w:rPr>
          <w:sz w:val="21"/>
          <w:szCs w:val="21"/>
        </w:rPr>
        <w:t>what prevention with an intersectional gender and health equity lens</w:t>
      </w:r>
      <w:r w:rsidR="00FB7627" w:rsidRPr="00167A2C">
        <w:rPr>
          <w:sz w:val="21"/>
          <w:szCs w:val="21"/>
        </w:rPr>
        <w:t xml:space="preserve"> looks like</w:t>
      </w:r>
      <w:r w:rsidR="00DF1B3A" w:rsidRPr="00167A2C">
        <w:rPr>
          <w:sz w:val="21"/>
          <w:szCs w:val="21"/>
        </w:rPr>
        <w:t>,</w:t>
      </w:r>
      <w:r w:rsidR="0010422B" w:rsidRPr="00167A2C">
        <w:rPr>
          <w:sz w:val="21"/>
          <w:szCs w:val="21"/>
        </w:rPr>
        <w:t xml:space="preserve"> </w:t>
      </w:r>
      <w:r w:rsidR="00FB7627" w:rsidRPr="00167A2C">
        <w:rPr>
          <w:sz w:val="21"/>
          <w:szCs w:val="21"/>
        </w:rPr>
        <w:t>using available evidence</w:t>
      </w:r>
      <w:r w:rsidR="0010422B" w:rsidRPr="00167A2C">
        <w:rPr>
          <w:sz w:val="21"/>
          <w:szCs w:val="21"/>
        </w:rPr>
        <w:t xml:space="preserve"> across health and related sectors</w:t>
      </w:r>
      <w:r w:rsidR="00DF1B3A" w:rsidRPr="00167A2C">
        <w:rPr>
          <w:sz w:val="21"/>
          <w:szCs w:val="21"/>
        </w:rPr>
        <w:t>,</w:t>
      </w:r>
      <w:r w:rsidR="0010422B" w:rsidRPr="00167A2C">
        <w:rPr>
          <w:sz w:val="21"/>
          <w:szCs w:val="21"/>
        </w:rPr>
        <w:t xml:space="preserve"> is key </w:t>
      </w:r>
      <w:r w:rsidR="005169C8" w:rsidRPr="00167A2C">
        <w:rPr>
          <w:sz w:val="21"/>
          <w:szCs w:val="21"/>
        </w:rPr>
        <w:t>to an effective and gender-responsive prevention system.</w:t>
      </w:r>
      <w:r w:rsidR="0010422B" w:rsidRPr="00167A2C">
        <w:rPr>
          <w:sz w:val="21"/>
          <w:szCs w:val="21"/>
        </w:rPr>
        <w:t xml:space="preserve"> </w:t>
      </w:r>
      <w:r w:rsidR="00CA0F8C" w:rsidRPr="00167A2C">
        <w:rPr>
          <w:sz w:val="21"/>
          <w:szCs w:val="21"/>
        </w:rPr>
        <w:t xml:space="preserve">This is a challenge for the National Preventive Health Strategy 2021-2030 (NPHS), the National Women’s Health Strategy 2020-2030 (NWHS) and related policies, because without these understandings, it is difficult to </w:t>
      </w:r>
      <w:r w:rsidR="007D5D20" w:rsidRPr="00167A2C">
        <w:rPr>
          <w:sz w:val="21"/>
          <w:szCs w:val="21"/>
        </w:rPr>
        <w:t>design</w:t>
      </w:r>
      <w:r w:rsidR="00CA0F8C" w:rsidRPr="00167A2C">
        <w:rPr>
          <w:sz w:val="21"/>
          <w:szCs w:val="21"/>
        </w:rPr>
        <w:t xml:space="preserve"> and </w:t>
      </w:r>
      <w:r w:rsidR="00DC1C35" w:rsidRPr="00167A2C">
        <w:rPr>
          <w:sz w:val="21"/>
          <w:szCs w:val="21"/>
        </w:rPr>
        <w:t>implement</w:t>
      </w:r>
      <w:r w:rsidR="00CA0F8C" w:rsidRPr="00167A2C">
        <w:rPr>
          <w:sz w:val="21"/>
          <w:szCs w:val="21"/>
        </w:rPr>
        <w:t xml:space="preserve"> prevention strategies that will achieve health equity. </w:t>
      </w:r>
      <w:r w:rsidR="00CA0F8C" w:rsidRPr="00167A2C">
        <w:rPr>
          <w:rStyle w:val="normaltextrun"/>
          <w:color w:val="000000" w:themeColor="text1"/>
          <w:sz w:val="21"/>
          <w:szCs w:val="21"/>
          <w:lang w:val="en-AU"/>
        </w:rPr>
        <w:t xml:space="preserve">While these policies recognise the health impacts of violence against women and girls and acknowledge violence as an adverse element, this brief </w:t>
      </w:r>
      <w:r w:rsidR="0058242E" w:rsidRPr="00167A2C">
        <w:rPr>
          <w:rStyle w:val="normaltextrun"/>
          <w:color w:val="000000" w:themeColor="text1"/>
          <w:sz w:val="21"/>
          <w:szCs w:val="21"/>
          <w:lang w:val="en-AU"/>
        </w:rPr>
        <w:t>build</w:t>
      </w:r>
      <w:r w:rsidR="00DC1C35" w:rsidRPr="00167A2C">
        <w:rPr>
          <w:rStyle w:val="normaltextrun"/>
          <w:color w:val="000000" w:themeColor="text1"/>
          <w:sz w:val="21"/>
          <w:szCs w:val="21"/>
          <w:lang w:val="en-AU"/>
        </w:rPr>
        <w:t>s</w:t>
      </w:r>
      <w:r w:rsidR="00CA0F8C" w:rsidRPr="00167A2C">
        <w:rPr>
          <w:rStyle w:val="normaltextrun"/>
          <w:color w:val="000000" w:themeColor="text1"/>
          <w:sz w:val="21"/>
          <w:szCs w:val="21"/>
          <w:lang w:val="en-AU"/>
        </w:rPr>
        <w:t xml:space="preserve"> a more comprehensive understanding of the compounding impacts of violence and other determinants of health</w:t>
      </w:r>
      <w:r w:rsidR="007E30E5" w:rsidRPr="00167A2C">
        <w:rPr>
          <w:rStyle w:val="normaltextrun"/>
          <w:color w:val="000000" w:themeColor="text1"/>
          <w:sz w:val="21"/>
          <w:szCs w:val="21"/>
          <w:lang w:val="en-AU"/>
        </w:rPr>
        <w:t xml:space="preserve"> </w:t>
      </w:r>
      <w:r w:rsidR="00DD5A71" w:rsidRPr="00167A2C">
        <w:rPr>
          <w:rStyle w:val="normaltextrun"/>
          <w:color w:val="000000" w:themeColor="text1"/>
          <w:sz w:val="21"/>
          <w:szCs w:val="21"/>
          <w:lang w:val="en-AU"/>
        </w:rPr>
        <w:t>using a gender equity lens</w:t>
      </w:r>
      <w:r w:rsidR="007E30E5" w:rsidRPr="00167A2C">
        <w:rPr>
          <w:rStyle w:val="normaltextrun"/>
          <w:color w:val="000000" w:themeColor="text1"/>
          <w:sz w:val="21"/>
          <w:szCs w:val="21"/>
          <w:lang w:val="en-AU"/>
        </w:rPr>
        <w:t>.</w:t>
      </w:r>
    </w:p>
    <w:p w14:paraId="734676AF" w14:textId="7769D700" w:rsidR="008F25C6" w:rsidRDefault="006A143E" w:rsidP="001D0F3B">
      <w:pPr>
        <w:pStyle w:val="Title"/>
      </w:pPr>
      <w:r>
        <w:lastRenderedPageBreak/>
        <w:t>W</w:t>
      </w:r>
      <w:r w:rsidR="004C0C28">
        <w:t>hy put an intersectional gender lens on violence and its health impacts on women?</w:t>
      </w:r>
    </w:p>
    <w:p w14:paraId="000A7940" w14:textId="2E7C657C" w:rsidR="00927616" w:rsidRPr="00AB6EC5" w:rsidRDefault="7536F490" w:rsidP="000960B3">
      <w:pPr>
        <w:rPr>
          <w:sz w:val="21"/>
          <w:szCs w:val="21"/>
        </w:rPr>
      </w:pPr>
      <w:r w:rsidRPr="00AB6EC5">
        <w:rPr>
          <w:sz w:val="21"/>
          <w:szCs w:val="21"/>
        </w:rPr>
        <w:t>There is a wealth of evidence on the prevalence of violence</w:t>
      </w:r>
      <w:r w:rsidR="002269B1" w:rsidRPr="00AB6EC5">
        <w:rPr>
          <w:sz w:val="21"/>
          <w:szCs w:val="21"/>
        </w:rPr>
        <w:t xml:space="preserve"> against</w:t>
      </w:r>
      <w:r w:rsidR="002D0C31" w:rsidRPr="00AB6EC5">
        <w:rPr>
          <w:sz w:val="21"/>
          <w:szCs w:val="21"/>
        </w:rPr>
        <w:t xml:space="preserve"> women</w:t>
      </w:r>
      <w:r w:rsidR="00EE1D8C" w:rsidRPr="00AB6EC5">
        <w:rPr>
          <w:sz w:val="21"/>
          <w:szCs w:val="21"/>
        </w:rPr>
        <w:t>, alongside</w:t>
      </w:r>
      <w:r w:rsidRPr="00AB6EC5">
        <w:rPr>
          <w:sz w:val="21"/>
          <w:szCs w:val="21"/>
        </w:rPr>
        <w:t xml:space="preserve"> national and state/territory policies to address and prevent violence before it occurs.</w:t>
      </w:r>
      <w:r w:rsidR="00927616" w:rsidRPr="00AB6EC5">
        <w:rPr>
          <w:rStyle w:val="EndnoteReference"/>
          <w:sz w:val="21"/>
          <w:szCs w:val="21"/>
        </w:rPr>
        <w:endnoteReference w:id="2"/>
      </w:r>
      <w:r w:rsidR="2117D00B" w:rsidRPr="00AB6EC5">
        <w:rPr>
          <w:sz w:val="21"/>
          <w:szCs w:val="21"/>
        </w:rPr>
        <w:t xml:space="preserve"> </w:t>
      </w:r>
      <w:r w:rsidR="007F1308" w:rsidRPr="00AB6EC5">
        <w:rPr>
          <w:rStyle w:val="EndnoteReference"/>
          <w:sz w:val="21"/>
          <w:szCs w:val="21"/>
        </w:rPr>
        <w:endnoteReference w:id="3"/>
      </w:r>
      <w:r w:rsidRPr="00AB6EC5">
        <w:rPr>
          <w:sz w:val="21"/>
          <w:szCs w:val="21"/>
        </w:rPr>
        <w:t xml:space="preserve"> However, the relationships between gender-based violence</w:t>
      </w:r>
      <w:r w:rsidR="00467C4A" w:rsidRPr="00AB6EC5">
        <w:rPr>
          <w:sz w:val="21"/>
          <w:szCs w:val="21"/>
        </w:rPr>
        <w:t>,</w:t>
      </w:r>
      <w:r w:rsidRPr="00AB6EC5">
        <w:rPr>
          <w:sz w:val="21"/>
          <w:szCs w:val="21"/>
        </w:rPr>
        <w:t xml:space="preserve"> women’s health and prevention are not well understood or </w:t>
      </w:r>
      <w:r w:rsidR="002269B1" w:rsidRPr="00AB6EC5">
        <w:rPr>
          <w:sz w:val="21"/>
          <w:szCs w:val="21"/>
        </w:rPr>
        <w:t>explained</w:t>
      </w:r>
      <w:r w:rsidRPr="00AB6EC5">
        <w:rPr>
          <w:sz w:val="21"/>
          <w:szCs w:val="21"/>
        </w:rPr>
        <w:t>.</w:t>
      </w:r>
    </w:p>
    <w:p w14:paraId="5097EE4C" w14:textId="77777777" w:rsidR="00EA5B7F" w:rsidRPr="00AB6EC5" w:rsidRDefault="00EA5B7F" w:rsidP="000960B3">
      <w:pPr>
        <w:rPr>
          <w:sz w:val="21"/>
          <w:szCs w:val="21"/>
        </w:rPr>
      </w:pPr>
    </w:p>
    <w:p w14:paraId="31190A72" w14:textId="7A9E3464" w:rsidR="002531DD" w:rsidRDefault="00927616" w:rsidP="00FC6EF9">
      <w:pPr>
        <w:rPr>
          <w:sz w:val="22"/>
          <w:szCs w:val="22"/>
        </w:rPr>
      </w:pPr>
      <w:r w:rsidRPr="00AB6EC5">
        <w:rPr>
          <w:sz w:val="21"/>
          <w:szCs w:val="21"/>
        </w:rPr>
        <w:t>Women disproportionately bear the health impacts of all forms of violence</w:t>
      </w:r>
      <w:r w:rsidR="0071667E" w:rsidRPr="00AB6EC5">
        <w:rPr>
          <w:sz w:val="21"/>
          <w:szCs w:val="21"/>
        </w:rPr>
        <w:t xml:space="preserve">. </w:t>
      </w:r>
      <w:r w:rsidR="00946994" w:rsidRPr="00AB6EC5">
        <w:rPr>
          <w:sz w:val="21"/>
          <w:szCs w:val="21"/>
          <w:lang w:val="en-US"/>
        </w:rPr>
        <w:t>For females age</w:t>
      </w:r>
      <w:r w:rsidR="00323D60" w:rsidRPr="00AB6EC5">
        <w:rPr>
          <w:sz w:val="21"/>
          <w:szCs w:val="21"/>
          <w:lang w:val="en-US"/>
        </w:rPr>
        <w:t>d</w:t>
      </w:r>
      <w:r w:rsidR="00946994" w:rsidRPr="00AB6EC5">
        <w:rPr>
          <w:sz w:val="21"/>
          <w:szCs w:val="21"/>
          <w:lang w:val="en-US"/>
        </w:rPr>
        <w:t xml:space="preserve"> 15-44, child abuse/neglect is the leading risk factor contributing to total burden of disease, </w:t>
      </w:r>
      <w:r w:rsidR="00F16917" w:rsidRPr="00AB6EC5">
        <w:rPr>
          <w:sz w:val="21"/>
          <w:szCs w:val="21"/>
          <w:lang w:val="en-US"/>
        </w:rPr>
        <w:t xml:space="preserve">with </w:t>
      </w:r>
      <w:r w:rsidR="00946994" w:rsidRPr="00AB6EC5">
        <w:rPr>
          <w:sz w:val="21"/>
          <w:szCs w:val="21"/>
          <w:lang w:val="en-US"/>
        </w:rPr>
        <w:t>partner</w:t>
      </w:r>
      <w:r w:rsidR="00F16917" w:rsidRPr="00AB6EC5">
        <w:rPr>
          <w:sz w:val="21"/>
          <w:szCs w:val="21"/>
          <w:lang w:val="en-US"/>
        </w:rPr>
        <w:t xml:space="preserve"> violence the fourth leading risk factor.</w:t>
      </w:r>
      <w:r w:rsidR="003173B3" w:rsidRPr="00AB6EC5">
        <w:rPr>
          <w:rStyle w:val="EndnoteReference"/>
          <w:sz w:val="21"/>
          <w:szCs w:val="21"/>
          <w:lang w:val="en-US"/>
        </w:rPr>
        <w:endnoteReference w:id="4"/>
      </w:r>
      <w:r w:rsidR="00946994" w:rsidRPr="00AB6EC5">
        <w:rPr>
          <w:sz w:val="21"/>
          <w:szCs w:val="21"/>
          <w:lang w:val="en-US"/>
        </w:rPr>
        <w:t xml:space="preserve"> </w:t>
      </w:r>
      <w:r w:rsidR="0071667E" w:rsidRPr="00AB6EC5">
        <w:rPr>
          <w:sz w:val="21"/>
          <w:szCs w:val="21"/>
        </w:rPr>
        <w:t>Women are</w:t>
      </w:r>
      <w:r w:rsidRPr="00AB6EC5">
        <w:rPr>
          <w:sz w:val="21"/>
          <w:szCs w:val="21"/>
        </w:rPr>
        <w:t xml:space="preserve"> more likely to </w:t>
      </w:r>
      <w:r w:rsidR="66473734" w:rsidRPr="00AB6EC5">
        <w:rPr>
          <w:sz w:val="21"/>
          <w:szCs w:val="21"/>
        </w:rPr>
        <w:t>acquire disabilities</w:t>
      </w:r>
      <w:r w:rsidR="00AC674B" w:rsidRPr="00AB6EC5">
        <w:rPr>
          <w:sz w:val="21"/>
          <w:szCs w:val="21"/>
        </w:rPr>
        <w:t>,</w:t>
      </w:r>
      <w:r w:rsidR="004661B0" w:rsidRPr="00AB6EC5">
        <w:rPr>
          <w:sz w:val="21"/>
          <w:szCs w:val="21"/>
        </w:rPr>
        <w:t xml:space="preserve"> develop</w:t>
      </w:r>
      <w:r w:rsidRPr="00AB6EC5">
        <w:rPr>
          <w:sz w:val="21"/>
          <w:szCs w:val="21"/>
        </w:rPr>
        <w:t xml:space="preserve"> long-term health conditions</w:t>
      </w:r>
      <w:r w:rsidR="00AC674B" w:rsidRPr="00AB6EC5">
        <w:rPr>
          <w:sz w:val="21"/>
          <w:szCs w:val="21"/>
        </w:rPr>
        <w:t xml:space="preserve">, and </w:t>
      </w:r>
      <w:r w:rsidR="00ED309C" w:rsidRPr="00AB6EC5">
        <w:rPr>
          <w:sz w:val="21"/>
          <w:szCs w:val="21"/>
        </w:rPr>
        <w:t>are at</w:t>
      </w:r>
      <w:r w:rsidR="00AC674B" w:rsidRPr="00AB6EC5">
        <w:rPr>
          <w:sz w:val="21"/>
          <w:szCs w:val="21"/>
        </w:rPr>
        <w:t xml:space="preserve"> risk of experiencing homelessness because of</w:t>
      </w:r>
      <w:r w:rsidRPr="00AB6EC5">
        <w:rPr>
          <w:sz w:val="21"/>
          <w:szCs w:val="21"/>
        </w:rPr>
        <w:t xml:space="preserve"> gendered violence</w:t>
      </w:r>
      <w:r w:rsidR="06F4C49C" w:rsidRPr="00AB6EC5">
        <w:rPr>
          <w:sz w:val="21"/>
          <w:szCs w:val="21"/>
        </w:rPr>
        <w:t>. Women also</w:t>
      </w:r>
      <w:r w:rsidR="0070608F" w:rsidRPr="00AB6EC5">
        <w:rPr>
          <w:sz w:val="21"/>
          <w:szCs w:val="21"/>
        </w:rPr>
        <w:t xml:space="preserve"> </w:t>
      </w:r>
      <w:r w:rsidRPr="00AB6EC5">
        <w:rPr>
          <w:sz w:val="21"/>
          <w:szCs w:val="21"/>
        </w:rPr>
        <w:t>have higher levels of chronic disease</w:t>
      </w:r>
      <w:r w:rsidR="009665B2" w:rsidRPr="00AB6EC5">
        <w:rPr>
          <w:sz w:val="21"/>
          <w:szCs w:val="21"/>
        </w:rPr>
        <w:t xml:space="preserve"> and</w:t>
      </w:r>
      <w:r w:rsidRPr="00AB6EC5">
        <w:rPr>
          <w:sz w:val="21"/>
          <w:szCs w:val="21"/>
        </w:rPr>
        <w:t xml:space="preserve"> poorer mental health linked to sexism, violence and </w:t>
      </w:r>
      <w:r w:rsidR="009E7836" w:rsidRPr="00AB6EC5">
        <w:rPr>
          <w:sz w:val="21"/>
          <w:szCs w:val="21"/>
        </w:rPr>
        <w:t>poverty</w:t>
      </w:r>
      <w:r w:rsidRPr="00AB6EC5">
        <w:rPr>
          <w:sz w:val="21"/>
          <w:szCs w:val="21"/>
        </w:rPr>
        <w:t xml:space="preserve">. </w:t>
      </w:r>
      <w:r w:rsidR="6400E081" w:rsidRPr="00AB6EC5">
        <w:rPr>
          <w:sz w:val="21"/>
          <w:szCs w:val="21"/>
        </w:rPr>
        <w:t xml:space="preserve">Violence is one of </w:t>
      </w:r>
      <w:r w:rsidR="00215BA7" w:rsidRPr="00AB6EC5">
        <w:rPr>
          <w:sz w:val="21"/>
          <w:szCs w:val="21"/>
        </w:rPr>
        <w:t xml:space="preserve">the </w:t>
      </w:r>
      <w:r w:rsidR="6400E081" w:rsidRPr="00AB6EC5">
        <w:rPr>
          <w:sz w:val="21"/>
          <w:szCs w:val="21"/>
        </w:rPr>
        <w:t xml:space="preserve">leading causes of premature mortality among </w:t>
      </w:r>
      <w:r w:rsidR="4096B41F" w:rsidRPr="00AB6EC5">
        <w:rPr>
          <w:sz w:val="21"/>
          <w:szCs w:val="21"/>
        </w:rPr>
        <w:t>young people</w:t>
      </w:r>
      <w:r w:rsidR="6400E081" w:rsidRPr="00AB6EC5">
        <w:rPr>
          <w:sz w:val="21"/>
          <w:szCs w:val="21"/>
        </w:rPr>
        <w:t xml:space="preserve"> in Australia </w:t>
      </w:r>
      <w:r w:rsidR="1E0D29F1" w:rsidRPr="00AB6EC5">
        <w:rPr>
          <w:sz w:val="21"/>
          <w:szCs w:val="21"/>
        </w:rPr>
        <w:t>and w</w:t>
      </w:r>
      <w:r w:rsidR="00FD0C60" w:rsidRPr="00AB6EC5">
        <w:rPr>
          <w:sz w:val="21"/>
          <w:szCs w:val="21"/>
        </w:rPr>
        <w:t xml:space="preserve">omen are </w:t>
      </w:r>
      <w:r w:rsidR="402609B9" w:rsidRPr="00AB6EC5">
        <w:rPr>
          <w:sz w:val="21"/>
          <w:szCs w:val="21"/>
        </w:rPr>
        <w:t xml:space="preserve">much </w:t>
      </w:r>
      <w:r w:rsidR="00FD0C60" w:rsidRPr="00AB6EC5">
        <w:rPr>
          <w:sz w:val="21"/>
          <w:szCs w:val="21"/>
        </w:rPr>
        <w:t>more likely</w:t>
      </w:r>
      <w:r w:rsidR="4945DCA5" w:rsidRPr="00AB6EC5">
        <w:rPr>
          <w:sz w:val="21"/>
          <w:szCs w:val="21"/>
        </w:rPr>
        <w:t xml:space="preserve"> than men</w:t>
      </w:r>
      <w:r w:rsidR="00FD0C60" w:rsidRPr="00AB6EC5">
        <w:rPr>
          <w:sz w:val="21"/>
          <w:szCs w:val="21"/>
        </w:rPr>
        <w:t xml:space="preserve"> to be murdered</w:t>
      </w:r>
      <w:r w:rsidR="0070608F" w:rsidRPr="00AB6EC5">
        <w:rPr>
          <w:sz w:val="21"/>
          <w:szCs w:val="21"/>
        </w:rPr>
        <w:t xml:space="preserve"> </w:t>
      </w:r>
      <w:r w:rsidR="00FD0C60" w:rsidRPr="00AB6EC5">
        <w:rPr>
          <w:sz w:val="21"/>
          <w:szCs w:val="21"/>
        </w:rPr>
        <w:t>in</w:t>
      </w:r>
      <w:r w:rsidR="0B7F7ADC" w:rsidRPr="00AB6EC5">
        <w:rPr>
          <w:sz w:val="21"/>
          <w:szCs w:val="21"/>
        </w:rPr>
        <w:t xml:space="preserve"> acts of</w:t>
      </w:r>
      <w:r w:rsidR="00FD0C60" w:rsidRPr="00AB6EC5">
        <w:rPr>
          <w:sz w:val="21"/>
          <w:szCs w:val="21"/>
        </w:rPr>
        <w:t xml:space="preserve"> family violence.</w:t>
      </w:r>
      <w:r w:rsidR="00FC4973">
        <w:rPr>
          <w:rStyle w:val="EndnoteReference"/>
          <w:sz w:val="22"/>
          <w:szCs w:val="22"/>
        </w:rPr>
        <w:endnoteReference w:id="5"/>
      </w:r>
      <w:r w:rsidR="00FD0C60">
        <w:rPr>
          <w:sz w:val="22"/>
          <w:szCs w:val="22"/>
        </w:rPr>
        <w:t xml:space="preserve"> </w:t>
      </w:r>
    </w:p>
    <w:p w14:paraId="65DFD7C2" w14:textId="77777777" w:rsidR="002531DD" w:rsidRDefault="002531DD" w:rsidP="00FC6EF9">
      <w:pPr>
        <w:rPr>
          <w:sz w:val="22"/>
          <w:szCs w:val="22"/>
        </w:rPr>
      </w:pPr>
    </w:p>
    <w:p w14:paraId="2CDA4A5E" w14:textId="11803C34" w:rsidR="00927616" w:rsidRPr="00AB6EC5" w:rsidRDefault="006F6670" w:rsidP="00FC6EF9">
      <w:pPr>
        <w:rPr>
          <w:sz w:val="21"/>
          <w:szCs w:val="21"/>
        </w:rPr>
      </w:pPr>
      <w:r w:rsidRPr="00AB6EC5">
        <w:rPr>
          <w:sz w:val="21"/>
          <w:szCs w:val="21"/>
        </w:rPr>
        <w:t>Data from the Australian Longitudinal Study of Women’s Health</w:t>
      </w:r>
      <w:r w:rsidR="003E1EB2" w:rsidRPr="00AB6EC5">
        <w:rPr>
          <w:sz w:val="21"/>
          <w:szCs w:val="21"/>
        </w:rPr>
        <w:t xml:space="preserve"> (ALSWH)</w:t>
      </w:r>
      <w:r w:rsidRPr="00AB6EC5">
        <w:rPr>
          <w:sz w:val="21"/>
          <w:szCs w:val="21"/>
        </w:rPr>
        <w:t xml:space="preserve"> demonstrates links between e</w:t>
      </w:r>
      <w:r w:rsidR="00396B6B" w:rsidRPr="00AB6EC5">
        <w:rPr>
          <w:sz w:val="21"/>
          <w:szCs w:val="21"/>
        </w:rPr>
        <w:t xml:space="preserve">xperiencing sexual violence </w:t>
      </w:r>
      <w:r w:rsidR="006F7803" w:rsidRPr="00AB6EC5">
        <w:rPr>
          <w:sz w:val="21"/>
          <w:szCs w:val="21"/>
        </w:rPr>
        <w:t xml:space="preserve">and increased risk of poorer mental and physical </w:t>
      </w:r>
      <w:r w:rsidR="002531DD" w:rsidRPr="00AB6EC5">
        <w:rPr>
          <w:sz w:val="21"/>
          <w:szCs w:val="21"/>
        </w:rPr>
        <w:t xml:space="preserve">health and </w:t>
      </w:r>
      <w:r w:rsidR="00855934" w:rsidRPr="00AB6EC5">
        <w:rPr>
          <w:sz w:val="21"/>
          <w:szCs w:val="21"/>
        </w:rPr>
        <w:t xml:space="preserve">suggests </w:t>
      </w:r>
      <w:r w:rsidR="0056364D" w:rsidRPr="00AB6EC5">
        <w:rPr>
          <w:sz w:val="21"/>
          <w:szCs w:val="21"/>
        </w:rPr>
        <w:t>that detrimental health impacts persist over the life</w:t>
      </w:r>
      <w:r w:rsidR="00E11507" w:rsidRPr="00AB6EC5">
        <w:rPr>
          <w:sz w:val="21"/>
          <w:szCs w:val="21"/>
        </w:rPr>
        <w:t xml:space="preserve"> </w:t>
      </w:r>
      <w:r w:rsidR="0056364D" w:rsidRPr="00AB6EC5">
        <w:rPr>
          <w:sz w:val="21"/>
          <w:szCs w:val="21"/>
        </w:rPr>
        <w:t>course. Sexual violence was</w:t>
      </w:r>
      <w:r w:rsidR="00396B6B" w:rsidRPr="00AB6EC5">
        <w:rPr>
          <w:sz w:val="21"/>
          <w:szCs w:val="21"/>
        </w:rPr>
        <w:t xml:space="preserve"> also linked to </w:t>
      </w:r>
      <w:r w:rsidR="0035589A" w:rsidRPr="00AB6EC5">
        <w:rPr>
          <w:sz w:val="21"/>
          <w:szCs w:val="21"/>
        </w:rPr>
        <w:t xml:space="preserve">adverse </w:t>
      </w:r>
      <w:r w:rsidR="00396B6B" w:rsidRPr="00AB6EC5">
        <w:rPr>
          <w:sz w:val="21"/>
          <w:szCs w:val="21"/>
        </w:rPr>
        <w:t>health behaviours, indicating that prevention of violence is a critical preventive health action.</w:t>
      </w:r>
      <w:r w:rsidR="00B93BB9" w:rsidRPr="00AB6EC5">
        <w:rPr>
          <w:rStyle w:val="EndnoteReference"/>
          <w:sz w:val="21"/>
          <w:szCs w:val="21"/>
        </w:rPr>
        <w:endnoteReference w:id="6"/>
      </w:r>
      <w:r w:rsidR="00396B6B" w:rsidRPr="00AB6EC5">
        <w:rPr>
          <w:sz w:val="21"/>
          <w:szCs w:val="21"/>
        </w:rPr>
        <w:t xml:space="preserve"> </w:t>
      </w:r>
      <w:r w:rsidR="003C6D26" w:rsidRPr="00AB6EC5">
        <w:rPr>
          <w:sz w:val="21"/>
          <w:szCs w:val="21"/>
        </w:rPr>
        <w:t xml:space="preserve">For instance, </w:t>
      </w:r>
      <w:r w:rsidR="003E1EB2" w:rsidRPr="00AB6EC5">
        <w:rPr>
          <w:sz w:val="21"/>
          <w:szCs w:val="21"/>
        </w:rPr>
        <w:t xml:space="preserve">ALSWH data </w:t>
      </w:r>
      <w:r w:rsidR="00047574" w:rsidRPr="00AB6EC5">
        <w:rPr>
          <w:sz w:val="21"/>
          <w:szCs w:val="21"/>
        </w:rPr>
        <w:t xml:space="preserve">also </w:t>
      </w:r>
      <w:r w:rsidR="00590405" w:rsidRPr="00AB6EC5">
        <w:rPr>
          <w:sz w:val="21"/>
          <w:szCs w:val="21"/>
        </w:rPr>
        <w:t>found that</w:t>
      </w:r>
      <w:r w:rsidR="00DB63C7" w:rsidRPr="00AB6EC5">
        <w:rPr>
          <w:sz w:val="21"/>
          <w:szCs w:val="21"/>
        </w:rPr>
        <w:t xml:space="preserve"> </w:t>
      </w:r>
      <w:r w:rsidR="00A63F3B" w:rsidRPr="00AB6EC5">
        <w:rPr>
          <w:sz w:val="21"/>
          <w:szCs w:val="21"/>
        </w:rPr>
        <w:t>‘</w:t>
      </w:r>
      <w:r w:rsidR="00590405" w:rsidRPr="00AB6EC5">
        <w:rPr>
          <w:sz w:val="21"/>
          <w:szCs w:val="21"/>
        </w:rPr>
        <w:t>v</w:t>
      </w:r>
      <w:r w:rsidR="00DB63C7" w:rsidRPr="00AB6EC5">
        <w:rPr>
          <w:sz w:val="21"/>
          <w:szCs w:val="21"/>
        </w:rPr>
        <w:t>ictims and survivors of sexual violence are up to 45</w:t>
      </w:r>
      <w:r w:rsidR="00DE6DED">
        <w:rPr>
          <w:sz w:val="21"/>
          <w:szCs w:val="21"/>
        </w:rPr>
        <w:t xml:space="preserve">% </w:t>
      </w:r>
      <w:r w:rsidR="00DB63C7" w:rsidRPr="00AB6EC5">
        <w:rPr>
          <w:sz w:val="21"/>
          <w:szCs w:val="21"/>
        </w:rPr>
        <w:t>more likely to have high levels of financial stress and report worse physical and mental health, including chronic conditions and mental health issues, than those who have not experienced sexual violence.’</w:t>
      </w:r>
      <w:r w:rsidR="00C57F5A" w:rsidRPr="00AB6EC5">
        <w:rPr>
          <w:rStyle w:val="EndnoteReference"/>
          <w:sz w:val="21"/>
          <w:szCs w:val="21"/>
        </w:rPr>
        <w:endnoteReference w:id="7"/>
      </w:r>
    </w:p>
    <w:p w14:paraId="1E2499F2" w14:textId="77777777" w:rsidR="0013395E" w:rsidRPr="00AB6EC5" w:rsidRDefault="0013395E" w:rsidP="000960B3">
      <w:pPr>
        <w:rPr>
          <w:sz w:val="21"/>
          <w:szCs w:val="21"/>
        </w:rPr>
      </w:pPr>
    </w:p>
    <w:p w14:paraId="089756B5" w14:textId="59AB7360" w:rsidR="000960B3" w:rsidRPr="00AB6EC5" w:rsidRDefault="000E7B04" w:rsidP="000960B3">
      <w:pPr>
        <w:rPr>
          <w:sz w:val="21"/>
          <w:szCs w:val="21"/>
        </w:rPr>
      </w:pPr>
      <w:r w:rsidRPr="00AB6EC5">
        <w:rPr>
          <w:sz w:val="21"/>
          <w:szCs w:val="21"/>
        </w:rPr>
        <w:t xml:space="preserve">From individual health and wellbeing outcomes to broader social determinants of health including education, financial status, housing and homelessness, </w:t>
      </w:r>
      <w:r w:rsidR="00047574" w:rsidRPr="00AB6EC5">
        <w:rPr>
          <w:sz w:val="21"/>
          <w:szCs w:val="21"/>
        </w:rPr>
        <w:t>gender-based violence including, domestic</w:t>
      </w:r>
      <w:r w:rsidR="00415E94">
        <w:rPr>
          <w:sz w:val="21"/>
          <w:szCs w:val="21"/>
        </w:rPr>
        <w:t>,</w:t>
      </w:r>
      <w:r w:rsidR="00415E94" w:rsidRPr="00415E94">
        <w:rPr>
          <w:sz w:val="21"/>
          <w:szCs w:val="21"/>
        </w:rPr>
        <w:t xml:space="preserve"> </w:t>
      </w:r>
      <w:r w:rsidR="00415E94" w:rsidRPr="00AB6EC5">
        <w:rPr>
          <w:sz w:val="21"/>
          <w:szCs w:val="21"/>
        </w:rPr>
        <w:t>family</w:t>
      </w:r>
      <w:r w:rsidR="00047574" w:rsidRPr="00AB6EC5">
        <w:rPr>
          <w:sz w:val="21"/>
          <w:szCs w:val="21"/>
        </w:rPr>
        <w:t xml:space="preserve"> and sexual violence</w:t>
      </w:r>
      <w:r w:rsidR="00E6192A" w:rsidRPr="00AB6EC5">
        <w:rPr>
          <w:sz w:val="21"/>
          <w:szCs w:val="21"/>
        </w:rPr>
        <w:t xml:space="preserve"> (</w:t>
      </w:r>
      <w:r w:rsidR="00415E94">
        <w:rPr>
          <w:sz w:val="21"/>
          <w:szCs w:val="21"/>
        </w:rPr>
        <w:t>DF</w:t>
      </w:r>
      <w:r w:rsidR="00E6192A" w:rsidRPr="00AB6EC5">
        <w:rPr>
          <w:sz w:val="21"/>
          <w:szCs w:val="21"/>
        </w:rPr>
        <w:t>SV)</w:t>
      </w:r>
      <w:r w:rsidR="00047574" w:rsidRPr="00AB6EC5">
        <w:rPr>
          <w:sz w:val="21"/>
          <w:szCs w:val="21"/>
        </w:rPr>
        <w:t>,</w:t>
      </w:r>
      <w:r w:rsidRPr="00AB6EC5">
        <w:rPr>
          <w:sz w:val="21"/>
          <w:szCs w:val="21"/>
        </w:rPr>
        <w:t xml:space="preserve"> compounds the negative impacts on women’s health.</w:t>
      </w:r>
      <w:r w:rsidRPr="00AB6EC5">
        <w:rPr>
          <w:rStyle w:val="EndnoteReference"/>
          <w:sz w:val="21"/>
          <w:szCs w:val="21"/>
        </w:rPr>
        <w:endnoteReference w:id="8"/>
      </w:r>
      <w:r w:rsidRPr="00AB6EC5">
        <w:rPr>
          <w:sz w:val="21"/>
          <w:szCs w:val="21"/>
        </w:rPr>
        <w:t xml:space="preserve"> </w:t>
      </w:r>
      <w:r w:rsidRPr="00AB6EC5">
        <w:rPr>
          <w:rStyle w:val="EndnoteReference"/>
          <w:sz w:val="21"/>
          <w:szCs w:val="21"/>
        </w:rPr>
        <w:endnoteReference w:id="9"/>
      </w:r>
    </w:p>
    <w:p w14:paraId="68F29415" w14:textId="77777777" w:rsidR="000E7B04" w:rsidRPr="00AB6EC5" w:rsidRDefault="000E7B04" w:rsidP="0071667E">
      <w:pPr>
        <w:rPr>
          <w:color w:val="000000" w:themeColor="text1"/>
          <w:sz w:val="21"/>
          <w:szCs w:val="21"/>
          <w:lang w:val="en-AU"/>
        </w:rPr>
      </w:pPr>
    </w:p>
    <w:p w14:paraId="7770946F" w14:textId="5D09177E" w:rsidR="00EB055B" w:rsidRPr="00AB6EC5" w:rsidRDefault="0071667E" w:rsidP="0F26161C">
      <w:pPr>
        <w:rPr>
          <w:sz w:val="21"/>
          <w:szCs w:val="21"/>
        </w:rPr>
      </w:pPr>
      <w:r w:rsidRPr="00AB6EC5">
        <w:rPr>
          <w:color w:val="000000" w:themeColor="text1"/>
          <w:sz w:val="21"/>
          <w:szCs w:val="21"/>
          <w:lang w:val="en-AU"/>
        </w:rPr>
        <w:t xml:space="preserve">A gender equity lens </w:t>
      </w:r>
      <w:r w:rsidR="00C47E15" w:rsidRPr="00AB6EC5">
        <w:rPr>
          <w:color w:val="000000" w:themeColor="text1"/>
          <w:sz w:val="21"/>
          <w:szCs w:val="21"/>
          <w:lang w:val="en-AU"/>
        </w:rPr>
        <w:t>recognises that</w:t>
      </w:r>
      <w:r w:rsidRPr="00AB6EC5">
        <w:rPr>
          <w:color w:val="000000" w:themeColor="text1"/>
          <w:sz w:val="21"/>
          <w:szCs w:val="21"/>
          <w:lang w:val="en-AU"/>
        </w:rPr>
        <w:t xml:space="preserve"> preventing gender-based violence</w:t>
      </w:r>
      <w:r w:rsidR="00C47E15" w:rsidRPr="00AB6EC5">
        <w:rPr>
          <w:color w:val="000000" w:themeColor="text1"/>
          <w:sz w:val="21"/>
          <w:szCs w:val="21"/>
          <w:lang w:val="en-AU"/>
        </w:rPr>
        <w:t xml:space="preserve"> is</w:t>
      </w:r>
      <w:r w:rsidR="00B25ACA" w:rsidRPr="00AB6EC5">
        <w:rPr>
          <w:color w:val="000000" w:themeColor="text1"/>
          <w:sz w:val="21"/>
          <w:szCs w:val="21"/>
          <w:lang w:val="en-AU"/>
        </w:rPr>
        <w:t xml:space="preserve"> therefore</w:t>
      </w:r>
      <w:r w:rsidR="00C47E15" w:rsidRPr="00AB6EC5">
        <w:rPr>
          <w:color w:val="000000" w:themeColor="text1"/>
          <w:sz w:val="21"/>
          <w:szCs w:val="21"/>
          <w:lang w:val="en-AU"/>
        </w:rPr>
        <w:t xml:space="preserve"> necessary</w:t>
      </w:r>
      <w:r w:rsidRPr="00AB6EC5">
        <w:rPr>
          <w:color w:val="000000" w:themeColor="text1"/>
          <w:sz w:val="21"/>
          <w:szCs w:val="21"/>
          <w:lang w:val="en-AU"/>
        </w:rPr>
        <w:t xml:space="preserve"> to achieve health equity. Without this understanding,</w:t>
      </w:r>
      <w:r w:rsidR="00EE46EC" w:rsidRPr="00AB6EC5">
        <w:rPr>
          <w:color w:val="000000" w:themeColor="text1"/>
          <w:sz w:val="21"/>
          <w:szCs w:val="21"/>
          <w:lang w:val="en-AU"/>
        </w:rPr>
        <w:t xml:space="preserve"> </w:t>
      </w:r>
      <w:r w:rsidRPr="00AB6EC5">
        <w:rPr>
          <w:color w:val="000000" w:themeColor="text1"/>
          <w:sz w:val="21"/>
          <w:szCs w:val="21"/>
          <w:lang w:val="en-AU"/>
        </w:rPr>
        <w:t xml:space="preserve">women’s </w:t>
      </w:r>
      <w:r w:rsidR="00002DB5" w:rsidRPr="00AB6EC5">
        <w:rPr>
          <w:color w:val="000000" w:themeColor="text1"/>
          <w:sz w:val="21"/>
          <w:szCs w:val="21"/>
          <w:lang w:val="en-AU"/>
        </w:rPr>
        <w:t xml:space="preserve">lived </w:t>
      </w:r>
      <w:r w:rsidRPr="00AB6EC5">
        <w:rPr>
          <w:color w:val="000000" w:themeColor="text1"/>
          <w:sz w:val="21"/>
          <w:szCs w:val="21"/>
          <w:lang w:val="en-AU"/>
        </w:rPr>
        <w:t>experiences can be siloed into</w:t>
      </w:r>
      <w:r w:rsidR="00002DB5" w:rsidRPr="00AB6EC5">
        <w:rPr>
          <w:color w:val="000000" w:themeColor="text1"/>
          <w:sz w:val="21"/>
          <w:szCs w:val="21"/>
          <w:lang w:val="en-AU"/>
        </w:rPr>
        <w:t xml:space="preserve"> either</w:t>
      </w:r>
      <w:r w:rsidRPr="00AB6EC5">
        <w:rPr>
          <w:color w:val="000000" w:themeColor="text1"/>
          <w:sz w:val="21"/>
          <w:szCs w:val="21"/>
          <w:lang w:val="en-AU"/>
        </w:rPr>
        <w:t xml:space="preserve"> safety </w:t>
      </w:r>
      <w:r w:rsidR="00002DB5" w:rsidRPr="00AB6EC5">
        <w:rPr>
          <w:color w:val="000000" w:themeColor="text1"/>
          <w:sz w:val="21"/>
          <w:szCs w:val="21"/>
          <w:lang w:val="en-AU"/>
        </w:rPr>
        <w:t>or h</w:t>
      </w:r>
      <w:r w:rsidRPr="00AB6EC5">
        <w:rPr>
          <w:color w:val="000000" w:themeColor="text1"/>
          <w:sz w:val="21"/>
          <w:szCs w:val="21"/>
          <w:lang w:val="en-AU"/>
        </w:rPr>
        <w:t>ealth</w:t>
      </w:r>
      <w:r w:rsidR="00002DB5" w:rsidRPr="00AB6EC5">
        <w:rPr>
          <w:color w:val="000000" w:themeColor="text1"/>
          <w:sz w:val="21"/>
          <w:szCs w:val="21"/>
          <w:lang w:val="en-AU"/>
        </w:rPr>
        <w:t xml:space="preserve"> needs</w:t>
      </w:r>
      <w:r w:rsidRPr="00AB6EC5">
        <w:rPr>
          <w:color w:val="000000" w:themeColor="text1"/>
          <w:sz w:val="21"/>
          <w:szCs w:val="21"/>
          <w:lang w:val="en-AU"/>
        </w:rPr>
        <w:t>, without recogni</w:t>
      </w:r>
      <w:r w:rsidR="000F12B2" w:rsidRPr="00AB6EC5">
        <w:rPr>
          <w:color w:val="000000" w:themeColor="text1"/>
          <w:sz w:val="21"/>
          <w:szCs w:val="21"/>
          <w:lang w:val="en-AU"/>
        </w:rPr>
        <w:t xml:space="preserve">sing </w:t>
      </w:r>
      <w:r w:rsidRPr="00AB6EC5">
        <w:rPr>
          <w:color w:val="000000" w:themeColor="text1"/>
          <w:sz w:val="21"/>
          <w:szCs w:val="21"/>
          <w:lang w:val="en-AU"/>
        </w:rPr>
        <w:t xml:space="preserve">the intrinsic connection between them. This </w:t>
      </w:r>
      <w:r w:rsidR="00995945" w:rsidRPr="00AB6EC5">
        <w:rPr>
          <w:color w:val="000000" w:themeColor="text1"/>
          <w:sz w:val="21"/>
          <w:szCs w:val="21"/>
          <w:lang w:val="en-AU"/>
        </w:rPr>
        <w:t>leads to</w:t>
      </w:r>
      <w:r w:rsidRPr="00AB6EC5">
        <w:rPr>
          <w:color w:val="000000" w:themeColor="text1"/>
          <w:sz w:val="21"/>
          <w:szCs w:val="21"/>
          <w:lang w:val="en-AU"/>
        </w:rPr>
        <w:t xml:space="preserve"> a system that does not adequately respond to the</w:t>
      </w:r>
      <w:r w:rsidR="00EC193F" w:rsidRPr="00AB6EC5">
        <w:rPr>
          <w:color w:val="000000" w:themeColor="text1"/>
          <w:sz w:val="21"/>
          <w:szCs w:val="21"/>
          <w:lang w:val="en-AU"/>
        </w:rPr>
        <w:t xml:space="preserve"> holistic</w:t>
      </w:r>
      <w:r w:rsidRPr="00AB6EC5">
        <w:rPr>
          <w:color w:val="000000" w:themeColor="text1"/>
          <w:sz w:val="21"/>
          <w:szCs w:val="21"/>
          <w:lang w:val="en-AU"/>
        </w:rPr>
        <w:t xml:space="preserve"> needs of individuals</w:t>
      </w:r>
      <w:r w:rsidR="009D18BF" w:rsidRPr="00AB6EC5">
        <w:rPr>
          <w:color w:val="000000" w:themeColor="text1"/>
          <w:sz w:val="21"/>
          <w:szCs w:val="21"/>
          <w:lang w:val="en-AU"/>
        </w:rPr>
        <w:t>, families</w:t>
      </w:r>
      <w:r w:rsidRPr="00AB6EC5">
        <w:rPr>
          <w:color w:val="000000" w:themeColor="text1"/>
          <w:sz w:val="21"/>
          <w:szCs w:val="21"/>
          <w:lang w:val="en-AU"/>
        </w:rPr>
        <w:t xml:space="preserve"> or communities. </w:t>
      </w:r>
      <w:r w:rsidR="003A187A" w:rsidRPr="00AB6EC5">
        <w:rPr>
          <w:sz w:val="21"/>
          <w:szCs w:val="21"/>
        </w:rPr>
        <w:t>Applying an intersectional gender lens to violence is essential to understand</w:t>
      </w:r>
      <w:r w:rsidR="004D791C" w:rsidRPr="00AB6EC5">
        <w:rPr>
          <w:sz w:val="21"/>
          <w:szCs w:val="21"/>
        </w:rPr>
        <w:t>ing</w:t>
      </w:r>
      <w:r w:rsidR="003A187A" w:rsidRPr="00AB6EC5">
        <w:rPr>
          <w:sz w:val="21"/>
          <w:szCs w:val="21"/>
        </w:rPr>
        <w:t xml:space="preserve"> the diversity of lived experience, the intersecting forms of oppression, discrimination, power and privilege</w:t>
      </w:r>
      <w:r w:rsidR="003F771C" w:rsidRPr="00AB6EC5">
        <w:rPr>
          <w:sz w:val="21"/>
          <w:szCs w:val="21"/>
        </w:rPr>
        <w:t xml:space="preserve">, </w:t>
      </w:r>
      <w:r w:rsidR="003A187A" w:rsidRPr="00AB6EC5">
        <w:rPr>
          <w:sz w:val="21"/>
          <w:szCs w:val="21"/>
        </w:rPr>
        <w:t xml:space="preserve">and </w:t>
      </w:r>
      <w:r w:rsidR="00BB1621" w:rsidRPr="00AB6EC5">
        <w:rPr>
          <w:sz w:val="21"/>
          <w:szCs w:val="21"/>
        </w:rPr>
        <w:t>address</w:t>
      </w:r>
      <w:r w:rsidR="0013377F" w:rsidRPr="00AB6EC5">
        <w:rPr>
          <w:sz w:val="21"/>
          <w:szCs w:val="21"/>
        </w:rPr>
        <w:t>ing</w:t>
      </w:r>
      <w:r w:rsidR="00BB1621" w:rsidRPr="00AB6EC5">
        <w:rPr>
          <w:sz w:val="21"/>
          <w:szCs w:val="21"/>
        </w:rPr>
        <w:t xml:space="preserve"> </w:t>
      </w:r>
      <w:r w:rsidR="003A187A" w:rsidRPr="00AB6EC5">
        <w:rPr>
          <w:sz w:val="21"/>
          <w:szCs w:val="21"/>
        </w:rPr>
        <w:t xml:space="preserve">structural inequalities </w:t>
      </w:r>
      <w:r w:rsidR="0013377F" w:rsidRPr="00AB6EC5">
        <w:rPr>
          <w:sz w:val="21"/>
          <w:szCs w:val="21"/>
        </w:rPr>
        <w:t>through</w:t>
      </w:r>
      <w:r w:rsidR="00BB1621" w:rsidRPr="00AB6EC5">
        <w:rPr>
          <w:sz w:val="21"/>
          <w:szCs w:val="21"/>
        </w:rPr>
        <w:t xml:space="preserve"> target</w:t>
      </w:r>
      <w:r w:rsidR="0013377F" w:rsidRPr="00AB6EC5">
        <w:rPr>
          <w:sz w:val="21"/>
          <w:szCs w:val="21"/>
        </w:rPr>
        <w:t>ed</w:t>
      </w:r>
      <w:r w:rsidR="00BB1621" w:rsidRPr="00AB6EC5">
        <w:rPr>
          <w:sz w:val="21"/>
          <w:szCs w:val="21"/>
        </w:rPr>
        <w:t xml:space="preserve"> prevention action</w:t>
      </w:r>
      <w:r w:rsidR="003A187A" w:rsidRPr="00AB6EC5">
        <w:rPr>
          <w:sz w:val="21"/>
          <w:szCs w:val="21"/>
        </w:rPr>
        <w:t>.</w:t>
      </w:r>
      <w:r w:rsidR="00167584" w:rsidRPr="00AB6EC5">
        <w:rPr>
          <w:sz w:val="21"/>
          <w:szCs w:val="21"/>
        </w:rPr>
        <w:t xml:space="preserve"> </w:t>
      </w:r>
    </w:p>
    <w:p w14:paraId="15B82CAF" w14:textId="77777777" w:rsidR="004D791C" w:rsidRPr="00AB6EC5" w:rsidRDefault="004D791C" w:rsidP="000960B3">
      <w:pPr>
        <w:rPr>
          <w:sz w:val="21"/>
          <w:szCs w:val="21"/>
        </w:rPr>
      </w:pPr>
    </w:p>
    <w:p w14:paraId="7363DF0E" w14:textId="09ABB962" w:rsidR="00EB055B" w:rsidRPr="00AB6EC5" w:rsidRDefault="00927616" w:rsidP="000960B3">
      <w:pPr>
        <w:rPr>
          <w:sz w:val="21"/>
          <w:szCs w:val="21"/>
        </w:rPr>
      </w:pPr>
      <w:r w:rsidRPr="00AB6EC5">
        <w:rPr>
          <w:sz w:val="21"/>
          <w:szCs w:val="21"/>
        </w:rPr>
        <w:t xml:space="preserve">Aboriginal and Torres Strait Islander women, women with disabilities, and LGBTIQ+ </w:t>
      </w:r>
      <w:r w:rsidR="006E3E89" w:rsidRPr="00AB6EC5">
        <w:rPr>
          <w:sz w:val="21"/>
          <w:szCs w:val="21"/>
        </w:rPr>
        <w:t xml:space="preserve">communities </w:t>
      </w:r>
      <w:r w:rsidRPr="00AB6EC5">
        <w:rPr>
          <w:sz w:val="21"/>
          <w:szCs w:val="21"/>
        </w:rPr>
        <w:t xml:space="preserve">bear a disproportionate burden of gendered violence. </w:t>
      </w:r>
      <w:r w:rsidR="00886597" w:rsidRPr="00AB6EC5">
        <w:rPr>
          <w:sz w:val="21"/>
          <w:szCs w:val="21"/>
        </w:rPr>
        <w:t>Violence against Aboriginal and</w:t>
      </w:r>
      <w:r w:rsidR="00F515F3" w:rsidRPr="00AB6EC5">
        <w:rPr>
          <w:sz w:val="21"/>
          <w:szCs w:val="21"/>
        </w:rPr>
        <w:t xml:space="preserve"> Torres Strait Islander women cannot be addressed without addressing the </w:t>
      </w:r>
      <w:r w:rsidR="00BC5C7B" w:rsidRPr="00AB6EC5">
        <w:rPr>
          <w:sz w:val="21"/>
          <w:szCs w:val="21"/>
        </w:rPr>
        <w:t xml:space="preserve">ongoing </w:t>
      </w:r>
      <w:r w:rsidR="00F515F3" w:rsidRPr="00AB6EC5">
        <w:rPr>
          <w:sz w:val="21"/>
          <w:szCs w:val="21"/>
        </w:rPr>
        <w:t xml:space="preserve">impacts of colonisation and intergenerational trauma. </w:t>
      </w:r>
      <w:r w:rsidR="00732741" w:rsidRPr="00AB6EC5">
        <w:rPr>
          <w:sz w:val="21"/>
          <w:szCs w:val="21"/>
        </w:rPr>
        <w:t xml:space="preserve">The </w:t>
      </w:r>
      <w:r w:rsidRPr="00AB6EC5">
        <w:rPr>
          <w:sz w:val="21"/>
          <w:szCs w:val="21"/>
        </w:rPr>
        <w:t xml:space="preserve">barriers that migrant and refugee women with intersecting forms of disadvantage face when experiencing violence, such as precarious visa status, require different systemic responses to </w:t>
      </w:r>
      <w:r w:rsidR="00480D7A" w:rsidRPr="00AB6EC5">
        <w:rPr>
          <w:sz w:val="21"/>
          <w:szCs w:val="21"/>
        </w:rPr>
        <w:t xml:space="preserve">ensure </w:t>
      </w:r>
      <w:r w:rsidR="319A35E1" w:rsidRPr="00AB6EC5">
        <w:rPr>
          <w:sz w:val="21"/>
          <w:szCs w:val="21"/>
        </w:rPr>
        <w:t xml:space="preserve">their </w:t>
      </w:r>
      <w:r w:rsidRPr="00AB6EC5">
        <w:rPr>
          <w:sz w:val="21"/>
          <w:szCs w:val="21"/>
        </w:rPr>
        <w:t xml:space="preserve">health and safety. </w:t>
      </w:r>
      <w:r w:rsidR="00505767" w:rsidRPr="00AB6EC5">
        <w:rPr>
          <w:sz w:val="21"/>
          <w:szCs w:val="21"/>
        </w:rPr>
        <w:t xml:space="preserve">Women who are sex-workers </w:t>
      </w:r>
      <w:r w:rsidR="71D43EB8" w:rsidRPr="00AB6EC5">
        <w:rPr>
          <w:sz w:val="21"/>
          <w:szCs w:val="21"/>
        </w:rPr>
        <w:t xml:space="preserve">and criminalised women </w:t>
      </w:r>
      <w:r w:rsidR="00505767" w:rsidRPr="00AB6EC5">
        <w:rPr>
          <w:sz w:val="21"/>
          <w:szCs w:val="21"/>
        </w:rPr>
        <w:t xml:space="preserve">are not often considered in preventive </w:t>
      </w:r>
      <w:r w:rsidR="00745F95" w:rsidRPr="00AB6EC5">
        <w:rPr>
          <w:sz w:val="21"/>
          <w:szCs w:val="21"/>
        </w:rPr>
        <w:t xml:space="preserve">measures and face extra barriers </w:t>
      </w:r>
      <w:r w:rsidR="008157F4" w:rsidRPr="00AB6EC5">
        <w:rPr>
          <w:sz w:val="21"/>
          <w:szCs w:val="21"/>
        </w:rPr>
        <w:t>to help when experiencing violence.</w:t>
      </w:r>
    </w:p>
    <w:p w14:paraId="3DDA496C" w14:textId="77777777" w:rsidR="00A56277" w:rsidRPr="00AB6EC5" w:rsidRDefault="00A56277" w:rsidP="000960B3">
      <w:pPr>
        <w:rPr>
          <w:sz w:val="21"/>
          <w:szCs w:val="21"/>
        </w:rPr>
      </w:pPr>
    </w:p>
    <w:p w14:paraId="4F896B13" w14:textId="18A4A83B" w:rsidR="00927616" w:rsidRPr="00AB6EC5" w:rsidRDefault="00927616" w:rsidP="000960B3">
      <w:pPr>
        <w:rPr>
          <w:color w:val="000000" w:themeColor="text1"/>
          <w:sz w:val="21"/>
          <w:szCs w:val="21"/>
          <w:lang w:val="en-AU"/>
        </w:rPr>
      </w:pPr>
      <w:r w:rsidRPr="00AB6EC5">
        <w:rPr>
          <w:color w:val="000000" w:themeColor="text1"/>
          <w:sz w:val="21"/>
          <w:szCs w:val="21"/>
          <w:lang w:val="en-AU"/>
        </w:rPr>
        <w:t>Applying an intersectional gender lens on violence is key to strengthening policies and programs that address gendered violence in the broader community as well as within the health system</w:t>
      </w:r>
      <w:r w:rsidR="2AF0834D" w:rsidRPr="00AB6EC5">
        <w:rPr>
          <w:color w:val="000000" w:themeColor="text1"/>
          <w:sz w:val="21"/>
          <w:szCs w:val="21"/>
          <w:lang w:val="en-AU"/>
        </w:rPr>
        <w:t>.</w:t>
      </w:r>
    </w:p>
    <w:p w14:paraId="7EF9DE43" w14:textId="77777777" w:rsidR="00AE4100" w:rsidRDefault="00AE4100" w:rsidP="00AE4100">
      <w:pPr>
        <w:pStyle w:val="Title"/>
      </w:pPr>
      <w:bookmarkStart w:id="3" w:name="_krr3ikicbsrt" w:colFirst="0" w:colLast="0"/>
      <w:bookmarkEnd w:id="3"/>
      <w:r>
        <w:lastRenderedPageBreak/>
        <w:t xml:space="preserve">Gendered violence and the health system </w:t>
      </w:r>
    </w:p>
    <w:p w14:paraId="7ADE745C" w14:textId="160D320F" w:rsidR="00DA7939" w:rsidRPr="00AB6EC5" w:rsidRDefault="00D72B78" w:rsidP="795EB8BA">
      <w:pPr>
        <w:rPr>
          <w:sz w:val="21"/>
          <w:szCs w:val="21"/>
        </w:rPr>
      </w:pPr>
      <w:r w:rsidRPr="00AB6EC5">
        <w:rPr>
          <w:rStyle w:val="normaltextrun"/>
          <w:color w:val="000000" w:themeColor="text1"/>
          <w:sz w:val="21"/>
          <w:szCs w:val="21"/>
        </w:rPr>
        <w:t xml:space="preserve">Violence </w:t>
      </w:r>
      <w:r w:rsidR="0071667E" w:rsidRPr="00AB6EC5">
        <w:rPr>
          <w:rStyle w:val="normaltextrun"/>
          <w:color w:val="000000" w:themeColor="text1"/>
          <w:sz w:val="21"/>
          <w:szCs w:val="21"/>
        </w:rPr>
        <w:t xml:space="preserve">may also </w:t>
      </w:r>
      <w:r w:rsidR="4632D80F" w:rsidRPr="00AB6EC5">
        <w:rPr>
          <w:rStyle w:val="normaltextrun"/>
          <w:color w:val="000000" w:themeColor="text1"/>
          <w:sz w:val="21"/>
          <w:szCs w:val="21"/>
        </w:rPr>
        <w:t>impact</w:t>
      </w:r>
      <w:r w:rsidR="0071667E" w:rsidRPr="00AB6EC5">
        <w:rPr>
          <w:rStyle w:val="normaltextrun"/>
          <w:color w:val="000000" w:themeColor="text1"/>
          <w:sz w:val="21"/>
          <w:szCs w:val="21"/>
        </w:rPr>
        <w:t xml:space="preserve"> access to health care</w:t>
      </w:r>
      <w:r w:rsidR="004B113A" w:rsidRPr="00AB6EC5">
        <w:rPr>
          <w:rStyle w:val="normaltextrun"/>
          <w:color w:val="000000" w:themeColor="text1"/>
          <w:sz w:val="21"/>
          <w:szCs w:val="21"/>
        </w:rPr>
        <w:t xml:space="preserve">, </w:t>
      </w:r>
      <w:r w:rsidR="0071667E" w:rsidRPr="00AB6EC5">
        <w:rPr>
          <w:rStyle w:val="normaltextrun"/>
          <w:color w:val="000000" w:themeColor="text1"/>
          <w:sz w:val="21"/>
          <w:szCs w:val="21"/>
        </w:rPr>
        <w:t>occur within health settings</w:t>
      </w:r>
      <w:r w:rsidR="004B113A" w:rsidRPr="00AB6EC5">
        <w:rPr>
          <w:rStyle w:val="normaltextrun"/>
          <w:color w:val="000000" w:themeColor="text1"/>
          <w:sz w:val="21"/>
          <w:szCs w:val="21"/>
        </w:rPr>
        <w:t xml:space="preserve"> and </w:t>
      </w:r>
      <w:r w:rsidR="4DA2D461" w:rsidRPr="00AB6EC5">
        <w:rPr>
          <w:rStyle w:val="normaltextrun"/>
          <w:color w:val="000000" w:themeColor="text1"/>
          <w:sz w:val="21"/>
          <w:szCs w:val="21"/>
        </w:rPr>
        <w:t>result in poorer</w:t>
      </w:r>
      <w:r w:rsidR="004B113A" w:rsidRPr="00AB6EC5">
        <w:rPr>
          <w:rStyle w:val="normaltextrun"/>
          <w:color w:val="000000" w:themeColor="text1"/>
          <w:sz w:val="21"/>
          <w:szCs w:val="21"/>
        </w:rPr>
        <w:t xml:space="preserve"> health </w:t>
      </w:r>
      <w:r w:rsidR="3D5CAE9D" w:rsidRPr="00AB6EC5">
        <w:rPr>
          <w:rStyle w:val="normaltextrun"/>
          <w:color w:val="000000" w:themeColor="text1"/>
          <w:sz w:val="21"/>
          <w:szCs w:val="21"/>
        </w:rPr>
        <w:t>outcomes</w:t>
      </w:r>
      <w:r w:rsidR="00982887" w:rsidRPr="00AB6EC5">
        <w:rPr>
          <w:sz w:val="21"/>
          <w:szCs w:val="21"/>
        </w:rPr>
        <w:t>.</w:t>
      </w:r>
      <w:r w:rsidR="00E67073" w:rsidRPr="00AB6EC5">
        <w:rPr>
          <w:sz w:val="21"/>
          <w:szCs w:val="21"/>
        </w:rPr>
        <w:t xml:space="preserve"> </w:t>
      </w:r>
      <w:r w:rsidR="00347225" w:rsidRPr="00AB6EC5">
        <w:rPr>
          <w:sz w:val="21"/>
          <w:szCs w:val="21"/>
        </w:rPr>
        <w:t>For example, data from the Australian Longitudinal Study of Women’s Health</w:t>
      </w:r>
      <w:r w:rsidR="00042E95" w:rsidRPr="00AB6EC5">
        <w:rPr>
          <w:sz w:val="21"/>
          <w:szCs w:val="21"/>
        </w:rPr>
        <w:t xml:space="preserve"> indicates a complex relationship between experiencing sexual violence and access to health services. While women who had experienced sexual violence have poorer physical and mental health outcomes, the</w:t>
      </w:r>
      <w:r w:rsidR="00E36C4E" w:rsidRPr="00AB6EC5">
        <w:rPr>
          <w:sz w:val="21"/>
          <w:szCs w:val="21"/>
        </w:rPr>
        <w:t>ir usage of health services, and the costs of health services w</w:t>
      </w:r>
      <w:r w:rsidR="00E13D66" w:rsidRPr="00AB6EC5">
        <w:rPr>
          <w:sz w:val="21"/>
          <w:szCs w:val="21"/>
        </w:rPr>
        <w:t>ere</w:t>
      </w:r>
      <w:r w:rsidR="00E36C4E" w:rsidRPr="00AB6EC5">
        <w:rPr>
          <w:sz w:val="21"/>
          <w:szCs w:val="21"/>
        </w:rPr>
        <w:t xml:space="preserve"> similar to other women.</w:t>
      </w:r>
      <w:r w:rsidR="00DF1B3A" w:rsidRPr="00AB6EC5">
        <w:rPr>
          <w:rStyle w:val="EndnoteReference"/>
          <w:sz w:val="21"/>
          <w:szCs w:val="21"/>
        </w:rPr>
        <w:endnoteReference w:id="10"/>
      </w:r>
      <w:r w:rsidR="00E36C4E" w:rsidRPr="00AB6EC5">
        <w:rPr>
          <w:sz w:val="21"/>
          <w:szCs w:val="21"/>
        </w:rPr>
        <w:t xml:space="preserve"> This suggests that women who have experienced sexual violence may be less likely to access health services</w:t>
      </w:r>
      <w:r w:rsidR="006D4133" w:rsidRPr="00AB6EC5">
        <w:rPr>
          <w:sz w:val="21"/>
          <w:szCs w:val="21"/>
        </w:rPr>
        <w:t xml:space="preserve"> for their health needs, </w:t>
      </w:r>
      <w:r w:rsidR="00E13D66" w:rsidRPr="00AB6EC5">
        <w:rPr>
          <w:sz w:val="21"/>
          <w:szCs w:val="21"/>
        </w:rPr>
        <w:t>possibly as a result of</w:t>
      </w:r>
      <w:r w:rsidR="006D4133" w:rsidRPr="00AB6EC5">
        <w:rPr>
          <w:sz w:val="21"/>
          <w:szCs w:val="21"/>
        </w:rPr>
        <w:t xml:space="preserve"> experience</w:t>
      </w:r>
      <w:r w:rsidR="00E13D66" w:rsidRPr="00AB6EC5">
        <w:rPr>
          <w:sz w:val="21"/>
          <w:szCs w:val="21"/>
        </w:rPr>
        <w:t>s of</w:t>
      </w:r>
      <w:r w:rsidR="006D4133" w:rsidRPr="00AB6EC5">
        <w:rPr>
          <w:sz w:val="21"/>
          <w:szCs w:val="21"/>
        </w:rPr>
        <w:t xml:space="preserve"> healthcare that didn’t meet their needs or </w:t>
      </w:r>
      <w:r w:rsidR="00E13D66" w:rsidRPr="00AB6EC5">
        <w:rPr>
          <w:sz w:val="21"/>
          <w:szCs w:val="21"/>
        </w:rPr>
        <w:t>were not satisfactory</w:t>
      </w:r>
      <w:r w:rsidR="006D4133" w:rsidRPr="00AB6EC5">
        <w:rPr>
          <w:sz w:val="21"/>
          <w:szCs w:val="21"/>
        </w:rPr>
        <w:t xml:space="preserve">. </w:t>
      </w:r>
    </w:p>
    <w:p w14:paraId="44E06621" w14:textId="77777777" w:rsidR="00DA7939" w:rsidRPr="00AB6EC5" w:rsidRDefault="00DA7939" w:rsidP="795EB8BA">
      <w:pPr>
        <w:rPr>
          <w:sz w:val="21"/>
          <w:szCs w:val="21"/>
        </w:rPr>
      </w:pPr>
    </w:p>
    <w:p w14:paraId="6E7ACFA3" w14:textId="4BA99354" w:rsidR="00D72B78" w:rsidRPr="00AB6EC5" w:rsidRDefault="00E75554" w:rsidP="00660DAA">
      <w:pPr>
        <w:rPr>
          <w:color w:val="000000" w:themeColor="text1"/>
          <w:sz w:val="21"/>
          <w:szCs w:val="21"/>
          <w:lang w:val="en-AU"/>
        </w:rPr>
      </w:pPr>
      <w:r w:rsidRPr="00AB6EC5">
        <w:rPr>
          <w:rStyle w:val="normaltextrun"/>
          <w:color w:val="000000" w:themeColor="text1"/>
          <w:sz w:val="21"/>
          <w:szCs w:val="21"/>
        </w:rPr>
        <w:t>Further, some specific forms of violence are more likely to occur in health settings. For example,</w:t>
      </w:r>
      <w:r w:rsidR="00DA7939" w:rsidRPr="00AB6EC5">
        <w:rPr>
          <w:sz w:val="21"/>
          <w:szCs w:val="21"/>
        </w:rPr>
        <w:t xml:space="preserve"> </w:t>
      </w:r>
      <w:r w:rsidR="0071667E" w:rsidRPr="00AB6EC5">
        <w:rPr>
          <w:rStyle w:val="normaltextrun"/>
          <w:color w:val="000000" w:themeColor="text1"/>
          <w:sz w:val="21"/>
          <w:szCs w:val="21"/>
        </w:rPr>
        <w:t>r</w:t>
      </w:r>
      <w:r w:rsidR="00D72B78" w:rsidRPr="00AB6EC5">
        <w:rPr>
          <w:rStyle w:val="normaltextrun"/>
          <w:color w:val="000000" w:themeColor="text1"/>
          <w:sz w:val="21"/>
          <w:szCs w:val="21"/>
        </w:rPr>
        <w:t>eproductive coercion and abuse,</w:t>
      </w:r>
      <w:r w:rsidR="00DA7939" w:rsidRPr="00AB6EC5">
        <w:rPr>
          <w:rStyle w:val="normaltextrun"/>
          <w:color w:val="000000" w:themeColor="text1"/>
          <w:sz w:val="21"/>
          <w:szCs w:val="21"/>
        </w:rPr>
        <w:t xml:space="preserve"> which</w:t>
      </w:r>
      <w:r w:rsidR="00D72B78" w:rsidRPr="00AB6EC5">
        <w:rPr>
          <w:rStyle w:val="normaltextrun"/>
          <w:color w:val="000000" w:themeColor="text1"/>
          <w:sz w:val="21"/>
          <w:szCs w:val="21"/>
        </w:rPr>
        <w:t xml:space="preserve"> refer</w:t>
      </w:r>
      <w:r w:rsidR="00DA7939" w:rsidRPr="00AB6EC5">
        <w:rPr>
          <w:rStyle w:val="normaltextrun"/>
          <w:color w:val="000000" w:themeColor="text1"/>
          <w:sz w:val="21"/>
          <w:szCs w:val="21"/>
        </w:rPr>
        <w:t>s</w:t>
      </w:r>
      <w:r w:rsidR="00D72B78" w:rsidRPr="00AB6EC5">
        <w:rPr>
          <w:rStyle w:val="normaltextrun"/>
          <w:color w:val="000000" w:themeColor="text1"/>
          <w:sz w:val="21"/>
          <w:szCs w:val="21"/>
        </w:rPr>
        <w:t xml:space="preserve"> to behaviour</w:t>
      </w:r>
      <w:r w:rsidR="004A553A" w:rsidRPr="00AB6EC5">
        <w:rPr>
          <w:rStyle w:val="normaltextrun"/>
          <w:color w:val="000000" w:themeColor="text1"/>
          <w:sz w:val="21"/>
          <w:szCs w:val="21"/>
        </w:rPr>
        <w:t>s</w:t>
      </w:r>
      <w:r w:rsidR="00D72B78" w:rsidRPr="00AB6EC5">
        <w:rPr>
          <w:rStyle w:val="normaltextrun"/>
          <w:color w:val="000000" w:themeColor="text1"/>
          <w:sz w:val="21"/>
          <w:szCs w:val="21"/>
        </w:rPr>
        <w:t xml:space="preserve"> that interfere with a person’s autonomy to make decisions about thei</w:t>
      </w:r>
      <w:r w:rsidR="00FB2838" w:rsidRPr="00AB6EC5">
        <w:rPr>
          <w:rStyle w:val="normaltextrun"/>
          <w:color w:val="000000" w:themeColor="text1"/>
          <w:sz w:val="21"/>
          <w:szCs w:val="21"/>
        </w:rPr>
        <w:t>r</w:t>
      </w:r>
      <w:r w:rsidR="00D72B78" w:rsidRPr="00AB6EC5">
        <w:rPr>
          <w:rStyle w:val="normaltextrun"/>
          <w:color w:val="000000" w:themeColor="text1"/>
          <w:sz w:val="21"/>
          <w:szCs w:val="21"/>
        </w:rPr>
        <w:t xml:space="preserve"> reproductive</w:t>
      </w:r>
      <w:r w:rsidR="00864AA3" w:rsidRPr="00AB6EC5">
        <w:rPr>
          <w:rStyle w:val="normaltextrun"/>
          <w:color w:val="000000" w:themeColor="text1"/>
          <w:sz w:val="21"/>
          <w:szCs w:val="21"/>
        </w:rPr>
        <w:t xml:space="preserve"> or sexual</w:t>
      </w:r>
      <w:r w:rsidR="00D72B78" w:rsidRPr="00AB6EC5">
        <w:rPr>
          <w:rStyle w:val="normaltextrun"/>
          <w:color w:val="000000" w:themeColor="text1"/>
          <w:sz w:val="21"/>
          <w:szCs w:val="21"/>
        </w:rPr>
        <w:t xml:space="preserve"> health. </w:t>
      </w:r>
      <w:r w:rsidR="00A70E37" w:rsidRPr="00AB6EC5">
        <w:rPr>
          <w:rStyle w:val="normaltextrun"/>
          <w:color w:val="000000" w:themeColor="text1"/>
          <w:sz w:val="21"/>
          <w:szCs w:val="21"/>
        </w:rPr>
        <w:t>While repro</w:t>
      </w:r>
      <w:r w:rsidR="00EF167A" w:rsidRPr="00AB6EC5">
        <w:rPr>
          <w:rStyle w:val="normaltextrun"/>
          <w:color w:val="000000" w:themeColor="text1"/>
          <w:sz w:val="21"/>
          <w:szCs w:val="21"/>
        </w:rPr>
        <w:t xml:space="preserve">ductive coercion can and does occur in personal relationships, it </w:t>
      </w:r>
      <w:r w:rsidR="00D72B78" w:rsidRPr="00AB6EC5">
        <w:rPr>
          <w:rStyle w:val="normaltextrun"/>
          <w:color w:val="000000" w:themeColor="text1"/>
          <w:sz w:val="21"/>
          <w:szCs w:val="21"/>
        </w:rPr>
        <w:t xml:space="preserve">can also occur in </w:t>
      </w:r>
      <w:r w:rsidR="00EF167A" w:rsidRPr="00AB6EC5">
        <w:rPr>
          <w:rStyle w:val="normaltextrun"/>
          <w:color w:val="000000" w:themeColor="text1"/>
          <w:sz w:val="21"/>
          <w:szCs w:val="21"/>
        </w:rPr>
        <w:t>or be enabled by</w:t>
      </w:r>
      <w:r w:rsidR="00D72B78" w:rsidRPr="00AB6EC5">
        <w:rPr>
          <w:rStyle w:val="normaltextrun"/>
          <w:color w:val="000000" w:themeColor="text1"/>
          <w:sz w:val="21"/>
          <w:szCs w:val="21"/>
        </w:rPr>
        <w:t xml:space="preserve"> institutional</w:t>
      </w:r>
      <w:r w:rsidR="0071667E" w:rsidRPr="00AB6EC5">
        <w:rPr>
          <w:rStyle w:val="normaltextrun"/>
          <w:color w:val="000000" w:themeColor="text1"/>
          <w:sz w:val="21"/>
          <w:szCs w:val="21"/>
        </w:rPr>
        <w:t xml:space="preserve"> and/or health</w:t>
      </w:r>
      <w:r w:rsidR="00D72B78" w:rsidRPr="00AB6EC5">
        <w:rPr>
          <w:rStyle w:val="normaltextrun"/>
          <w:color w:val="000000" w:themeColor="text1"/>
          <w:sz w:val="21"/>
          <w:szCs w:val="21"/>
        </w:rPr>
        <w:t xml:space="preserve"> settings, for example through forced sterilisation. </w:t>
      </w:r>
      <w:r w:rsidR="00A72C68" w:rsidRPr="00AB6EC5">
        <w:rPr>
          <w:rStyle w:val="eop"/>
          <w:color w:val="000000" w:themeColor="text1"/>
          <w:sz w:val="21"/>
          <w:szCs w:val="21"/>
          <w:lang w:val="en-AU"/>
        </w:rPr>
        <w:t>O</w:t>
      </w:r>
      <w:r w:rsidR="00D72B78" w:rsidRPr="00AB6EC5">
        <w:rPr>
          <w:rStyle w:val="eop"/>
          <w:color w:val="000000" w:themeColor="text1"/>
          <w:sz w:val="21"/>
          <w:szCs w:val="21"/>
          <w:lang w:val="en-AU"/>
        </w:rPr>
        <w:t>bstetric violence, or acts of harm during pregnancy care, can occur across health settings and exacerbate complex power imbalances between health care practitioners</w:t>
      </w:r>
      <w:r w:rsidR="604B0CC6" w:rsidRPr="00AB6EC5">
        <w:rPr>
          <w:rStyle w:val="eop"/>
          <w:color w:val="000000" w:themeColor="text1"/>
          <w:sz w:val="21"/>
          <w:szCs w:val="21"/>
          <w:lang w:val="en-AU"/>
        </w:rPr>
        <w:t>,</w:t>
      </w:r>
      <w:r w:rsidR="00D72B78" w:rsidRPr="00AB6EC5">
        <w:rPr>
          <w:rStyle w:val="eop"/>
          <w:color w:val="000000" w:themeColor="text1"/>
          <w:sz w:val="21"/>
          <w:szCs w:val="21"/>
          <w:lang w:val="en-AU"/>
        </w:rPr>
        <w:t xml:space="preserve"> women and pregnant people during pregnancy, childbirth and </w:t>
      </w:r>
      <w:r w:rsidR="0071667E" w:rsidRPr="00AB6EC5">
        <w:rPr>
          <w:rStyle w:val="eop"/>
          <w:color w:val="000000" w:themeColor="text1"/>
          <w:sz w:val="21"/>
          <w:szCs w:val="21"/>
          <w:lang w:val="en-AU"/>
        </w:rPr>
        <w:t xml:space="preserve">the </w:t>
      </w:r>
      <w:r w:rsidR="00D72B78" w:rsidRPr="00AB6EC5">
        <w:rPr>
          <w:rStyle w:val="eop"/>
          <w:color w:val="000000" w:themeColor="text1"/>
          <w:sz w:val="21"/>
          <w:szCs w:val="21"/>
          <w:lang w:val="en-AU"/>
        </w:rPr>
        <w:t>postpartum</w:t>
      </w:r>
      <w:r w:rsidR="0071667E" w:rsidRPr="00AB6EC5">
        <w:rPr>
          <w:rStyle w:val="eop"/>
          <w:color w:val="000000" w:themeColor="text1"/>
          <w:sz w:val="21"/>
          <w:szCs w:val="21"/>
          <w:lang w:val="en-AU"/>
        </w:rPr>
        <w:t xml:space="preserve"> period</w:t>
      </w:r>
      <w:r w:rsidR="00D72B78" w:rsidRPr="00AB6EC5">
        <w:rPr>
          <w:rStyle w:val="eop"/>
          <w:color w:val="000000" w:themeColor="text1"/>
          <w:sz w:val="21"/>
          <w:szCs w:val="21"/>
          <w:lang w:val="en-AU"/>
        </w:rPr>
        <w:t>.</w:t>
      </w:r>
      <w:r w:rsidR="002D1835" w:rsidRPr="00AB6EC5">
        <w:rPr>
          <w:rStyle w:val="eop"/>
          <w:color w:val="000000" w:themeColor="text1"/>
          <w:sz w:val="21"/>
          <w:szCs w:val="21"/>
          <w:lang w:val="en-AU"/>
        </w:rPr>
        <w:t xml:space="preserve"> </w:t>
      </w:r>
      <w:r w:rsidR="00D72B78" w:rsidRPr="00AB6EC5">
        <w:rPr>
          <w:rStyle w:val="eop"/>
          <w:color w:val="000000" w:themeColor="text1"/>
          <w:sz w:val="21"/>
          <w:szCs w:val="21"/>
          <w:lang w:val="en-AU"/>
        </w:rPr>
        <w:t xml:space="preserve">These, alongside other forms of institutional abuse, contribute to a lack of agency, </w:t>
      </w:r>
      <w:r w:rsidR="003E03C5" w:rsidRPr="00AB6EC5">
        <w:rPr>
          <w:rStyle w:val="eop"/>
          <w:color w:val="000000" w:themeColor="text1"/>
          <w:sz w:val="21"/>
          <w:szCs w:val="21"/>
          <w:lang w:val="en-AU"/>
        </w:rPr>
        <w:t xml:space="preserve">lack of </w:t>
      </w:r>
      <w:r w:rsidR="00D72B78" w:rsidRPr="00AB6EC5">
        <w:rPr>
          <w:rStyle w:val="eop"/>
          <w:color w:val="000000" w:themeColor="text1"/>
          <w:sz w:val="21"/>
          <w:szCs w:val="21"/>
          <w:lang w:val="en-AU"/>
        </w:rPr>
        <w:t xml:space="preserve">informed consent, </w:t>
      </w:r>
      <w:r w:rsidR="007D1E6A" w:rsidRPr="00AB6EC5">
        <w:rPr>
          <w:rStyle w:val="eop"/>
          <w:color w:val="000000" w:themeColor="text1"/>
          <w:sz w:val="21"/>
          <w:szCs w:val="21"/>
          <w:lang w:val="en-AU"/>
        </w:rPr>
        <w:t xml:space="preserve">lack of </w:t>
      </w:r>
      <w:r w:rsidR="006F55D1" w:rsidRPr="00AB6EC5">
        <w:rPr>
          <w:rStyle w:val="eop"/>
          <w:color w:val="000000" w:themeColor="text1"/>
          <w:sz w:val="21"/>
          <w:szCs w:val="21"/>
          <w:lang w:val="en-AU"/>
        </w:rPr>
        <w:t xml:space="preserve">supported decision making, </w:t>
      </w:r>
      <w:r w:rsidR="00D72B78" w:rsidRPr="00AB6EC5">
        <w:rPr>
          <w:rStyle w:val="eop"/>
          <w:color w:val="000000" w:themeColor="text1"/>
          <w:sz w:val="21"/>
          <w:szCs w:val="21"/>
          <w:lang w:val="en-AU"/>
        </w:rPr>
        <w:t>and risk (re-)</w:t>
      </w:r>
      <w:r w:rsidR="00167584" w:rsidRPr="00AB6EC5">
        <w:rPr>
          <w:rStyle w:val="eop"/>
          <w:color w:val="000000" w:themeColor="text1"/>
          <w:sz w:val="21"/>
          <w:szCs w:val="21"/>
          <w:lang w:val="en-AU"/>
        </w:rPr>
        <w:t xml:space="preserve"> </w:t>
      </w:r>
      <w:r w:rsidR="00D72B78" w:rsidRPr="00AB6EC5">
        <w:rPr>
          <w:rStyle w:val="eop"/>
          <w:color w:val="000000" w:themeColor="text1"/>
          <w:sz w:val="21"/>
          <w:szCs w:val="21"/>
          <w:lang w:val="en-AU"/>
        </w:rPr>
        <w:t>traumatis</w:t>
      </w:r>
      <w:r w:rsidR="00881393" w:rsidRPr="00AB6EC5">
        <w:rPr>
          <w:rStyle w:val="eop"/>
          <w:color w:val="000000" w:themeColor="text1"/>
          <w:sz w:val="21"/>
          <w:szCs w:val="21"/>
          <w:lang w:val="en-AU"/>
        </w:rPr>
        <w:t>i</w:t>
      </w:r>
      <w:r w:rsidR="00D72B78" w:rsidRPr="00AB6EC5">
        <w:rPr>
          <w:rStyle w:val="eop"/>
          <w:color w:val="000000" w:themeColor="text1"/>
          <w:sz w:val="21"/>
          <w:szCs w:val="21"/>
          <w:lang w:val="en-AU"/>
        </w:rPr>
        <w:t>n</w:t>
      </w:r>
      <w:r w:rsidR="00881393" w:rsidRPr="00AB6EC5">
        <w:rPr>
          <w:rStyle w:val="eop"/>
          <w:color w:val="000000" w:themeColor="text1"/>
          <w:sz w:val="21"/>
          <w:szCs w:val="21"/>
          <w:lang w:val="en-AU"/>
        </w:rPr>
        <w:t>g women</w:t>
      </w:r>
      <w:r w:rsidR="00D72B78" w:rsidRPr="00AB6EC5">
        <w:rPr>
          <w:rStyle w:val="eop"/>
          <w:color w:val="000000" w:themeColor="text1"/>
          <w:sz w:val="21"/>
          <w:szCs w:val="21"/>
          <w:lang w:val="en-AU"/>
        </w:rPr>
        <w:t xml:space="preserve"> wh</w:t>
      </w:r>
      <w:r w:rsidR="00F10F27" w:rsidRPr="00AB6EC5">
        <w:rPr>
          <w:rStyle w:val="eop"/>
          <w:color w:val="000000" w:themeColor="text1"/>
          <w:sz w:val="21"/>
          <w:szCs w:val="21"/>
          <w:lang w:val="en-AU"/>
        </w:rPr>
        <w:t xml:space="preserve">o access </w:t>
      </w:r>
      <w:r w:rsidR="00D72B78" w:rsidRPr="00AB6EC5">
        <w:rPr>
          <w:rStyle w:val="eop"/>
          <w:color w:val="000000" w:themeColor="text1"/>
          <w:sz w:val="21"/>
          <w:szCs w:val="21"/>
          <w:lang w:val="en-AU"/>
        </w:rPr>
        <w:t>care.</w:t>
      </w:r>
      <w:r w:rsidR="00AB6EC5">
        <w:rPr>
          <w:rStyle w:val="eop"/>
          <w:color w:val="000000" w:themeColor="text1"/>
          <w:sz w:val="21"/>
          <w:szCs w:val="21"/>
          <w:lang w:val="en-AU"/>
        </w:rPr>
        <w:t xml:space="preserve"> </w:t>
      </w:r>
      <w:r w:rsidR="00D72B78" w:rsidRPr="00AB6EC5">
        <w:rPr>
          <w:color w:val="000000" w:themeColor="text1"/>
          <w:sz w:val="21"/>
          <w:szCs w:val="21"/>
          <w:lang w:val="en-AU"/>
        </w:rPr>
        <w:t>It is vital to build a health system that does not perpetrate</w:t>
      </w:r>
      <w:r w:rsidR="006F55D1" w:rsidRPr="00AB6EC5">
        <w:rPr>
          <w:color w:val="000000" w:themeColor="text1"/>
          <w:sz w:val="21"/>
          <w:szCs w:val="21"/>
          <w:lang w:val="en-AU"/>
        </w:rPr>
        <w:t>, condone</w:t>
      </w:r>
      <w:r w:rsidR="00D72B78" w:rsidRPr="00AB6EC5">
        <w:rPr>
          <w:color w:val="000000" w:themeColor="text1"/>
          <w:sz w:val="21"/>
          <w:szCs w:val="21"/>
          <w:lang w:val="en-AU"/>
        </w:rPr>
        <w:t xml:space="preserve"> or </w:t>
      </w:r>
      <w:r w:rsidR="00AC0EC6" w:rsidRPr="00AB6EC5">
        <w:rPr>
          <w:color w:val="000000" w:themeColor="text1"/>
          <w:sz w:val="21"/>
          <w:szCs w:val="21"/>
          <w:lang w:val="en-AU"/>
        </w:rPr>
        <w:t>enable</w:t>
      </w:r>
      <w:r w:rsidR="00D72B78" w:rsidRPr="00AB6EC5">
        <w:rPr>
          <w:color w:val="000000" w:themeColor="text1"/>
          <w:sz w:val="21"/>
          <w:szCs w:val="21"/>
          <w:lang w:val="en-AU"/>
        </w:rPr>
        <w:t xml:space="preserve"> violence</w:t>
      </w:r>
      <w:r w:rsidR="00275BEB" w:rsidRPr="00AB6EC5">
        <w:rPr>
          <w:color w:val="000000" w:themeColor="text1"/>
          <w:sz w:val="21"/>
          <w:szCs w:val="21"/>
          <w:lang w:val="en-AU"/>
        </w:rPr>
        <w:t>. P</w:t>
      </w:r>
      <w:r w:rsidR="002A7CA6" w:rsidRPr="00AB6EC5">
        <w:rPr>
          <w:color w:val="000000" w:themeColor="text1"/>
          <w:sz w:val="21"/>
          <w:szCs w:val="21"/>
          <w:lang w:val="en-AU"/>
        </w:rPr>
        <w:t xml:space="preserve">ractices, procedures and interventions that embed trauma-informed </w:t>
      </w:r>
      <w:r w:rsidR="002243CD" w:rsidRPr="00AB6EC5">
        <w:rPr>
          <w:color w:val="000000" w:themeColor="text1"/>
          <w:sz w:val="21"/>
          <w:szCs w:val="21"/>
          <w:lang w:val="en-AU"/>
        </w:rPr>
        <w:t>care</w:t>
      </w:r>
      <w:r w:rsidR="0093717D" w:rsidRPr="00AB6EC5">
        <w:rPr>
          <w:color w:val="000000" w:themeColor="text1"/>
          <w:sz w:val="21"/>
          <w:szCs w:val="21"/>
          <w:lang w:val="en-AU"/>
        </w:rPr>
        <w:t xml:space="preserve"> </w:t>
      </w:r>
      <w:r w:rsidR="002243CD" w:rsidRPr="00AB6EC5">
        <w:rPr>
          <w:color w:val="000000" w:themeColor="text1"/>
          <w:sz w:val="21"/>
          <w:szCs w:val="21"/>
          <w:lang w:val="en-AU"/>
        </w:rPr>
        <w:t>with</w:t>
      </w:r>
      <w:r w:rsidR="0093717D" w:rsidRPr="00AB6EC5">
        <w:rPr>
          <w:color w:val="000000" w:themeColor="text1"/>
          <w:sz w:val="21"/>
          <w:szCs w:val="21"/>
          <w:lang w:val="en-AU"/>
        </w:rPr>
        <w:t xml:space="preserve"> an intersectional lens</w:t>
      </w:r>
      <w:r w:rsidR="00275BEB" w:rsidRPr="00AB6EC5">
        <w:rPr>
          <w:color w:val="000000" w:themeColor="text1"/>
          <w:sz w:val="21"/>
          <w:szCs w:val="21"/>
          <w:lang w:val="en-AU"/>
        </w:rPr>
        <w:t xml:space="preserve"> are key to</w:t>
      </w:r>
      <w:r w:rsidR="002243CD" w:rsidRPr="00AB6EC5">
        <w:rPr>
          <w:color w:val="000000" w:themeColor="text1"/>
          <w:sz w:val="21"/>
          <w:szCs w:val="21"/>
          <w:lang w:val="en-AU"/>
        </w:rPr>
        <w:t xml:space="preserve"> </w:t>
      </w:r>
      <w:r w:rsidR="00275BEB" w:rsidRPr="00AB6EC5">
        <w:rPr>
          <w:color w:val="000000" w:themeColor="text1"/>
          <w:sz w:val="21"/>
          <w:szCs w:val="21"/>
          <w:lang w:val="en-AU"/>
        </w:rPr>
        <w:t>health systems</w:t>
      </w:r>
      <w:r w:rsidR="002243CD" w:rsidRPr="00AB6EC5">
        <w:rPr>
          <w:color w:val="000000" w:themeColor="text1"/>
          <w:sz w:val="21"/>
          <w:szCs w:val="21"/>
          <w:lang w:val="en-AU"/>
        </w:rPr>
        <w:t xml:space="preserve"> </w:t>
      </w:r>
      <w:r w:rsidR="009C388F" w:rsidRPr="00AB6EC5">
        <w:rPr>
          <w:color w:val="000000" w:themeColor="text1"/>
          <w:sz w:val="21"/>
          <w:szCs w:val="21"/>
          <w:lang w:val="en-AU"/>
        </w:rPr>
        <w:t>achieving</w:t>
      </w:r>
      <w:r w:rsidR="002243CD" w:rsidRPr="00AB6EC5">
        <w:rPr>
          <w:color w:val="000000" w:themeColor="text1"/>
          <w:sz w:val="21"/>
          <w:szCs w:val="21"/>
          <w:lang w:val="en-AU"/>
        </w:rPr>
        <w:t xml:space="preserve"> health equity</w:t>
      </w:r>
      <w:r w:rsidR="00275BEB" w:rsidRPr="00AB6EC5">
        <w:rPr>
          <w:color w:val="000000" w:themeColor="text1"/>
          <w:sz w:val="21"/>
          <w:szCs w:val="21"/>
          <w:lang w:val="en-AU"/>
        </w:rPr>
        <w:t>.</w:t>
      </w:r>
    </w:p>
    <w:p w14:paraId="6B289BB3" w14:textId="77777777" w:rsidR="006F55D1" w:rsidRDefault="006F55D1" w:rsidP="00660DAA">
      <w:pPr>
        <w:rPr>
          <w:color w:val="000000" w:themeColor="text1"/>
          <w:sz w:val="21"/>
          <w:szCs w:val="21"/>
          <w:lang w:val="en-AU"/>
        </w:rPr>
      </w:pPr>
    </w:p>
    <w:p w14:paraId="5CA91390" w14:textId="77777777" w:rsidR="00167A2C" w:rsidRPr="00AB6EC5" w:rsidRDefault="00167A2C" w:rsidP="00660DAA">
      <w:pPr>
        <w:rPr>
          <w:color w:val="000000" w:themeColor="text1"/>
          <w:sz w:val="21"/>
          <w:szCs w:val="21"/>
          <w:lang w:val="en-AU"/>
        </w:rPr>
      </w:pPr>
    </w:p>
    <w:p w14:paraId="492C67D3" w14:textId="6564234D" w:rsidR="00AE4100" w:rsidRPr="00AE4100" w:rsidRDefault="00AE4100" w:rsidP="00AE4100">
      <w:pPr>
        <w:pStyle w:val="Title"/>
      </w:pPr>
      <w:r>
        <w:t>What does this mean for</w:t>
      </w:r>
      <w:r w:rsidR="00D46368">
        <w:t xml:space="preserve"> preventive health and</w:t>
      </w:r>
      <w:r>
        <w:t xml:space="preserve"> health equity?</w:t>
      </w:r>
    </w:p>
    <w:p w14:paraId="2B80E70F" w14:textId="5FD27607" w:rsidR="00F13997" w:rsidRPr="00AB6EC5" w:rsidRDefault="0071667E" w:rsidP="06CE93A6">
      <w:pPr>
        <w:rPr>
          <w:sz w:val="21"/>
          <w:szCs w:val="21"/>
        </w:rPr>
      </w:pPr>
      <w:r w:rsidRPr="00AB6EC5">
        <w:rPr>
          <w:sz w:val="21"/>
          <w:szCs w:val="21"/>
        </w:rPr>
        <w:t xml:space="preserve">Violence against women is a significant public health problem, as well as a fundamental violation of women’s </w:t>
      </w:r>
      <w:r w:rsidR="0093717D" w:rsidRPr="00AB6EC5">
        <w:rPr>
          <w:sz w:val="21"/>
          <w:szCs w:val="21"/>
        </w:rPr>
        <w:t xml:space="preserve">and girl’s </w:t>
      </w:r>
      <w:r w:rsidRPr="00AB6EC5">
        <w:rPr>
          <w:sz w:val="21"/>
          <w:szCs w:val="21"/>
        </w:rPr>
        <w:t xml:space="preserve">human rights. </w:t>
      </w:r>
      <w:r w:rsidR="00802DC7" w:rsidRPr="00AB6EC5">
        <w:rPr>
          <w:sz w:val="21"/>
          <w:szCs w:val="21"/>
        </w:rPr>
        <w:t>R</w:t>
      </w:r>
      <w:r w:rsidR="004B113A" w:rsidRPr="00AB6EC5">
        <w:rPr>
          <w:sz w:val="21"/>
          <w:szCs w:val="21"/>
        </w:rPr>
        <w:t xml:space="preserve">esponding to and </w:t>
      </w:r>
      <w:r w:rsidR="00733370" w:rsidRPr="00AB6EC5">
        <w:rPr>
          <w:sz w:val="21"/>
          <w:szCs w:val="21"/>
        </w:rPr>
        <w:t>p</w:t>
      </w:r>
      <w:r w:rsidR="004B113A" w:rsidRPr="00AB6EC5">
        <w:rPr>
          <w:sz w:val="21"/>
          <w:szCs w:val="21"/>
        </w:rPr>
        <w:t xml:space="preserve">reventing gender-based violence </w:t>
      </w:r>
      <w:r w:rsidR="00802DC7" w:rsidRPr="00AB6EC5">
        <w:rPr>
          <w:sz w:val="21"/>
          <w:szCs w:val="21"/>
        </w:rPr>
        <w:t>are</w:t>
      </w:r>
      <w:r w:rsidR="004B113A" w:rsidRPr="00AB6EC5">
        <w:rPr>
          <w:sz w:val="21"/>
          <w:szCs w:val="21"/>
        </w:rPr>
        <w:t xml:space="preserve"> </w:t>
      </w:r>
      <w:r w:rsidR="00FF5462" w:rsidRPr="00AB6EC5">
        <w:rPr>
          <w:sz w:val="21"/>
          <w:szCs w:val="21"/>
        </w:rPr>
        <w:t xml:space="preserve">therefore key </w:t>
      </w:r>
      <w:r w:rsidR="004B113A" w:rsidRPr="00AB6EC5">
        <w:rPr>
          <w:sz w:val="21"/>
          <w:szCs w:val="21"/>
        </w:rPr>
        <w:t>preventive health</w:t>
      </w:r>
      <w:r w:rsidR="00802DC7" w:rsidRPr="00AB6EC5">
        <w:rPr>
          <w:sz w:val="21"/>
          <w:szCs w:val="21"/>
        </w:rPr>
        <w:t xml:space="preserve"> measures</w:t>
      </w:r>
      <w:r w:rsidR="004B113A" w:rsidRPr="00AB6EC5">
        <w:rPr>
          <w:sz w:val="21"/>
          <w:szCs w:val="21"/>
        </w:rPr>
        <w:t>.</w:t>
      </w:r>
      <w:r w:rsidR="00D46368" w:rsidRPr="00AB6EC5">
        <w:rPr>
          <w:rStyle w:val="EndnoteReference"/>
          <w:sz w:val="21"/>
          <w:szCs w:val="21"/>
        </w:rPr>
        <w:endnoteReference w:id="11"/>
      </w:r>
      <w:r w:rsidR="00D46368" w:rsidRPr="00AB6EC5">
        <w:rPr>
          <w:sz w:val="21"/>
          <w:szCs w:val="21"/>
        </w:rPr>
        <w:t xml:space="preserve"> </w:t>
      </w:r>
    </w:p>
    <w:p w14:paraId="718F0B45" w14:textId="2C4F6642" w:rsidR="00F13997" w:rsidRPr="00AB6EC5" w:rsidRDefault="00F13997" w:rsidP="06CE93A6">
      <w:pPr>
        <w:rPr>
          <w:sz w:val="21"/>
          <w:szCs w:val="21"/>
        </w:rPr>
      </w:pPr>
    </w:p>
    <w:p w14:paraId="353B0CC8" w14:textId="60D1E2AF" w:rsidR="00F13997" w:rsidRPr="00AB6EC5" w:rsidRDefault="00CD2CD3" w:rsidP="004B113A">
      <w:pPr>
        <w:rPr>
          <w:sz w:val="21"/>
          <w:szCs w:val="21"/>
        </w:rPr>
      </w:pPr>
      <w:r w:rsidRPr="00AB6EC5">
        <w:rPr>
          <w:sz w:val="21"/>
          <w:szCs w:val="21"/>
        </w:rPr>
        <w:t>For example, in promoting and protecting mental health, prevention actions</w:t>
      </w:r>
      <w:r w:rsidR="007D50D7" w:rsidRPr="00AB6EC5">
        <w:rPr>
          <w:sz w:val="21"/>
          <w:szCs w:val="21"/>
        </w:rPr>
        <w:t xml:space="preserve"> under the NPHS</w:t>
      </w:r>
      <w:r w:rsidRPr="00AB6EC5">
        <w:rPr>
          <w:sz w:val="21"/>
          <w:szCs w:val="21"/>
        </w:rPr>
        <w:t xml:space="preserve"> </w:t>
      </w:r>
      <w:r w:rsidR="008629DF" w:rsidRPr="00AB6EC5">
        <w:rPr>
          <w:sz w:val="21"/>
          <w:szCs w:val="21"/>
        </w:rPr>
        <w:t xml:space="preserve">must also consider </w:t>
      </w:r>
      <w:r w:rsidRPr="00AB6EC5">
        <w:rPr>
          <w:sz w:val="21"/>
          <w:szCs w:val="21"/>
        </w:rPr>
        <w:t>the impacts of violence on women’s mental health and well-being</w:t>
      </w:r>
      <w:r w:rsidR="004E245A" w:rsidRPr="00AB6EC5">
        <w:rPr>
          <w:sz w:val="21"/>
          <w:szCs w:val="21"/>
        </w:rPr>
        <w:t xml:space="preserve">. This may </w:t>
      </w:r>
      <w:r w:rsidR="007E02D4" w:rsidRPr="00AB6EC5">
        <w:rPr>
          <w:sz w:val="21"/>
          <w:szCs w:val="21"/>
        </w:rPr>
        <w:t xml:space="preserve">intersect with </w:t>
      </w:r>
      <w:r w:rsidR="00F23048" w:rsidRPr="00AB6EC5">
        <w:rPr>
          <w:sz w:val="21"/>
          <w:szCs w:val="21"/>
        </w:rPr>
        <w:t xml:space="preserve">other focus areas </w:t>
      </w:r>
      <w:r w:rsidR="00067A44" w:rsidRPr="00AB6EC5">
        <w:rPr>
          <w:sz w:val="21"/>
          <w:szCs w:val="21"/>
        </w:rPr>
        <w:t>(e.g.</w:t>
      </w:r>
      <w:r w:rsidR="009765D5" w:rsidRPr="00AB6EC5">
        <w:rPr>
          <w:sz w:val="21"/>
          <w:szCs w:val="21"/>
        </w:rPr>
        <w:t>,</w:t>
      </w:r>
      <w:r w:rsidR="00067A44" w:rsidRPr="00AB6EC5">
        <w:rPr>
          <w:sz w:val="21"/>
          <w:szCs w:val="21"/>
        </w:rPr>
        <w:t xml:space="preserve"> </w:t>
      </w:r>
      <w:r w:rsidR="00F23048" w:rsidRPr="00AB6EC5">
        <w:rPr>
          <w:sz w:val="21"/>
          <w:szCs w:val="21"/>
        </w:rPr>
        <w:t>reducing</w:t>
      </w:r>
      <w:r w:rsidR="007E02D4" w:rsidRPr="00AB6EC5">
        <w:rPr>
          <w:sz w:val="21"/>
          <w:szCs w:val="21"/>
        </w:rPr>
        <w:t xml:space="preserve"> t</w:t>
      </w:r>
      <w:r w:rsidR="0003415A" w:rsidRPr="00AB6EC5">
        <w:rPr>
          <w:sz w:val="21"/>
          <w:szCs w:val="21"/>
        </w:rPr>
        <w:t xml:space="preserve">obacco </w:t>
      </w:r>
      <w:r w:rsidR="001F206E" w:rsidRPr="00AB6EC5">
        <w:rPr>
          <w:sz w:val="21"/>
          <w:szCs w:val="21"/>
        </w:rPr>
        <w:t>use</w:t>
      </w:r>
      <w:r w:rsidR="00067A44" w:rsidRPr="00AB6EC5">
        <w:rPr>
          <w:sz w:val="21"/>
          <w:szCs w:val="21"/>
        </w:rPr>
        <w:t>)</w:t>
      </w:r>
      <w:r w:rsidR="001F206E" w:rsidRPr="00AB6EC5">
        <w:rPr>
          <w:sz w:val="21"/>
          <w:szCs w:val="21"/>
        </w:rPr>
        <w:t xml:space="preserve"> and</w:t>
      </w:r>
      <w:r w:rsidRPr="00AB6EC5">
        <w:rPr>
          <w:sz w:val="21"/>
          <w:szCs w:val="21"/>
        </w:rPr>
        <w:t xml:space="preserve"> </w:t>
      </w:r>
      <w:r w:rsidR="00F41A6E" w:rsidRPr="00AB6EC5">
        <w:rPr>
          <w:sz w:val="21"/>
          <w:szCs w:val="21"/>
        </w:rPr>
        <w:t xml:space="preserve">requires a social determinants approach to address </w:t>
      </w:r>
      <w:r w:rsidR="00DC6F75" w:rsidRPr="00AB6EC5">
        <w:rPr>
          <w:sz w:val="21"/>
          <w:szCs w:val="21"/>
        </w:rPr>
        <w:t xml:space="preserve">the </w:t>
      </w:r>
      <w:r w:rsidR="00F14403" w:rsidRPr="00AB6EC5">
        <w:rPr>
          <w:sz w:val="21"/>
          <w:szCs w:val="21"/>
        </w:rPr>
        <w:t xml:space="preserve">relationship between </w:t>
      </w:r>
      <w:r w:rsidR="00DC6F75" w:rsidRPr="00AB6EC5">
        <w:rPr>
          <w:sz w:val="21"/>
          <w:szCs w:val="21"/>
        </w:rPr>
        <w:t xml:space="preserve">mental health </w:t>
      </w:r>
      <w:r w:rsidR="001F206E" w:rsidRPr="00AB6EC5">
        <w:rPr>
          <w:sz w:val="21"/>
          <w:szCs w:val="21"/>
        </w:rPr>
        <w:t xml:space="preserve">and </w:t>
      </w:r>
      <w:r w:rsidR="00F07701" w:rsidRPr="00AB6EC5">
        <w:rPr>
          <w:sz w:val="21"/>
          <w:szCs w:val="21"/>
        </w:rPr>
        <w:t xml:space="preserve">barriers to </w:t>
      </w:r>
      <w:r w:rsidR="008629DF" w:rsidRPr="00AB6EC5">
        <w:rPr>
          <w:sz w:val="21"/>
          <w:szCs w:val="21"/>
        </w:rPr>
        <w:t>access</w:t>
      </w:r>
      <w:r w:rsidR="001F206E" w:rsidRPr="00AB6EC5">
        <w:rPr>
          <w:sz w:val="21"/>
          <w:szCs w:val="21"/>
        </w:rPr>
        <w:t>ing</w:t>
      </w:r>
      <w:r w:rsidR="008629DF" w:rsidRPr="00AB6EC5">
        <w:rPr>
          <w:sz w:val="21"/>
          <w:szCs w:val="21"/>
        </w:rPr>
        <w:t xml:space="preserve"> safety, adequate housing, </w:t>
      </w:r>
      <w:r w:rsidR="002E4968" w:rsidRPr="00AB6EC5">
        <w:rPr>
          <w:sz w:val="21"/>
          <w:szCs w:val="21"/>
        </w:rPr>
        <w:t xml:space="preserve">a liveable income </w:t>
      </w:r>
      <w:r w:rsidR="008629DF" w:rsidRPr="00AB6EC5">
        <w:rPr>
          <w:sz w:val="21"/>
          <w:szCs w:val="21"/>
        </w:rPr>
        <w:t>or support for recovery and healing</w:t>
      </w:r>
      <w:r w:rsidRPr="00AB6EC5">
        <w:rPr>
          <w:sz w:val="21"/>
          <w:szCs w:val="21"/>
        </w:rPr>
        <w:t>.</w:t>
      </w:r>
      <w:r w:rsidR="001F3C60" w:rsidRPr="00AB6EC5">
        <w:rPr>
          <w:rStyle w:val="EndnoteReference"/>
          <w:sz w:val="21"/>
          <w:szCs w:val="21"/>
        </w:rPr>
        <w:endnoteReference w:id="12"/>
      </w:r>
      <w:r w:rsidR="009765D5" w:rsidRPr="00AB6EC5">
        <w:rPr>
          <w:sz w:val="21"/>
          <w:szCs w:val="21"/>
        </w:rPr>
        <w:t xml:space="preserve"> </w:t>
      </w:r>
      <w:r w:rsidR="00045EF5" w:rsidRPr="00AB6EC5">
        <w:rPr>
          <w:rStyle w:val="EndnoteReference"/>
          <w:sz w:val="21"/>
          <w:szCs w:val="21"/>
        </w:rPr>
        <w:endnoteReference w:id="13"/>
      </w:r>
      <w:r w:rsidRPr="00AB6EC5">
        <w:rPr>
          <w:sz w:val="21"/>
          <w:szCs w:val="21"/>
        </w:rPr>
        <w:t xml:space="preserve"> </w:t>
      </w:r>
      <w:r w:rsidR="007D50D7" w:rsidRPr="00AB6EC5">
        <w:rPr>
          <w:sz w:val="21"/>
          <w:szCs w:val="21"/>
        </w:rPr>
        <w:t>Preventive health in the context of s</w:t>
      </w:r>
      <w:r w:rsidR="00093371" w:rsidRPr="00AB6EC5">
        <w:rPr>
          <w:sz w:val="21"/>
          <w:szCs w:val="21"/>
        </w:rPr>
        <w:t>exual</w:t>
      </w:r>
      <w:r w:rsidR="00C8789D" w:rsidRPr="00AB6EC5">
        <w:rPr>
          <w:sz w:val="21"/>
          <w:szCs w:val="21"/>
        </w:rPr>
        <w:t xml:space="preserve"> and</w:t>
      </w:r>
      <w:r w:rsidR="00093371" w:rsidRPr="00AB6EC5">
        <w:rPr>
          <w:sz w:val="21"/>
          <w:szCs w:val="21"/>
        </w:rPr>
        <w:t xml:space="preserve"> reproductive health is a</w:t>
      </w:r>
      <w:r w:rsidR="007D50D7" w:rsidRPr="00AB6EC5">
        <w:rPr>
          <w:sz w:val="21"/>
          <w:szCs w:val="21"/>
        </w:rPr>
        <w:t>lso a</w:t>
      </w:r>
      <w:r w:rsidR="00093371" w:rsidRPr="00AB6EC5">
        <w:rPr>
          <w:sz w:val="21"/>
          <w:szCs w:val="21"/>
        </w:rPr>
        <w:t xml:space="preserve"> gap</w:t>
      </w:r>
      <w:r w:rsidR="007D50D7" w:rsidRPr="00AB6EC5">
        <w:rPr>
          <w:sz w:val="21"/>
          <w:szCs w:val="21"/>
        </w:rPr>
        <w:t xml:space="preserve"> within the NPHS that require</w:t>
      </w:r>
      <w:r w:rsidR="009323F0" w:rsidRPr="00AB6EC5">
        <w:rPr>
          <w:sz w:val="21"/>
          <w:szCs w:val="21"/>
        </w:rPr>
        <w:t>s</w:t>
      </w:r>
      <w:r w:rsidR="007D50D7" w:rsidRPr="00AB6EC5">
        <w:rPr>
          <w:sz w:val="21"/>
          <w:szCs w:val="21"/>
        </w:rPr>
        <w:t xml:space="preserve"> a stronger gendered lens to achieve health equity amongst priority populations.</w:t>
      </w:r>
      <w:r w:rsidR="001B5C3D" w:rsidRPr="00AB6EC5">
        <w:rPr>
          <w:sz w:val="21"/>
          <w:szCs w:val="21"/>
        </w:rPr>
        <w:t xml:space="preserve"> </w:t>
      </w:r>
      <w:r w:rsidR="00197D10" w:rsidRPr="00AB6EC5">
        <w:rPr>
          <w:sz w:val="21"/>
          <w:szCs w:val="21"/>
        </w:rPr>
        <w:t xml:space="preserve">Research has shown that intimate partner violence has a detrimental impact on the reproductive and sexual health of </w:t>
      </w:r>
      <w:r w:rsidR="002A6CD9" w:rsidRPr="00AB6EC5">
        <w:rPr>
          <w:sz w:val="21"/>
          <w:szCs w:val="21"/>
        </w:rPr>
        <w:t>women</w:t>
      </w:r>
      <w:r w:rsidR="00680920" w:rsidRPr="00AB6EC5">
        <w:rPr>
          <w:sz w:val="21"/>
          <w:szCs w:val="21"/>
        </w:rPr>
        <w:t>.</w:t>
      </w:r>
      <w:r w:rsidR="00680920" w:rsidRPr="00AB6EC5">
        <w:rPr>
          <w:rStyle w:val="EndnoteReference"/>
          <w:sz w:val="21"/>
          <w:szCs w:val="21"/>
        </w:rPr>
        <w:endnoteReference w:id="14"/>
      </w:r>
      <w:r w:rsidR="005C17C6" w:rsidRPr="00AB6EC5">
        <w:rPr>
          <w:sz w:val="21"/>
          <w:szCs w:val="21"/>
        </w:rPr>
        <w:t xml:space="preserve"> </w:t>
      </w:r>
      <w:r w:rsidR="005C17C6" w:rsidRPr="00AB6EC5">
        <w:rPr>
          <w:color w:val="000000" w:themeColor="text1"/>
          <w:sz w:val="21"/>
          <w:szCs w:val="21"/>
          <w:lang w:val="en-AU"/>
        </w:rPr>
        <w:t>Health equity cannot be achieved without responding to and preventing gender-based violence.</w:t>
      </w:r>
    </w:p>
    <w:p w14:paraId="562A3BDB" w14:textId="77777777" w:rsidR="00F05CE7" w:rsidRPr="00AB6EC5" w:rsidRDefault="00F05CE7" w:rsidP="004B113A">
      <w:pPr>
        <w:rPr>
          <w:sz w:val="21"/>
          <w:szCs w:val="21"/>
        </w:rPr>
      </w:pPr>
    </w:p>
    <w:p w14:paraId="11C19F1D" w14:textId="461E0C60" w:rsidR="00DC4865" w:rsidRPr="00AB6EC5" w:rsidRDefault="3376F4F4" w:rsidP="002A098B">
      <w:pPr>
        <w:rPr>
          <w:color w:val="000000" w:themeColor="text1"/>
          <w:sz w:val="21"/>
          <w:szCs w:val="21"/>
          <w:lang w:val="en-AU"/>
        </w:rPr>
      </w:pPr>
      <w:r w:rsidRPr="00AB6EC5">
        <w:rPr>
          <w:color w:val="000000" w:themeColor="text1"/>
          <w:sz w:val="21"/>
          <w:szCs w:val="21"/>
          <w:lang w:val="en-AU"/>
        </w:rPr>
        <w:t>Significant work has been done in Australia with</w:t>
      </w:r>
      <w:r w:rsidR="290D85BF" w:rsidRPr="00AB6EC5">
        <w:rPr>
          <w:color w:val="000000" w:themeColor="text1"/>
          <w:sz w:val="21"/>
          <w:szCs w:val="21"/>
          <w:lang w:val="en-AU"/>
        </w:rPr>
        <w:t>in</w:t>
      </w:r>
      <w:r w:rsidRPr="00AB6EC5">
        <w:rPr>
          <w:color w:val="000000" w:themeColor="text1"/>
          <w:sz w:val="21"/>
          <w:szCs w:val="21"/>
          <w:lang w:val="en-AU"/>
        </w:rPr>
        <w:t xml:space="preserve"> the</w:t>
      </w:r>
      <w:r w:rsidR="0547FED6" w:rsidRPr="00AB6EC5">
        <w:rPr>
          <w:color w:val="000000" w:themeColor="text1"/>
          <w:sz w:val="21"/>
          <w:szCs w:val="21"/>
          <w:lang w:val="en-AU"/>
        </w:rPr>
        <w:t xml:space="preserve"> field</w:t>
      </w:r>
      <w:r w:rsidR="52ABA9FB" w:rsidRPr="00AB6EC5">
        <w:rPr>
          <w:color w:val="000000" w:themeColor="text1"/>
          <w:sz w:val="21"/>
          <w:szCs w:val="21"/>
          <w:lang w:val="en-AU"/>
        </w:rPr>
        <w:t>s</w:t>
      </w:r>
      <w:r w:rsidR="0547FED6" w:rsidRPr="00AB6EC5">
        <w:rPr>
          <w:color w:val="000000" w:themeColor="text1"/>
          <w:sz w:val="21"/>
          <w:szCs w:val="21"/>
          <w:lang w:val="en-AU"/>
        </w:rPr>
        <w:t xml:space="preserve"> of primary prevention and </w:t>
      </w:r>
      <w:r w:rsidR="5B1FD67E" w:rsidRPr="00AB6EC5">
        <w:rPr>
          <w:color w:val="000000" w:themeColor="text1"/>
          <w:sz w:val="21"/>
          <w:szCs w:val="21"/>
          <w:lang w:val="en-AU"/>
        </w:rPr>
        <w:t>specialist</w:t>
      </w:r>
      <w:r w:rsidR="006B2CC9">
        <w:rPr>
          <w:color w:val="000000" w:themeColor="text1"/>
          <w:sz w:val="21"/>
          <w:szCs w:val="21"/>
          <w:lang w:val="en-AU"/>
        </w:rPr>
        <w:t xml:space="preserve"> </w:t>
      </w:r>
      <w:r w:rsidR="00C21334">
        <w:rPr>
          <w:color w:val="000000" w:themeColor="text1"/>
          <w:sz w:val="21"/>
          <w:szCs w:val="21"/>
          <w:lang w:val="en-AU"/>
        </w:rPr>
        <w:t>DFSV</w:t>
      </w:r>
      <w:r w:rsidR="00DE6DED" w:rsidRPr="006B2CC9">
        <w:rPr>
          <w:color w:val="000000" w:themeColor="text1"/>
          <w:sz w:val="21"/>
          <w:szCs w:val="21"/>
          <w:lang w:val="en-AU"/>
        </w:rPr>
        <w:t xml:space="preserve"> </w:t>
      </w:r>
      <w:r w:rsidR="3B6FAB18" w:rsidRPr="006B2CC9">
        <w:rPr>
          <w:color w:val="000000" w:themeColor="text1"/>
          <w:sz w:val="21"/>
          <w:szCs w:val="21"/>
          <w:lang w:val="en-AU"/>
        </w:rPr>
        <w:t>services</w:t>
      </w:r>
      <w:r w:rsidR="0DCB37A8" w:rsidRPr="00AB6EC5">
        <w:rPr>
          <w:color w:val="000000" w:themeColor="text1"/>
          <w:sz w:val="21"/>
          <w:szCs w:val="21"/>
          <w:lang w:val="en-AU"/>
        </w:rPr>
        <w:t xml:space="preserve">, which </w:t>
      </w:r>
      <w:r w:rsidR="2DB6209E" w:rsidRPr="00AB6EC5">
        <w:rPr>
          <w:color w:val="000000" w:themeColor="text1"/>
          <w:sz w:val="21"/>
          <w:szCs w:val="21"/>
          <w:lang w:val="en-AU"/>
        </w:rPr>
        <w:t>build on</w:t>
      </w:r>
      <w:r w:rsidR="290D85BF" w:rsidRPr="00AB6EC5">
        <w:rPr>
          <w:color w:val="000000" w:themeColor="text1"/>
          <w:sz w:val="21"/>
          <w:szCs w:val="21"/>
          <w:lang w:val="en-AU"/>
        </w:rPr>
        <w:t xml:space="preserve"> a public health approach</w:t>
      </w:r>
      <w:r w:rsidR="006C69E8" w:rsidRPr="00AB6EC5">
        <w:rPr>
          <w:color w:val="000000" w:themeColor="text1"/>
          <w:sz w:val="21"/>
          <w:szCs w:val="21"/>
          <w:lang w:val="en-AU"/>
        </w:rPr>
        <w:t xml:space="preserve"> across </w:t>
      </w:r>
      <w:r w:rsidR="00AA2A23" w:rsidRPr="00AB6EC5">
        <w:rPr>
          <w:color w:val="000000" w:themeColor="text1"/>
          <w:sz w:val="21"/>
          <w:szCs w:val="21"/>
          <w:lang w:val="en-AU"/>
        </w:rPr>
        <w:t>different types of prevention</w:t>
      </w:r>
      <w:r w:rsidRPr="00AB6EC5">
        <w:rPr>
          <w:color w:val="000000" w:themeColor="text1"/>
          <w:sz w:val="21"/>
          <w:szCs w:val="21"/>
          <w:lang w:val="en-AU"/>
        </w:rPr>
        <w:t>.</w:t>
      </w:r>
      <w:r w:rsidR="00DC4865" w:rsidRPr="00AB6EC5">
        <w:rPr>
          <w:rStyle w:val="EndnoteReference"/>
          <w:color w:val="000000" w:themeColor="text1"/>
          <w:sz w:val="21"/>
          <w:szCs w:val="21"/>
          <w:lang w:val="en-AU"/>
        </w:rPr>
        <w:endnoteReference w:id="15"/>
      </w:r>
      <w:r w:rsidR="00AA2A23" w:rsidRPr="00AB6EC5">
        <w:rPr>
          <w:color w:val="000000" w:themeColor="text1"/>
          <w:sz w:val="21"/>
          <w:szCs w:val="21"/>
          <w:lang w:val="en-AU"/>
        </w:rPr>
        <w:t xml:space="preserve"> </w:t>
      </w:r>
      <w:r w:rsidR="00AA2A23" w:rsidRPr="00AB6EC5">
        <w:rPr>
          <w:rStyle w:val="EndnoteReference"/>
          <w:color w:val="000000" w:themeColor="text1"/>
          <w:sz w:val="21"/>
          <w:szCs w:val="21"/>
          <w:lang w:val="en-AU"/>
        </w:rPr>
        <w:endnoteReference w:id="16"/>
      </w:r>
      <w:r w:rsidRPr="00AB6EC5">
        <w:rPr>
          <w:color w:val="000000" w:themeColor="text1"/>
          <w:sz w:val="21"/>
          <w:szCs w:val="21"/>
          <w:lang w:val="en-AU"/>
        </w:rPr>
        <w:t xml:space="preserve"> </w:t>
      </w:r>
      <w:r w:rsidR="52ABA9FB" w:rsidRPr="00AB6EC5">
        <w:rPr>
          <w:color w:val="000000" w:themeColor="text1"/>
          <w:sz w:val="21"/>
          <w:szCs w:val="21"/>
          <w:lang w:val="en-AU"/>
        </w:rPr>
        <w:t>This includes r</w:t>
      </w:r>
      <w:r w:rsidRPr="00AB6EC5">
        <w:rPr>
          <w:color w:val="000000" w:themeColor="text1"/>
          <w:sz w:val="21"/>
          <w:szCs w:val="21"/>
          <w:lang w:val="en-AU"/>
        </w:rPr>
        <w:t>esearch</w:t>
      </w:r>
      <w:r w:rsidR="00FD3777" w:rsidRPr="00AB6EC5">
        <w:rPr>
          <w:color w:val="000000" w:themeColor="text1"/>
          <w:sz w:val="21"/>
          <w:szCs w:val="21"/>
          <w:lang w:val="en-AU"/>
        </w:rPr>
        <w:t>,</w:t>
      </w:r>
      <w:r w:rsidR="52ABA9FB" w:rsidRPr="00AB6EC5">
        <w:rPr>
          <w:color w:val="000000" w:themeColor="text1"/>
          <w:sz w:val="21"/>
          <w:szCs w:val="21"/>
          <w:lang w:val="en-AU"/>
        </w:rPr>
        <w:t xml:space="preserve"> policy</w:t>
      </w:r>
      <w:r w:rsidR="1F2F4F15" w:rsidRPr="00AB6EC5">
        <w:rPr>
          <w:color w:val="000000" w:themeColor="text1"/>
          <w:sz w:val="21"/>
          <w:szCs w:val="21"/>
          <w:lang w:val="en-AU"/>
        </w:rPr>
        <w:t xml:space="preserve"> frameworks</w:t>
      </w:r>
      <w:r w:rsidR="00FD3777" w:rsidRPr="00AB6EC5">
        <w:rPr>
          <w:color w:val="000000" w:themeColor="text1"/>
          <w:sz w:val="21"/>
          <w:szCs w:val="21"/>
          <w:lang w:val="en-AU"/>
        </w:rPr>
        <w:t xml:space="preserve"> and primary prevention activities</w:t>
      </w:r>
      <w:r w:rsidR="1F2F4F15" w:rsidRPr="00AB6EC5">
        <w:rPr>
          <w:color w:val="000000" w:themeColor="text1"/>
          <w:sz w:val="21"/>
          <w:szCs w:val="21"/>
          <w:lang w:val="en-AU"/>
        </w:rPr>
        <w:t xml:space="preserve"> that</w:t>
      </w:r>
      <w:r w:rsidR="52ABA9FB" w:rsidRPr="00AB6EC5">
        <w:rPr>
          <w:color w:val="000000" w:themeColor="text1"/>
          <w:sz w:val="21"/>
          <w:szCs w:val="21"/>
          <w:lang w:val="en-AU"/>
        </w:rPr>
        <w:t xml:space="preserve"> </w:t>
      </w:r>
      <w:r w:rsidR="00FD3777" w:rsidRPr="00AB6EC5">
        <w:rPr>
          <w:color w:val="000000" w:themeColor="text1"/>
          <w:sz w:val="21"/>
          <w:szCs w:val="21"/>
          <w:lang w:val="en-AU"/>
        </w:rPr>
        <w:t>address</w:t>
      </w:r>
      <w:r w:rsidR="424328FC" w:rsidRPr="00AB6EC5">
        <w:rPr>
          <w:color w:val="000000" w:themeColor="text1"/>
          <w:sz w:val="21"/>
          <w:szCs w:val="21"/>
          <w:lang w:val="en-AU"/>
        </w:rPr>
        <w:t xml:space="preserve"> key</w:t>
      </w:r>
      <w:r w:rsidRPr="00AB6EC5">
        <w:rPr>
          <w:color w:val="000000" w:themeColor="text1"/>
          <w:sz w:val="21"/>
          <w:szCs w:val="21"/>
          <w:lang w:val="en-AU"/>
        </w:rPr>
        <w:t xml:space="preserve"> drivers of violence</w:t>
      </w:r>
      <w:r w:rsidR="00FD3777" w:rsidRPr="00AB6EC5">
        <w:rPr>
          <w:color w:val="000000" w:themeColor="text1"/>
          <w:sz w:val="21"/>
          <w:szCs w:val="21"/>
          <w:lang w:val="en-AU"/>
        </w:rPr>
        <w:t>.</w:t>
      </w:r>
      <w:r w:rsidR="00EC563F" w:rsidRPr="00AB6EC5">
        <w:rPr>
          <w:rStyle w:val="EndnoteReference"/>
          <w:color w:val="000000" w:themeColor="text1"/>
          <w:sz w:val="21"/>
          <w:szCs w:val="21"/>
          <w:lang w:val="en-AU"/>
        </w:rPr>
        <w:endnoteReference w:id="17"/>
      </w:r>
      <w:r w:rsidR="1AF3E157" w:rsidRPr="00AB6EC5">
        <w:rPr>
          <w:color w:val="000000" w:themeColor="text1"/>
          <w:sz w:val="21"/>
          <w:szCs w:val="21"/>
          <w:lang w:val="en-AU"/>
        </w:rPr>
        <w:t xml:space="preserve"> </w:t>
      </w:r>
      <w:r w:rsidR="60F59525" w:rsidRPr="00AB6EC5">
        <w:rPr>
          <w:color w:val="000000" w:themeColor="text1"/>
          <w:sz w:val="21"/>
          <w:szCs w:val="21"/>
          <w:lang w:val="en-AU"/>
        </w:rPr>
        <w:t>These</w:t>
      </w:r>
      <w:r w:rsidR="6DA07D5D" w:rsidRPr="00AB6EC5">
        <w:rPr>
          <w:color w:val="000000" w:themeColor="text1"/>
          <w:sz w:val="21"/>
          <w:szCs w:val="21"/>
          <w:lang w:val="en-AU"/>
        </w:rPr>
        <w:t xml:space="preserve"> </w:t>
      </w:r>
      <w:r w:rsidR="379C7FF8" w:rsidRPr="00AB6EC5">
        <w:rPr>
          <w:color w:val="000000" w:themeColor="text1"/>
          <w:sz w:val="21"/>
          <w:szCs w:val="21"/>
          <w:lang w:val="en-AU"/>
        </w:rPr>
        <w:t xml:space="preserve">drivers </w:t>
      </w:r>
      <w:r w:rsidR="6DA07D5D" w:rsidRPr="00AB6EC5">
        <w:rPr>
          <w:color w:val="000000" w:themeColor="text1"/>
          <w:sz w:val="21"/>
          <w:szCs w:val="21"/>
          <w:lang w:val="en-AU"/>
        </w:rPr>
        <w:t>are gendered in nature</w:t>
      </w:r>
      <w:r w:rsidR="381536DC" w:rsidRPr="00AB6EC5">
        <w:rPr>
          <w:color w:val="000000" w:themeColor="text1"/>
          <w:sz w:val="21"/>
          <w:szCs w:val="21"/>
          <w:lang w:val="en-AU"/>
        </w:rPr>
        <w:t>,</w:t>
      </w:r>
      <w:r w:rsidR="1CA26FAE" w:rsidRPr="00AB6EC5">
        <w:rPr>
          <w:color w:val="000000" w:themeColor="text1"/>
          <w:sz w:val="21"/>
          <w:szCs w:val="21"/>
          <w:lang w:val="en-AU"/>
        </w:rPr>
        <w:t xml:space="preserve"> reinforced through </w:t>
      </w:r>
      <w:r w:rsidR="576499E5" w:rsidRPr="00AB6EC5">
        <w:rPr>
          <w:color w:val="000000" w:themeColor="text1"/>
          <w:sz w:val="21"/>
          <w:szCs w:val="21"/>
          <w:lang w:val="en-AU"/>
        </w:rPr>
        <w:t>cultural norms</w:t>
      </w:r>
      <w:r w:rsidR="381536DC" w:rsidRPr="00AB6EC5">
        <w:rPr>
          <w:color w:val="000000" w:themeColor="text1"/>
          <w:sz w:val="21"/>
          <w:szCs w:val="21"/>
          <w:lang w:val="en-AU"/>
        </w:rPr>
        <w:t xml:space="preserve"> and</w:t>
      </w:r>
      <w:r w:rsidR="5B5C3C77" w:rsidRPr="00AB6EC5">
        <w:rPr>
          <w:color w:val="000000" w:themeColor="text1"/>
          <w:sz w:val="21"/>
          <w:szCs w:val="21"/>
          <w:lang w:val="en-AU"/>
        </w:rPr>
        <w:t xml:space="preserve"> </w:t>
      </w:r>
      <w:r w:rsidR="64DEEC93" w:rsidRPr="00AB6EC5">
        <w:rPr>
          <w:color w:val="000000" w:themeColor="text1"/>
          <w:sz w:val="21"/>
          <w:szCs w:val="21"/>
          <w:lang w:val="en-AU"/>
        </w:rPr>
        <w:t>social</w:t>
      </w:r>
      <w:r w:rsidR="0FF15B74" w:rsidRPr="00AB6EC5">
        <w:rPr>
          <w:color w:val="000000" w:themeColor="text1"/>
          <w:sz w:val="21"/>
          <w:szCs w:val="21"/>
          <w:lang w:val="en-AU"/>
        </w:rPr>
        <w:t xml:space="preserve"> </w:t>
      </w:r>
      <w:r w:rsidR="64DEEC93" w:rsidRPr="00AB6EC5">
        <w:rPr>
          <w:color w:val="000000" w:themeColor="text1"/>
          <w:sz w:val="21"/>
          <w:szCs w:val="21"/>
          <w:lang w:val="en-AU"/>
        </w:rPr>
        <w:t>determinants of health</w:t>
      </w:r>
      <w:r w:rsidR="67E8D01F" w:rsidRPr="00AB6EC5">
        <w:rPr>
          <w:color w:val="000000" w:themeColor="text1"/>
          <w:sz w:val="21"/>
          <w:szCs w:val="21"/>
          <w:lang w:val="en-AU"/>
        </w:rPr>
        <w:t>, and require a</w:t>
      </w:r>
      <w:r w:rsidR="22D0920D" w:rsidRPr="00AB6EC5">
        <w:rPr>
          <w:color w:val="000000" w:themeColor="text1"/>
          <w:sz w:val="21"/>
          <w:szCs w:val="21"/>
          <w:lang w:val="en-AU"/>
        </w:rPr>
        <w:t>ction</w:t>
      </w:r>
      <w:r w:rsidR="67E8D01F" w:rsidRPr="00AB6EC5">
        <w:rPr>
          <w:color w:val="000000" w:themeColor="text1"/>
          <w:sz w:val="21"/>
          <w:szCs w:val="21"/>
          <w:lang w:val="en-AU"/>
        </w:rPr>
        <w:t xml:space="preserve"> at individual, </w:t>
      </w:r>
      <w:r w:rsidR="22D0920D" w:rsidRPr="00AB6EC5">
        <w:rPr>
          <w:color w:val="000000" w:themeColor="text1"/>
          <w:sz w:val="21"/>
          <w:szCs w:val="21"/>
          <w:lang w:val="en-AU"/>
        </w:rPr>
        <w:t>community</w:t>
      </w:r>
      <w:r w:rsidR="67E8D01F" w:rsidRPr="00AB6EC5">
        <w:rPr>
          <w:color w:val="000000" w:themeColor="text1"/>
          <w:sz w:val="21"/>
          <w:szCs w:val="21"/>
          <w:lang w:val="en-AU"/>
        </w:rPr>
        <w:t xml:space="preserve"> and systemic levels</w:t>
      </w:r>
      <w:r w:rsidR="37C7D7B9" w:rsidRPr="00AB6EC5">
        <w:rPr>
          <w:color w:val="000000" w:themeColor="text1"/>
          <w:sz w:val="21"/>
          <w:szCs w:val="21"/>
          <w:lang w:val="en-AU"/>
        </w:rPr>
        <w:t>.</w:t>
      </w:r>
    </w:p>
    <w:p w14:paraId="0372211F" w14:textId="77777777" w:rsidR="00CF408C" w:rsidRPr="00AB6EC5" w:rsidRDefault="00CF408C" w:rsidP="00660DAA">
      <w:pPr>
        <w:rPr>
          <w:color w:val="000000" w:themeColor="text1"/>
          <w:sz w:val="21"/>
          <w:szCs w:val="21"/>
          <w:lang w:val="en-AU"/>
        </w:rPr>
      </w:pPr>
    </w:p>
    <w:p w14:paraId="0F5E3D2B" w14:textId="13463667" w:rsidR="009251B8" w:rsidRPr="00AB6EC5" w:rsidRDefault="000C44D2" w:rsidP="00793B77">
      <w:pPr>
        <w:rPr>
          <w:color w:val="000000" w:themeColor="text1"/>
          <w:sz w:val="21"/>
          <w:szCs w:val="21"/>
          <w:lang w:val="en-AU"/>
        </w:rPr>
      </w:pPr>
      <w:r w:rsidRPr="00AB6EC5">
        <w:rPr>
          <w:color w:val="000000" w:themeColor="text1"/>
          <w:sz w:val="21"/>
          <w:szCs w:val="21"/>
          <w:lang w:val="en-AU"/>
        </w:rPr>
        <w:lastRenderedPageBreak/>
        <w:t xml:space="preserve">Implementation of </w:t>
      </w:r>
      <w:r w:rsidR="00740B85" w:rsidRPr="00AB6EC5">
        <w:rPr>
          <w:color w:val="000000" w:themeColor="text1"/>
          <w:sz w:val="21"/>
          <w:szCs w:val="21"/>
          <w:lang w:val="en-AU"/>
        </w:rPr>
        <w:t xml:space="preserve">government </w:t>
      </w:r>
      <w:r w:rsidRPr="00AB6EC5">
        <w:rPr>
          <w:color w:val="000000" w:themeColor="text1"/>
          <w:sz w:val="21"/>
          <w:szCs w:val="21"/>
          <w:lang w:val="en-AU"/>
        </w:rPr>
        <w:t xml:space="preserve">health strategies </w:t>
      </w:r>
      <w:r w:rsidR="001F42FF" w:rsidRPr="00AB6EC5">
        <w:rPr>
          <w:color w:val="000000" w:themeColor="text1"/>
          <w:sz w:val="21"/>
          <w:szCs w:val="21"/>
          <w:lang w:val="en-AU"/>
        </w:rPr>
        <w:t>must</w:t>
      </w:r>
      <w:r w:rsidRPr="00AB6EC5">
        <w:rPr>
          <w:color w:val="000000" w:themeColor="text1"/>
          <w:sz w:val="21"/>
          <w:szCs w:val="21"/>
          <w:lang w:val="en-AU"/>
        </w:rPr>
        <w:t xml:space="preserve"> </w:t>
      </w:r>
      <w:r w:rsidR="00625562" w:rsidRPr="00AB6EC5">
        <w:rPr>
          <w:color w:val="000000" w:themeColor="text1"/>
          <w:sz w:val="21"/>
          <w:szCs w:val="21"/>
          <w:lang w:val="en-AU"/>
        </w:rPr>
        <w:t xml:space="preserve">therefore </w:t>
      </w:r>
      <w:r w:rsidRPr="00AB6EC5">
        <w:rPr>
          <w:color w:val="000000" w:themeColor="text1"/>
          <w:sz w:val="21"/>
          <w:szCs w:val="21"/>
          <w:lang w:val="en-AU"/>
        </w:rPr>
        <w:t>integrate preventi</w:t>
      </w:r>
      <w:r w:rsidR="008C62AF" w:rsidRPr="00AB6EC5">
        <w:rPr>
          <w:color w:val="000000" w:themeColor="text1"/>
          <w:sz w:val="21"/>
          <w:szCs w:val="21"/>
          <w:lang w:val="en-AU"/>
        </w:rPr>
        <w:t>ve health</w:t>
      </w:r>
      <w:r w:rsidRPr="00AB6EC5">
        <w:rPr>
          <w:color w:val="000000" w:themeColor="text1"/>
          <w:sz w:val="21"/>
          <w:szCs w:val="21"/>
          <w:lang w:val="en-AU"/>
        </w:rPr>
        <w:t xml:space="preserve"> with</w:t>
      </w:r>
      <w:r w:rsidR="00CF2C60" w:rsidRPr="00AB6EC5">
        <w:rPr>
          <w:color w:val="000000" w:themeColor="text1"/>
          <w:sz w:val="21"/>
          <w:szCs w:val="21"/>
          <w:lang w:val="en-AU"/>
        </w:rPr>
        <w:t xml:space="preserve"> frameworks and</w:t>
      </w:r>
      <w:r w:rsidRPr="00AB6EC5">
        <w:rPr>
          <w:color w:val="000000" w:themeColor="text1"/>
          <w:sz w:val="21"/>
          <w:szCs w:val="21"/>
          <w:lang w:val="en-AU"/>
        </w:rPr>
        <w:t xml:space="preserve"> actions that address </w:t>
      </w:r>
      <w:r w:rsidR="009774D5" w:rsidRPr="00AB6EC5">
        <w:rPr>
          <w:color w:val="000000" w:themeColor="text1"/>
          <w:sz w:val="21"/>
          <w:szCs w:val="21"/>
          <w:lang w:val="en-AU"/>
        </w:rPr>
        <w:t xml:space="preserve">the </w:t>
      </w:r>
      <w:r w:rsidRPr="00AB6EC5">
        <w:rPr>
          <w:color w:val="000000" w:themeColor="text1"/>
          <w:sz w:val="21"/>
          <w:szCs w:val="21"/>
          <w:lang w:val="en-AU"/>
        </w:rPr>
        <w:t xml:space="preserve">gendered drivers </w:t>
      </w:r>
      <w:r w:rsidR="00C40688" w:rsidRPr="00AB6EC5">
        <w:rPr>
          <w:color w:val="000000" w:themeColor="text1"/>
          <w:sz w:val="21"/>
          <w:szCs w:val="21"/>
          <w:lang w:val="en-AU"/>
        </w:rPr>
        <w:t xml:space="preserve">and intersectional nature </w:t>
      </w:r>
      <w:r w:rsidRPr="00AB6EC5">
        <w:rPr>
          <w:color w:val="000000" w:themeColor="text1"/>
          <w:sz w:val="21"/>
          <w:szCs w:val="21"/>
          <w:lang w:val="en-AU"/>
        </w:rPr>
        <w:t xml:space="preserve">of violence. Systematic approaches are required across all levels of government, service delivery and the community that recognise the relationship between gender-based violence, health and wellbeing. This includes strengthening </w:t>
      </w:r>
      <w:r w:rsidR="00DD6524" w:rsidRPr="00AB6EC5">
        <w:rPr>
          <w:color w:val="000000" w:themeColor="text1"/>
          <w:sz w:val="21"/>
          <w:szCs w:val="21"/>
          <w:lang w:val="en-AU"/>
        </w:rPr>
        <w:t xml:space="preserve">partnership and community engagement </w:t>
      </w:r>
      <w:r w:rsidRPr="00AB6EC5">
        <w:rPr>
          <w:color w:val="000000" w:themeColor="text1"/>
          <w:sz w:val="21"/>
          <w:szCs w:val="21"/>
          <w:lang w:val="en-AU"/>
        </w:rPr>
        <w:t>across the health and social care sectors</w:t>
      </w:r>
      <w:r w:rsidR="00D80E2A" w:rsidRPr="00AB6EC5">
        <w:rPr>
          <w:color w:val="000000" w:themeColor="text1"/>
          <w:sz w:val="21"/>
          <w:szCs w:val="21"/>
          <w:lang w:val="en-AU"/>
        </w:rPr>
        <w:t xml:space="preserve"> and</w:t>
      </w:r>
      <w:r w:rsidRPr="00AB6EC5">
        <w:rPr>
          <w:color w:val="000000" w:themeColor="text1"/>
          <w:sz w:val="21"/>
          <w:szCs w:val="21"/>
          <w:lang w:val="en-AU"/>
        </w:rPr>
        <w:t xml:space="preserve"> building </w:t>
      </w:r>
      <w:r w:rsidR="00FB2DDD" w:rsidRPr="00AB6EC5">
        <w:rPr>
          <w:color w:val="000000" w:themeColor="text1"/>
          <w:sz w:val="21"/>
          <w:szCs w:val="21"/>
          <w:lang w:val="en-AU"/>
        </w:rPr>
        <w:t xml:space="preserve">capacity </w:t>
      </w:r>
      <w:r w:rsidR="002531DD" w:rsidRPr="00AB6EC5">
        <w:rPr>
          <w:color w:val="000000" w:themeColor="text1"/>
          <w:sz w:val="21"/>
          <w:szCs w:val="21"/>
          <w:lang w:val="en-AU"/>
        </w:rPr>
        <w:t>in</w:t>
      </w:r>
      <w:r w:rsidR="00FB2DDD" w:rsidRPr="00AB6EC5">
        <w:rPr>
          <w:color w:val="000000" w:themeColor="text1"/>
          <w:sz w:val="21"/>
          <w:szCs w:val="21"/>
          <w:lang w:val="en-AU"/>
        </w:rPr>
        <w:t xml:space="preserve"> </w:t>
      </w:r>
      <w:r w:rsidRPr="00AB6EC5">
        <w:rPr>
          <w:color w:val="000000" w:themeColor="text1"/>
          <w:sz w:val="21"/>
          <w:szCs w:val="21"/>
          <w:lang w:val="en-AU"/>
        </w:rPr>
        <w:t>gender</w:t>
      </w:r>
      <w:r w:rsidR="00AF67AF" w:rsidRPr="00AB6EC5">
        <w:rPr>
          <w:color w:val="000000" w:themeColor="text1"/>
          <w:sz w:val="21"/>
          <w:szCs w:val="21"/>
          <w:lang w:val="en-AU"/>
        </w:rPr>
        <w:t>-</w:t>
      </w:r>
      <w:r w:rsidRPr="00AB6EC5">
        <w:rPr>
          <w:color w:val="000000" w:themeColor="text1"/>
          <w:sz w:val="21"/>
          <w:szCs w:val="21"/>
          <w:lang w:val="en-AU"/>
        </w:rPr>
        <w:t>responsive</w:t>
      </w:r>
      <w:r w:rsidR="00FB2DDD" w:rsidRPr="00AB6EC5">
        <w:rPr>
          <w:color w:val="000000" w:themeColor="text1"/>
          <w:sz w:val="21"/>
          <w:szCs w:val="21"/>
          <w:lang w:val="en-AU"/>
        </w:rPr>
        <w:t xml:space="preserve"> health</w:t>
      </w:r>
      <w:r w:rsidRPr="00AB6EC5">
        <w:rPr>
          <w:color w:val="000000" w:themeColor="text1"/>
          <w:sz w:val="21"/>
          <w:szCs w:val="21"/>
          <w:lang w:val="en-AU"/>
        </w:rPr>
        <w:t xml:space="preserve"> across leadership, governance, funding, education and training, the health workforce and</w:t>
      </w:r>
      <w:r w:rsidR="004B348B" w:rsidRPr="00AB6EC5">
        <w:rPr>
          <w:color w:val="000000" w:themeColor="text1"/>
          <w:sz w:val="21"/>
          <w:szCs w:val="21"/>
          <w:lang w:val="en-AU"/>
        </w:rPr>
        <w:t xml:space="preserve"> broader</w:t>
      </w:r>
      <w:r w:rsidRPr="00AB6EC5">
        <w:rPr>
          <w:color w:val="000000" w:themeColor="text1"/>
          <w:sz w:val="21"/>
          <w:szCs w:val="21"/>
          <w:lang w:val="en-AU"/>
        </w:rPr>
        <w:t xml:space="preserve"> community.</w:t>
      </w:r>
      <w:r w:rsidR="00BF4334" w:rsidRPr="00AB6EC5">
        <w:rPr>
          <w:color w:val="000000" w:themeColor="text1"/>
          <w:sz w:val="21"/>
          <w:szCs w:val="21"/>
          <w:lang w:val="en-AU"/>
        </w:rPr>
        <w:t xml:space="preserve"> </w:t>
      </w:r>
    </w:p>
    <w:p w14:paraId="10E577C2" w14:textId="77777777" w:rsidR="009251B8" w:rsidRPr="00AB6EC5" w:rsidRDefault="009251B8" w:rsidP="00793B77">
      <w:pPr>
        <w:rPr>
          <w:color w:val="000000" w:themeColor="text1"/>
          <w:sz w:val="21"/>
          <w:szCs w:val="21"/>
          <w:lang w:val="en-AU"/>
        </w:rPr>
      </w:pPr>
    </w:p>
    <w:p w14:paraId="43A9AE66" w14:textId="215610D7" w:rsidR="00542D07" w:rsidRPr="00AB6EC5" w:rsidRDefault="00F13997" w:rsidP="00793B77">
      <w:pPr>
        <w:rPr>
          <w:color w:val="000000" w:themeColor="text1"/>
          <w:sz w:val="21"/>
          <w:szCs w:val="21"/>
          <w:lang w:val="en-AU"/>
        </w:rPr>
      </w:pPr>
      <w:r w:rsidRPr="00AB6EC5">
        <w:rPr>
          <w:sz w:val="21"/>
          <w:szCs w:val="21"/>
        </w:rPr>
        <w:t>The health workforce and health settings must be resourced to engage in primary prevention, early intervention</w:t>
      </w:r>
      <w:r w:rsidR="00981337" w:rsidRPr="00AB6EC5">
        <w:rPr>
          <w:sz w:val="21"/>
          <w:szCs w:val="21"/>
        </w:rPr>
        <w:t>,</w:t>
      </w:r>
      <w:r w:rsidRPr="00AB6EC5">
        <w:rPr>
          <w:sz w:val="21"/>
          <w:szCs w:val="21"/>
        </w:rPr>
        <w:t xml:space="preserve"> response</w:t>
      </w:r>
      <w:r w:rsidR="003777D4" w:rsidRPr="00AB6EC5">
        <w:rPr>
          <w:sz w:val="21"/>
          <w:szCs w:val="21"/>
        </w:rPr>
        <w:t>,</w:t>
      </w:r>
      <w:r w:rsidR="00981337" w:rsidRPr="00AB6EC5">
        <w:rPr>
          <w:sz w:val="21"/>
          <w:szCs w:val="21"/>
        </w:rPr>
        <w:t xml:space="preserve"> and long</w:t>
      </w:r>
      <w:r w:rsidR="00C40688" w:rsidRPr="00AB6EC5">
        <w:rPr>
          <w:sz w:val="21"/>
          <w:szCs w:val="21"/>
        </w:rPr>
        <w:t>-</w:t>
      </w:r>
      <w:r w:rsidR="00981337" w:rsidRPr="00AB6EC5">
        <w:rPr>
          <w:sz w:val="21"/>
          <w:szCs w:val="21"/>
        </w:rPr>
        <w:t>term recovery</w:t>
      </w:r>
      <w:r w:rsidRPr="00AB6EC5">
        <w:rPr>
          <w:sz w:val="21"/>
          <w:szCs w:val="21"/>
        </w:rPr>
        <w:t xml:space="preserve">. </w:t>
      </w:r>
      <w:r w:rsidR="005200EC" w:rsidRPr="00AB6EC5">
        <w:rPr>
          <w:sz w:val="21"/>
          <w:szCs w:val="21"/>
        </w:rPr>
        <w:t>E</w:t>
      </w:r>
      <w:r w:rsidR="000214FD" w:rsidRPr="00AB6EC5">
        <w:rPr>
          <w:sz w:val="21"/>
          <w:szCs w:val="21"/>
        </w:rPr>
        <w:t xml:space="preserve">mbedding an intersectional gender lens into </w:t>
      </w:r>
      <w:r w:rsidR="002531DD" w:rsidRPr="00AB6EC5">
        <w:rPr>
          <w:sz w:val="21"/>
          <w:szCs w:val="21"/>
        </w:rPr>
        <w:t xml:space="preserve">the </w:t>
      </w:r>
      <w:r w:rsidR="000214FD" w:rsidRPr="00AB6EC5">
        <w:rPr>
          <w:sz w:val="21"/>
          <w:szCs w:val="21"/>
        </w:rPr>
        <w:t xml:space="preserve">curriculum of </w:t>
      </w:r>
      <w:r w:rsidR="00977AE2" w:rsidRPr="00AB6EC5">
        <w:rPr>
          <w:sz w:val="21"/>
          <w:szCs w:val="21"/>
        </w:rPr>
        <w:t xml:space="preserve">tertiary health qualifications </w:t>
      </w:r>
      <w:r w:rsidR="000214FD" w:rsidRPr="00AB6EC5">
        <w:rPr>
          <w:sz w:val="21"/>
          <w:szCs w:val="21"/>
        </w:rPr>
        <w:t xml:space="preserve">as well as </w:t>
      </w:r>
      <w:r w:rsidR="005200EC" w:rsidRPr="00AB6EC5">
        <w:rPr>
          <w:sz w:val="21"/>
          <w:szCs w:val="21"/>
        </w:rPr>
        <w:t xml:space="preserve">workplace training of </w:t>
      </w:r>
      <w:r w:rsidR="000214FD" w:rsidRPr="00AB6EC5">
        <w:rPr>
          <w:sz w:val="21"/>
          <w:szCs w:val="21"/>
        </w:rPr>
        <w:t>current practitioners</w:t>
      </w:r>
      <w:r w:rsidR="00977AE2" w:rsidRPr="00AB6EC5">
        <w:rPr>
          <w:sz w:val="21"/>
          <w:szCs w:val="21"/>
        </w:rPr>
        <w:t xml:space="preserve"> in the health workforce</w:t>
      </w:r>
      <w:r w:rsidR="000214FD" w:rsidRPr="00AB6EC5">
        <w:rPr>
          <w:sz w:val="21"/>
          <w:szCs w:val="21"/>
        </w:rPr>
        <w:t xml:space="preserve"> is key. </w:t>
      </w:r>
      <w:r w:rsidR="005C17C6" w:rsidRPr="00AB6EC5">
        <w:rPr>
          <w:color w:val="000000" w:themeColor="text1"/>
          <w:sz w:val="21"/>
          <w:szCs w:val="21"/>
          <w:lang w:val="en-AU"/>
        </w:rPr>
        <w:t xml:space="preserve">Doing so will </w:t>
      </w:r>
      <w:r w:rsidR="00807814" w:rsidRPr="00AB6EC5">
        <w:rPr>
          <w:color w:val="000000" w:themeColor="text1"/>
          <w:sz w:val="21"/>
          <w:szCs w:val="21"/>
          <w:lang w:val="en-AU"/>
        </w:rPr>
        <w:t xml:space="preserve">build on existing </w:t>
      </w:r>
      <w:r w:rsidR="0043731D" w:rsidRPr="00AB6EC5">
        <w:rPr>
          <w:color w:val="000000" w:themeColor="text1"/>
          <w:sz w:val="21"/>
          <w:szCs w:val="21"/>
          <w:lang w:val="en-AU"/>
        </w:rPr>
        <w:t xml:space="preserve">national </w:t>
      </w:r>
      <w:r w:rsidR="00807814" w:rsidRPr="00AB6EC5">
        <w:rPr>
          <w:color w:val="000000" w:themeColor="text1"/>
          <w:sz w:val="21"/>
          <w:szCs w:val="21"/>
          <w:lang w:val="en-AU"/>
        </w:rPr>
        <w:t xml:space="preserve">action </w:t>
      </w:r>
      <w:r w:rsidR="00177BCC" w:rsidRPr="00AB6EC5">
        <w:rPr>
          <w:color w:val="000000" w:themeColor="text1"/>
          <w:sz w:val="21"/>
          <w:szCs w:val="21"/>
          <w:lang w:val="en-AU"/>
        </w:rPr>
        <w:t>within</w:t>
      </w:r>
      <w:r w:rsidR="003953B9" w:rsidRPr="00AB6EC5">
        <w:rPr>
          <w:color w:val="000000" w:themeColor="text1"/>
          <w:sz w:val="21"/>
          <w:szCs w:val="21"/>
          <w:lang w:val="en-AU"/>
        </w:rPr>
        <w:t xml:space="preserve"> legislati</w:t>
      </w:r>
      <w:r w:rsidR="00625562" w:rsidRPr="00AB6EC5">
        <w:rPr>
          <w:color w:val="000000" w:themeColor="text1"/>
          <w:sz w:val="21"/>
          <w:szCs w:val="21"/>
          <w:lang w:val="en-AU"/>
        </w:rPr>
        <w:t>on</w:t>
      </w:r>
      <w:r w:rsidR="003953B9" w:rsidRPr="00AB6EC5">
        <w:rPr>
          <w:color w:val="000000" w:themeColor="text1"/>
          <w:sz w:val="21"/>
          <w:szCs w:val="21"/>
          <w:lang w:val="en-AU"/>
        </w:rPr>
        <w:t>, policy and progra</w:t>
      </w:r>
      <w:r w:rsidR="00625562" w:rsidRPr="00AB6EC5">
        <w:rPr>
          <w:color w:val="000000" w:themeColor="text1"/>
          <w:sz w:val="21"/>
          <w:szCs w:val="21"/>
          <w:lang w:val="en-AU"/>
        </w:rPr>
        <w:t>ms</w:t>
      </w:r>
      <w:r w:rsidR="009778C6" w:rsidRPr="00AB6EC5">
        <w:rPr>
          <w:color w:val="000000" w:themeColor="text1"/>
          <w:sz w:val="21"/>
          <w:szCs w:val="21"/>
          <w:lang w:val="en-AU"/>
        </w:rPr>
        <w:t xml:space="preserve"> across </w:t>
      </w:r>
      <w:r w:rsidR="0043731D" w:rsidRPr="00AB6EC5">
        <w:rPr>
          <w:color w:val="000000" w:themeColor="text1"/>
          <w:sz w:val="21"/>
          <w:szCs w:val="21"/>
          <w:lang w:val="en-AU"/>
        </w:rPr>
        <w:t>workplaces, education</w:t>
      </w:r>
      <w:r w:rsidR="00177BCC" w:rsidRPr="00AB6EC5">
        <w:rPr>
          <w:color w:val="000000" w:themeColor="text1"/>
          <w:sz w:val="21"/>
          <w:szCs w:val="21"/>
          <w:lang w:val="en-AU"/>
        </w:rPr>
        <w:t>,</w:t>
      </w:r>
      <w:r w:rsidR="009F3855" w:rsidRPr="00AB6EC5">
        <w:rPr>
          <w:color w:val="000000" w:themeColor="text1"/>
          <w:sz w:val="21"/>
          <w:szCs w:val="21"/>
          <w:lang w:val="en-AU"/>
        </w:rPr>
        <w:t xml:space="preserve"> and</w:t>
      </w:r>
      <w:r w:rsidR="00354489" w:rsidRPr="00AB6EC5">
        <w:rPr>
          <w:color w:val="000000" w:themeColor="text1"/>
          <w:sz w:val="21"/>
          <w:szCs w:val="21"/>
          <w:lang w:val="en-AU"/>
        </w:rPr>
        <w:t xml:space="preserve"> communit</w:t>
      </w:r>
      <w:r w:rsidR="009F3855" w:rsidRPr="00AB6EC5">
        <w:rPr>
          <w:color w:val="000000" w:themeColor="text1"/>
          <w:sz w:val="21"/>
          <w:szCs w:val="21"/>
          <w:lang w:val="en-AU"/>
        </w:rPr>
        <w:t>y settings</w:t>
      </w:r>
      <w:r w:rsidR="00793B77" w:rsidRPr="00AB6EC5">
        <w:rPr>
          <w:color w:val="000000" w:themeColor="text1"/>
          <w:sz w:val="21"/>
          <w:szCs w:val="21"/>
          <w:lang w:val="en-AU"/>
        </w:rPr>
        <w:t xml:space="preserve">. </w:t>
      </w:r>
      <w:r w:rsidR="00E5186D" w:rsidRPr="00AB6EC5">
        <w:rPr>
          <w:color w:val="000000" w:themeColor="text1"/>
          <w:sz w:val="21"/>
          <w:szCs w:val="21"/>
          <w:lang w:val="en-AU"/>
        </w:rPr>
        <w:t xml:space="preserve">Preventive health action must also </w:t>
      </w:r>
      <w:r w:rsidR="00617E84" w:rsidRPr="00AB6EC5">
        <w:rPr>
          <w:color w:val="000000" w:themeColor="text1"/>
          <w:sz w:val="21"/>
          <w:szCs w:val="21"/>
          <w:lang w:val="en-AU"/>
        </w:rPr>
        <w:t xml:space="preserve">recognise and integrate </w:t>
      </w:r>
      <w:r w:rsidR="00BF67E3" w:rsidRPr="00AB6EC5">
        <w:rPr>
          <w:color w:val="000000" w:themeColor="text1"/>
          <w:sz w:val="21"/>
          <w:szCs w:val="21"/>
          <w:lang w:val="en-AU"/>
        </w:rPr>
        <w:t xml:space="preserve">existing </w:t>
      </w:r>
      <w:r w:rsidR="00617E84" w:rsidRPr="00AB6EC5">
        <w:rPr>
          <w:color w:val="000000" w:themeColor="text1"/>
          <w:sz w:val="21"/>
          <w:szCs w:val="21"/>
          <w:lang w:val="en-AU"/>
        </w:rPr>
        <w:t>efforts across e</w:t>
      </w:r>
      <w:r w:rsidR="009778C6" w:rsidRPr="00AB6EC5">
        <w:rPr>
          <w:color w:val="000000" w:themeColor="text1"/>
          <w:sz w:val="21"/>
          <w:szCs w:val="21"/>
          <w:lang w:val="en-AU"/>
        </w:rPr>
        <w:t xml:space="preserve">arly intervention, trauma informed and culturally responsive care, </w:t>
      </w:r>
      <w:r w:rsidR="00E91CDF" w:rsidRPr="00AB6EC5">
        <w:rPr>
          <w:color w:val="000000" w:themeColor="text1"/>
          <w:sz w:val="21"/>
          <w:szCs w:val="21"/>
          <w:lang w:val="en-AU"/>
        </w:rPr>
        <w:t>women’s specialist</w:t>
      </w:r>
      <w:r w:rsidR="00AC1411" w:rsidRPr="00AB6EC5">
        <w:rPr>
          <w:color w:val="000000" w:themeColor="text1"/>
          <w:sz w:val="21"/>
          <w:szCs w:val="21"/>
          <w:lang w:val="en-AU"/>
        </w:rPr>
        <w:t xml:space="preserve"> and community-controlled</w:t>
      </w:r>
      <w:r w:rsidR="00E91CDF" w:rsidRPr="00AB6EC5">
        <w:rPr>
          <w:color w:val="000000" w:themeColor="text1"/>
          <w:sz w:val="21"/>
          <w:szCs w:val="21"/>
          <w:lang w:val="en-AU"/>
        </w:rPr>
        <w:t xml:space="preserve"> health services, </w:t>
      </w:r>
      <w:r w:rsidR="009778C6" w:rsidRPr="00AB6EC5">
        <w:rPr>
          <w:color w:val="000000" w:themeColor="text1"/>
          <w:sz w:val="21"/>
          <w:szCs w:val="21"/>
          <w:lang w:val="en-AU"/>
        </w:rPr>
        <w:t>recovery focused care and holistic approaches grounded in an understanding of the impacts of violence on health and wellbeing</w:t>
      </w:r>
      <w:r w:rsidR="00542D07" w:rsidRPr="00AB6EC5">
        <w:rPr>
          <w:color w:val="000000" w:themeColor="text1"/>
          <w:sz w:val="21"/>
          <w:szCs w:val="21"/>
          <w:lang w:val="en-AU"/>
        </w:rPr>
        <w:t xml:space="preserve">. </w:t>
      </w:r>
    </w:p>
    <w:p w14:paraId="33E8B09F" w14:textId="47FB7DC1" w:rsidR="001F6BE6" w:rsidRPr="00AB6EC5" w:rsidRDefault="001F6BE6" w:rsidP="00660DAA">
      <w:pPr>
        <w:rPr>
          <w:color w:val="000000" w:themeColor="text1"/>
          <w:sz w:val="21"/>
          <w:szCs w:val="21"/>
          <w:lang w:val="en-AU"/>
        </w:rPr>
      </w:pPr>
    </w:p>
    <w:p w14:paraId="5FED9EF8" w14:textId="4719AB4B" w:rsidR="000C44D2" w:rsidRPr="00AB6EC5" w:rsidRDefault="001F6BE6" w:rsidP="00660DAA">
      <w:pPr>
        <w:rPr>
          <w:color w:val="000000" w:themeColor="text1"/>
          <w:sz w:val="21"/>
          <w:szCs w:val="21"/>
          <w:lang w:val="en-AU"/>
        </w:rPr>
      </w:pPr>
      <w:r w:rsidRPr="00AB6EC5">
        <w:rPr>
          <w:color w:val="000000" w:themeColor="text1"/>
          <w:sz w:val="21"/>
          <w:szCs w:val="21"/>
          <w:lang w:val="en-AU"/>
        </w:rPr>
        <w:t>In responding to violence as a public health issue</w:t>
      </w:r>
      <w:r w:rsidR="000C44D2" w:rsidRPr="00AB6EC5">
        <w:rPr>
          <w:color w:val="000000" w:themeColor="text1"/>
          <w:sz w:val="21"/>
          <w:szCs w:val="21"/>
          <w:lang w:val="en-AU"/>
        </w:rPr>
        <w:t xml:space="preserve"> across health settings</w:t>
      </w:r>
      <w:r w:rsidRPr="00AB6EC5">
        <w:rPr>
          <w:color w:val="000000" w:themeColor="text1"/>
          <w:sz w:val="21"/>
          <w:szCs w:val="21"/>
          <w:lang w:val="en-AU"/>
        </w:rPr>
        <w:t>, e</w:t>
      </w:r>
      <w:r w:rsidR="000C44D2" w:rsidRPr="00AB6EC5">
        <w:rPr>
          <w:color w:val="000000" w:themeColor="text1"/>
          <w:sz w:val="21"/>
          <w:szCs w:val="21"/>
          <w:lang w:val="en-AU"/>
        </w:rPr>
        <w:t>fforts to improve health outcomes for women and gender diverse people must also consider the compounding intersectional experiences of gendered violence</w:t>
      </w:r>
      <w:r w:rsidR="00EF6D4F" w:rsidRPr="00AB6EC5">
        <w:rPr>
          <w:color w:val="000000" w:themeColor="text1"/>
          <w:sz w:val="21"/>
          <w:szCs w:val="21"/>
          <w:lang w:val="en-AU"/>
        </w:rPr>
        <w:t xml:space="preserve">. </w:t>
      </w:r>
      <w:r w:rsidR="000C44D2" w:rsidRPr="00AB6EC5">
        <w:rPr>
          <w:color w:val="000000" w:themeColor="text1"/>
          <w:sz w:val="21"/>
          <w:szCs w:val="21"/>
          <w:lang w:val="en-AU"/>
        </w:rPr>
        <w:t>Preventi</w:t>
      </w:r>
      <w:r w:rsidR="003025DA" w:rsidRPr="00AB6EC5">
        <w:rPr>
          <w:color w:val="000000" w:themeColor="text1"/>
          <w:sz w:val="21"/>
          <w:szCs w:val="21"/>
          <w:lang w:val="en-AU"/>
        </w:rPr>
        <w:t>ve health</w:t>
      </w:r>
      <w:r w:rsidR="000C44D2" w:rsidRPr="00AB6EC5">
        <w:rPr>
          <w:color w:val="000000" w:themeColor="text1"/>
          <w:sz w:val="21"/>
          <w:szCs w:val="21"/>
          <w:lang w:val="en-AU"/>
        </w:rPr>
        <w:t xml:space="preserve"> strategies that </w:t>
      </w:r>
      <w:r w:rsidR="00E8176F" w:rsidRPr="00AB6EC5">
        <w:rPr>
          <w:color w:val="000000" w:themeColor="text1"/>
          <w:sz w:val="21"/>
          <w:szCs w:val="21"/>
          <w:lang w:val="en-AU"/>
        </w:rPr>
        <w:t xml:space="preserve">are developed through </w:t>
      </w:r>
      <w:r w:rsidR="00BB0645" w:rsidRPr="00AB6EC5">
        <w:rPr>
          <w:color w:val="000000" w:themeColor="text1"/>
          <w:sz w:val="21"/>
          <w:szCs w:val="21"/>
          <w:lang w:val="en-AU"/>
        </w:rPr>
        <w:t xml:space="preserve">authentic </w:t>
      </w:r>
      <w:r w:rsidR="000E5A8D" w:rsidRPr="00AB6EC5">
        <w:rPr>
          <w:color w:val="000000" w:themeColor="text1"/>
          <w:sz w:val="21"/>
          <w:szCs w:val="21"/>
          <w:lang w:val="en-AU"/>
        </w:rPr>
        <w:t>co-design and</w:t>
      </w:r>
      <w:r w:rsidR="000C44D2" w:rsidRPr="00AB6EC5">
        <w:rPr>
          <w:color w:val="000000" w:themeColor="text1"/>
          <w:sz w:val="21"/>
          <w:szCs w:val="21"/>
          <w:lang w:val="en-AU"/>
        </w:rPr>
        <w:t xml:space="preserve"> </w:t>
      </w:r>
      <w:r w:rsidR="007539CE" w:rsidRPr="00AB6EC5">
        <w:rPr>
          <w:color w:val="000000" w:themeColor="text1"/>
          <w:sz w:val="21"/>
          <w:szCs w:val="21"/>
          <w:lang w:val="en-AU"/>
        </w:rPr>
        <w:t>include</w:t>
      </w:r>
      <w:r w:rsidR="000C44D2" w:rsidRPr="00AB6EC5">
        <w:rPr>
          <w:color w:val="000000" w:themeColor="text1"/>
          <w:sz w:val="21"/>
          <w:szCs w:val="21"/>
          <w:lang w:val="en-AU"/>
        </w:rPr>
        <w:t xml:space="preserve"> </w:t>
      </w:r>
      <w:r w:rsidR="00E8176F" w:rsidRPr="00AB6EC5">
        <w:rPr>
          <w:color w:val="000000" w:themeColor="text1"/>
          <w:sz w:val="21"/>
          <w:szCs w:val="21"/>
          <w:lang w:val="en-AU"/>
        </w:rPr>
        <w:t xml:space="preserve">community-led </w:t>
      </w:r>
      <w:r w:rsidR="000C44D2" w:rsidRPr="00AB6EC5">
        <w:rPr>
          <w:color w:val="000000" w:themeColor="text1"/>
          <w:sz w:val="21"/>
          <w:szCs w:val="21"/>
          <w:lang w:val="en-AU"/>
        </w:rPr>
        <w:t xml:space="preserve">initiatives </w:t>
      </w:r>
      <w:r w:rsidR="00D80E2A" w:rsidRPr="00AB6EC5">
        <w:rPr>
          <w:color w:val="000000" w:themeColor="text1"/>
          <w:sz w:val="21"/>
          <w:szCs w:val="21"/>
          <w:lang w:val="en-AU"/>
        </w:rPr>
        <w:t>are essential</w:t>
      </w:r>
      <w:r w:rsidR="000C44D2" w:rsidRPr="00AB6EC5">
        <w:rPr>
          <w:color w:val="000000" w:themeColor="text1"/>
          <w:sz w:val="21"/>
          <w:szCs w:val="21"/>
          <w:lang w:val="en-AU"/>
        </w:rPr>
        <w:t xml:space="preserve">. </w:t>
      </w:r>
      <w:r w:rsidR="00CE00EA" w:rsidRPr="00AB6EC5">
        <w:rPr>
          <w:color w:val="000000" w:themeColor="text1"/>
          <w:sz w:val="21"/>
          <w:szCs w:val="21"/>
          <w:lang w:val="en-AU"/>
        </w:rPr>
        <w:t xml:space="preserve">Further, </w:t>
      </w:r>
      <w:r w:rsidR="004661B0" w:rsidRPr="00AB6EC5">
        <w:rPr>
          <w:color w:val="000000" w:themeColor="text1"/>
          <w:sz w:val="21"/>
          <w:szCs w:val="21"/>
          <w:lang w:val="en-AU"/>
        </w:rPr>
        <w:t xml:space="preserve">preventive health action must </w:t>
      </w:r>
      <w:r w:rsidR="009F6A33" w:rsidRPr="00AB6EC5">
        <w:rPr>
          <w:color w:val="000000" w:themeColor="text1"/>
          <w:sz w:val="21"/>
          <w:szCs w:val="21"/>
          <w:lang w:val="en-AU"/>
        </w:rPr>
        <w:t xml:space="preserve">be </w:t>
      </w:r>
      <w:r w:rsidR="00A2047E" w:rsidRPr="00AB6EC5">
        <w:rPr>
          <w:color w:val="000000" w:themeColor="text1"/>
          <w:sz w:val="21"/>
          <w:szCs w:val="21"/>
          <w:lang w:val="en-AU"/>
        </w:rPr>
        <w:t xml:space="preserve">taken as </w:t>
      </w:r>
      <w:r w:rsidR="009F6A33" w:rsidRPr="00AB6EC5">
        <w:rPr>
          <w:color w:val="000000" w:themeColor="text1"/>
          <w:sz w:val="21"/>
          <w:szCs w:val="21"/>
          <w:lang w:val="en-AU"/>
        </w:rPr>
        <w:t>a whole-of-government and whole-of-community approach, where</w:t>
      </w:r>
      <w:r w:rsidR="003025DA" w:rsidRPr="00AB6EC5">
        <w:rPr>
          <w:color w:val="000000" w:themeColor="text1"/>
          <w:sz w:val="21"/>
          <w:szCs w:val="21"/>
          <w:lang w:val="en-AU"/>
        </w:rPr>
        <w:t xml:space="preserve"> </w:t>
      </w:r>
      <w:r w:rsidR="00BB6599" w:rsidRPr="00AB6EC5">
        <w:rPr>
          <w:color w:val="000000" w:themeColor="text1"/>
          <w:sz w:val="21"/>
          <w:szCs w:val="21"/>
          <w:lang w:val="en-AU"/>
        </w:rPr>
        <w:t>determinants of health, such as housing</w:t>
      </w:r>
      <w:r w:rsidR="0096145A" w:rsidRPr="00AB6EC5">
        <w:rPr>
          <w:color w:val="000000" w:themeColor="text1"/>
          <w:sz w:val="21"/>
          <w:szCs w:val="21"/>
          <w:lang w:val="en-AU"/>
        </w:rPr>
        <w:t>, are addressed</w:t>
      </w:r>
      <w:r w:rsidR="000C44D2" w:rsidRPr="00AB6EC5">
        <w:rPr>
          <w:color w:val="000000" w:themeColor="text1"/>
          <w:sz w:val="21"/>
          <w:szCs w:val="21"/>
          <w:lang w:val="en-AU"/>
        </w:rPr>
        <w:t xml:space="preserve">. </w:t>
      </w:r>
    </w:p>
    <w:p w14:paraId="0FEC32E5" w14:textId="77777777" w:rsidR="001424E2" w:rsidRPr="00AB6EC5" w:rsidRDefault="001424E2" w:rsidP="00660DAA">
      <w:pPr>
        <w:rPr>
          <w:sz w:val="21"/>
          <w:szCs w:val="21"/>
          <w:lang w:val="en-AU"/>
        </w:rPr>
      </w:pPr>
    </w:p>
    <w:p w14:paraId="13E9EED1" w14:textId="42277702" w:rsidR="00167A2C" w:rsidRDefault="000C44D2" w:rsidP="00BA6DFC">
      <w:pPr>
        <w:rPr>
          <w:color w:val="000000" w:themeColor="text1"/>
          <w:sz w:val="21"/>
          <w:szCs w:val="21"/>
          <w:lang w:val="en-AU"/>
        </w:rPr>
      </w:pPr>
      <w:r w:rsidRPr="00AB6EC5">
        <w:rPr>
          <w:sz w:val="21"/>
          <w:szCs w:val="21"/>
          <w:lang w:val="en-AU"/>
        </w:rPr>
        <w:t>Preventing gender-based violence is preventive health. A</w:t>
      </w:r>
      <w:r w:rsidR="00E62C08" w:rsidRPr="00AB6EC5">
        <w:rPr>
          <w:sz w:val="21"/>
          <w:szCs w:val="21"/>
          <w:lang w:val="en-AU"/>
        </w:rPr>
        <w:t>n effective</w:t>
      </w:r>
      <w:r w:rsidR="006913A7" w:rsidRPr="00AB6EC5">
        <w:rPr>
          <w:sz w:val="21"/>
          <w:szCs w:val="21"/>
          <w:lang w:val="en-AU"/>
        </w:rPr>
        <w:t xml:space="preserve"> national policy approac</w:t>
      </w:r>
      <w:r w:rsidR="00BF0FFA" w:rsidRPr="00AB6EC5">
        <w:rPr>
          <w:sz w:val="21"/>
          <w:szCs w:val="21"/>
          <w:lang w:val="en-AU"/>
        </w:rPr>
        <w:t xml:space="preserve">h is </w:t>
      </w:r>
      <w:r w:rsidR="007A7A7A" w:rsidRPr="00AB6EC5">
        <w:rPr>
          <w:sz w:val="21"/>
          <w:szCs w:val="21"/>
          <w:lang w:val="en-AU"/>
        </w:rPr>
        <w:t xml:space="preserve">one that is implemented across </w:t>
      </w:r>
      <w:r w:rsidR="00D65CEE" w:rsidRPr="00AB6EC5">
        <w:rPr>
          <w:sz w:val="21"/>
          <w:szCs w:val="21"/>
          <w:lang w:val="en-AU"/>
        </w:rPr>
        <w:t>whole</w:t>
      </w:r>
      <w:r w:rsidR="0037138F" w:rsidRPr="00AB6EC5">
        <w:rPr>
          <w:sz w:val="21"/>
          <w:szCs w:val="21"/>
          <w:lang w:val="en-AU"/>
        </w:rPr>
        <w:t>-</w:t>
      </w:r>
      <w:r w:rsidR="00D65CEE" w:rsidRPr="00AB6EC5">
        <w:rPr>
          <w:sz w:val="21"/>
          <w:szCs w:val="21"/>
          <w:lang w:val="en-AU"/>
        </w:rPr>
        <w:t>of</w:t>
      </w:r>
      <w:r w:rsidR="0037138F" w:rsidRPr="00AB6EC5">
        <w:rPr>
          <w:sz w:val="21"/>
          <w:szCs w:val="21"/>
          <w:lang w:val="en-AU"/>
        </w:rPr>
        <w:t>-</w:t>
      </w:r>
      <w:r w:rsidR="00D65CEE" w:rsidRPr="00AB6EC5">
        <w:rPr>
          <w:sz w:val="21"/>
          <w:szCs w:val="21"/>
          <w:lang w:val="en-AU"/>
        </w:rPr>
        <w:t>government</w:t>
      </w:r>
      <w:r w:rsidR="007A7A7A" w:rsidRPr="00AB6EC5">
        <w:rPr>
          <w:sz w:val="21"/>
          <w:szCs w:val="21"/>
          <w:lang w:val="en-AU"/>
        </w:rPr>
        <w:t xml:space="preserve"> and</w:t>
      </w:r>
      <w:r w:rsidR="006913A7" w:rsidRPr="00AB6EC5">
        <w:rPr>
          <w:sz w:val="21"/>
          <w:szCs w:val="21"/>
          <w:lang w:val="en-AU"/>
        </w:rPr>
        <w:t xml:space="preserve"> aligns </w:t>
      </w:r>
      <w:r w:rsidRPr="00AB6EC5">
        <w:rPr>
          <w:sz w:val="21"/>
          <w:szCs w:val="21"/>
          <w:lang w:val="en-AU"/>
        </w:rPr>
        <w:t>health</w:t>
      </w:r>
      <w:r w:rsidR="007C5553" w:rsidRPr="00AB6EC5">
        <w:rPr>
          <w:sz w:val="21"/>
          <w:szCs w:val="21"/>
          <w:lang w:val="en-AU"/>
        </w:rPr>
        <w:t xml:space="preserve"> </w:t>
      </w:r>
      <w:r w:rsidR="00DC644E" w:rsidRPr="00AB6EC5">
        <w:rPr>
          <w:sz w:val="21"/>
          <w:szCs w:val="21"/>
          <w:lang w:val="en-AU"/>
        </w:rPr>
        <w:t xml:space="preserve">and </w:t>
      </w:r>
      <w:r w:rsidRPr="00AB6EC5">
        <w:rPr>
          <w:sz w:val="21"/>
          <w:szCs w:val="21"/>
          <w:lang w:val="en-AU"/>
        </w:rPr>
        <w:t xml:space="preserve">prevention </w:t>
      </w:r>
      <w:r w:rsidR="00DC644E" w:rsidRPr="00AB6EC5">
        <w:rPr>
          <w:sz w:val="21"/>
          <w:szCs w:val="21"/>
          <w:lang w:val="en-AU"/>
        </w:rPr>
        <w:t>with</w:t>
      </w:r>
      <w:r w:rsidR="006913A7" w:rsidRPr="00AB6EC5">
        <w:rPr>
          <w:sz w:val="21"/>
          <w:szCs w:val="21"/>
          <w:lang w:val="en-AU"/>
        </w:rPr>
        <w:t xml:space="preserve"> addressing</w:t>
      </w:r>
      <w:r w:rsidRPr="00AB6EC5">
        <w:rPr>
          <w:sz w:val="21"/>
          <w:szCs w:val="21"/>
          <w:lang w:val="en-AU"/>
        </w:rPr>
        <w:t xml:space="preserve"> gendered violence</w:t>
      </w:r>
      <w:r w:rsidR="001D058E" w:rsidRPr="00AB6EC5">
        <w:rPr>
          <w:sz w:val="21"/>
          <w:szCs w:val="21"/>
          <w:lang w:val="en-AU"/>
        </w:rPr>
        <w:t xml:space="preserve"> across </w:t>
      </w:r>
      <w:r w:rsidR="00DC644E" w:rsidRPr="00AB6EC5">
        <w:rPr>
          <w:sz w:val="21"/>
          <w:szCs w:val="21"/>
          <w:lang w:val="en-AU"/>
        </w:rPr>
        <w:t xml:space="preserve">national </w:t>
      </w:r>
      <w:r w:rsidR="001D058E" w:rsidRPr="00AB6EC5">
        <w:rPr>
          <w:sz w:val="21"/>
          <w:szCs w:val="21"/>
          <w:lang w:val="en-AU"/>
        </w:rPr>
        <w:t>health, social and other relevant strategies</w:t>
      </w:r>
      <w:r w:rsidR="00DE1F47" w:rsidRPr="00AB6EC5">
        <w:rPr>
          <w:sz w:val="21"/>
          <w:szCs w:val="21"/>
          <w:lang w:val="en-AU"/>
        </w:rPr>
        <w:t>.</w:t>
      </w:r>
      <w:r w:rsidRPr="00AB6EC5">
        <w:rPr>
          <w:sz w:val="21"/>
          <w:szCs w:val="21"/>
          <w:lang w:val="en-AU"/>
        </w:rPr>
        <w:t xml:space="preserve"> </w:t>
      </w:r>
      <w:bookmarkStart w:id="4" w:name="_x08bk2744mac" w:colFirst="0" w:colLast="0"/>
      <w:bookmarkStart w:id="5" w:name="_1r2q62wcngoy" w:colFirst="0" w:colLast="0"/>
      <w:bookmarkEnd w:id="4"/>
      <w:bookmarkEnd w:id="5"/>
      <w:r w:rsidR="007B22DE" w:rsidRPr="00AB6EC5">
        <w:rPr>
          <w:sz w:val="21"/>
          <w:szCs w:val="21"/>
          <w:lang w:val="en-AU"/>
        </w:rPr>
        <w:t>A commitment to sustainably funding the implementation of strategies is also vital</w:t>
      </w:r>
      <w:r w:rsidR="00C4082D" w:rsidRPr="00AB6EC5">
        <w:rPr>
          <w:sz w:val="21"/>
          <w:szCs w:val="21"/>
          <w:lang w:val="en-AU"/>
        </w:rPr>
        <w:t xml:space="preserve"> </w:t>
      </w:r>
      <w:r w:rsidR="00457479" w:rsidRPr="00AB6EC5">
        <w:rPr>
          <w:sz w:val="21"/>
          <w:szCs w:val="21"/>
          <w:lang w:val="en-AU"/>
        </w:rPr>
        <w:t>for</w:t>
      </w:r>
      <w:r w:rsidR="00C4082D" w:rsidRPr="00AB6EC5">
        <w:rPr>
          <w:sz w:val="21"/>
          <w:szCs w:val="21"/>
          <w:lang w:val="en-AU"/>
        </w:rPr>
        <w:t xml:space="preserve"> </w:t>
      </w:r>
      <w:r w:rsidR="00AF5FBF" w:rsidRPr="00AB6EC5">
        <w:rPr>
          <w:sz w:val="21"/>
          <w:szCs w:val="21"/>
          <w:lang w:val="en-AU"/>
        </w:rPr>
        <w:t xml:space="preserve">a prevention system </w:t>
      </w:r>
      <w:r w:rsidR="00AF5FBF" w:rsidRPr="00AB6EC5">
        <w:rPr>
          <w:color w:val="000000" w:themeColor="text1"/>
          <w:sz w:val="21"/>
          <w:szCs w:val="21"/>
          <w:lang w:val="en-AU"/>
        </w:rPr>
        <w:t>that meets the holistic needs of individuals, families and communities.</w:t>
      </w:r>
    </w:p>
    <w:p w14:paraId="3F480AA4" w14:textId="77777777" w:rsidR="00167A2C" w:rsidRDefault="00167A2C" w:rsidP="00BA6DFC">
      <w:pPr>
        <w:rPr>
          <w:color w:val="000000" w:themeColor="text1"/>
          <w:sz w:val="21"/>
          <w:szCs w:val="21"/>
          <w:lang w:val="en-AU"/>
        </w:rPr>
      </w:pPr>
    </w:p>
    <w:p w14:paraId="5B314967" w14:textId="3ACECE09" w:rsidR="00167A2C" w:rsidRDefault="00167A2C" w:rsidP="00167A2C">
      <w:pPr>
        <w:jc w:val="center"/>
        <w:rPr>
          <w:color w:val="000000" w:themeColor="text1"/>
          <w:sz w:val="21"/>
          <w:szCs w:val="21"/>
          <w:lang w:val="en-AU"/>
        </w:rPr>
      </w:pPr>
      <w:r>
        <w:rPr>
          <w:color w:val="000000" w:themeColor="text1"/>
          <w:sz w:val="21"/>
          <w:szCs w:val="21"/>
          <w:lang w:val="en-AU"/>
        </w:rPr>
        <w:t>---</w:t>
      </w:r>
    </w:p>
    <w:p w14:paraId="0E048A1F" w14:textId="0B8BF5B9" w:rsidR="004261B3" w:rsidRDefault="004261B3">
      <w:pPr>
        <w:rPr>
          <w:rFonts w:ascii="Rubik" w:eastAsia="Rubik" w:hAnsi="Rubik" w:cs="Rubik"/>
          <w:color w:val="5A006F"/>
          <w:sz w:val="24"/>
          <w:szCs w:val="24"/>
        </w:rPr>
      </w:pPr>
    </w:p>
    <w:p w14:paraId="5C21E045" w14:textId="09EAC141" w:rsidR="008F25C6" w:rsidRDefault="006A143E" w:rsidP="001D0F3B">
      <w:pPr>
        <w:pStyle w:val="Title"/>
      </w:pPr>
      <w:r>
        <w:t>About us</w:t>
      </w:r>
    </w:p>
    <w:p w14:paraId="1AA58FC9" w14:textId="77777777" w:rsidR="008F25C6" w:rsidRPr="00AB6EC5" w:rsidRDefault="006A143E" w:rsidP="001D0F3B">
      <w:pPr>
        <w:rPr>
          <w:sz w:val="21"/>
          <w:szCs w:val="21"/>
        </w:rPr>
      </w:pPr>
      <w:r w:rsidRPr="00AB6EC5">
        <w:rPr>
          <w:sz w:val="21"/>
          <w:szCs w:val="21"/>
        </w:rPr>
        <w:t xml:space="preserve">The Australian Women’s Health </w:t>
      </w:r>
      <w:r w:rsidR="002B5496" w:rsidRPr="00AB6EC5">
        <w:rPr>
          <w:sz w:val="21"/>
          <w:szCs w:val="21"/>
        </w:rPr>
        <w:t>Alliance</w:t>
      </w:r>
      <w:r w:rsidRPr="00AB6EC5">
        <w:rPr>
          <w:sz w:val="21"/>
          <w:szCs w:val="21"/>
        </w:rPr>
        <w:t xml:space="preserve"> provides a national voice on women’s health. </w:t>
      </w:r>
      <w:r w:rsidR="002B5496" w:rsidRPr="00AB6EC5">
        <w:rPr>
          <w:sz w:val="21"/>
          <w:szCs w:val="21"/>
        </w:rPr>
        <w:t>We highlight how gender shapes experiences of health and health care, recognising that women’s health is determined by social, cultural, environmental, and political factors.</w:t>
      </w:r>
    </w:p>
    <w:p w14:paraId="34E687F3" w14:textId="77777777" w:rsidR="0013395E" w:rsidRPr="00AB6EC5" w:rsidRDefault="0013395E" w:rsidP="001D0F3B">
      <w:pPr>
        <w:rPr>
          <w:sz w:val="21"/>
          <w:szCs w:val="21"/>
        </w:rPr>
      </w:pPr>
    </w:p>
    <w:p w14:paraId="2CC666AC" w14:textId="77777777" w:rsidR="008F25C6" w:rsidRDefault="006A143E" w:rsidP="001D0F3B">
      <w:pPr>
        <w:pStyle w:val="Title"/>
      </w:pPr>
      <w:bookmarkStart w:id="6" w:name="_o7z4ctmkhc0d" w:colFirst="0" w:colLast="0"/>
      <w:bookmarkEnd w:id="6"/>
      <w:r>
        <w:t>Contact us</w:t>
      </w:r>
    </w:p>
    <w:p w14:paraId="525D9D17" w14:textId="77777777" w:rsidR="002B5496" w:rsidRPr="00AB6EC5" w:rsidRDefault="002B5496" w:rsidP="001D0F3B">
      <w:pPr>
        <w:rPr>
          <w:sz w:val="21"/>
          <w:szCs w:val="21"/>
        </w:rPr>
      </w:pPr>
      <w:r w:rsidRPr="00AB6EC5">
        <w:rPr>
          <w:sz w:val="21"/>
          <w:szCs w:val="21"/>
        </w:rPr>
        <w:t>Enquiries:</w:t>
      </w:r>
      <w:r w:rsidRPr="00AB6EC5">
        <w:rPr>
          <w:sz w:val="21"/>
          <w:szCs w:val="21"/>
        </w:rPr>
        <w:tab/>
      </w:r>
      <w:hyperlink r:id="rId11" w:history="1">
        <w:r w:rsidRPr="00AB6EC5">
          <w:rPr>
            <w:rStyle w:val="Hyperlink"/>
            <w:sz w:val="21"/>
            <w:szCs w:val="21"/>
          </w:rPr>
          <w:t>Info@AustralianWomensHealth.org</w:t>
        </w:r>
      </w:hyperlink>
      <w:r w:rsidRPr="00AB6EC5">
        <w:rPr>
          <w:sz w:val="21"/>
          <w:szCs w:val="21"/>
        </w:rPr>
        <w:t xml:space="preserve">    </w:t>
      </w:r>
    </w:p>
    <w:p w14:paraId="51106066" w14:textId="7E425F7B" w:rsidR="007744B1" w:rsidRPr="00AB6EC5" w:rsidRDefault="002B5496" w:rsidP="001D0F3B">
      <w:pPr>
        <w:rPr>
          <w:sz w:val="21"/>
          <w:szCs w:val="21"/>
        </w:rPr>
      </w:pPr>
      <w:r w:rsidRPr="00AB6EC5">
        <w:rPr>
          <w:sz w:val="21"/>
          <w:szCs w:val="21"/>
        </w:rPr>
        <w:t>Web:</w:t>
      </w:r>
      <w:r w:rsidRPr="00AB6EC5">
        <w:rPr>
          <w:sz w:val="21"/>
          <w:szCs w:val="21"/>
        </w:rPr>
        <w:tab/>
      </w:r>
      <w:r w:rsidRPr="00AB6EC5">
        <w:rPr>
          <w:sz w:val="21"/>
          <w:szCs w:val="21"/>
        </w:rPr>
        <w:tab/>
      </w:r>
      <w:hyperlink r:id="rId12">
        <w:r w:rsidRPr="00AB6EC5">
          <w:rPr>
            <w:rStyle w:val="Hyperlink"/>
            <w:sz w:val="21"/>
            <w:szCs w:val="21"/>
          </w:rPr>
          <w:t>AustralianWomensHealth.org</w:t>
        </w:r>
      </w:hyperlink>
      <w:r w:rsidRPr="00AB6EC5">
        <w:rPr>
          <w:sz w:val="21"/>
          <w:szCs w:val="21"/>
        </w:rPr>
        <w:t xml:space="preserve">   </w:t>
      </w:r>
    </w:p>
    <w:p w14:paraId="1AE98467" w14:textId="77777777" w:rsidR="00596B85" w:rsidRDefault="00596B85" w:rsidP="001D0F3B">
      <w:pPr>
        <w:rPr>
          <w:sz w:val="21"/>
          <w:szCs w:val="21"/>
        </w:rPr>
      </w:pPr>
    </w:p>
    <w:p w14:paraId="061EC1A7" w14:textId="77777777" w:rsidR="00167A2C" w:rsidRDefault="00B37EC0" w:rsidP="001D0F3B">
      <w:pPr>
        <w:rPr>
          <w:sz w:val="21"/>
          <w:szCs w:val="21"/>
        </w:rPr>
        <w:sectPr w:rsidR="00167A2C" w:rsidSect="002B5496">
          <w:headerReference w:type="default" r:id="rId13"/>
          <w:footerReference w:type="default" r:id="rId14"/>
          <w:headerReference w:type="first" r:id="rId15"/>
          <w:footerReference w:type="first" r:id="rId16"/>
          <w:endnotePr>
            <w:numFmt w:val="decimal"/>
          </w:endnotePr>
          <w:pgSz w:w="11909" w:h="16834"/>
          <w:pgMar w:top="2127" w:right="1417" w:bottom="1417" w:left="1417" w:header="720" w:footer="720" w:gutter="0"/>
          <w:pgNumType w:start="1"/>
          <w:cols w:space="720"/>
          <w:titlePg/>
        </w:sectPr>
      </w:pPr>
      <w:r w:rsidRPr="00AB6EC5">
        <w:rPr>
          <w:sz w:val="21"/>
          <w:szCs w:val="21"/>
        </w:rPr>
        <w:t>If you, or someone you know</w:t>
      </w:r>
      <w:r w:rsidR="00C614CD" w:rsidRPr="00AB6EC5">
        <w:rPr>
          <w:sz w:val="21"/>
          <w:szCs w:val="21"/>
        </w:rPr>
        <w:t>, is being impacted by domestic, family or sexual violence</w:t>
      </w:r>
      <w:r w:rsidR="00AA19EF" w:rsidRPr="00AB6EC5">
        <w:rPr>
          <w:sz w:val="21"/>
          <w:szCs w:val="21"/>
        </w:rPr>
        <w:t xml:space="preserve"> please </w:t>
      </w:r>
      <w:r w:rsidR="00BD6569" w:rsidRPr="00AB6EC5">
        <w:rPr>
          <w:sz w:val="21"/>
          <w:szCs w:val="21"/>
        </w:rPr>
        <w:t>visit</w:t>
      </w:r>
      <w:r w:rsidR="00AA19EF" w:rsidRPr="00AB6EC5">
        <w:rPr>
          <w:sz w:val="21"/>
          <w:szCs w:val="21"/>
        </w:rPr>
        <w:t xml:space="preserve"> </w:t>
      </w:r>
      <w:hyperlink r:id="rId17" w:history="1">
        <w:r w:rsidR="001C5D42" w:rsidRPr="00AB6EC5">
          <w:rPr>
            <w:rStyle w:val="Hyperlink"/>
            <w:sz w:val="21"/>
            <w:szCs w:val="21"/>
          </w:rPr>
          <w:t>18</w:t>
        </w:r>
        <w:r w:rsidR="009A7564" w:rsidRPr="00AB6EC5">
          <w:rPr>
            <w:rStyle w:val="Hyperlink"/>
            <w:sz w:val="21"/>
            <w:szCs w:val="21"/>
          </w:rPr>
          <w:t>00</w:t>
        </w:r>
        <w:r w:rsidR="00BD6569" w:rsidRPr="00AB6EC5">
          <w:rPr>
            <w:rStyle w:val="Hyperlink"/>
            <w:sz w:val="21"/>
            <w:szCs w:val="21"/>
          </w:rPr>
          <w:t xml:space="preserve"> R</w:t>
        </w:r>
        <w:r w:rsidR="007744B1" w:rsidRPr="00AB6EC5">
          <w:rPr>
            <w:rStyle w:val="Hyperlink"/>
            <w:sz w:val="21"/>
            <w:szCs w:val="21"/>
          </w:rPr>
          <w:t>ESPECT</w:t>
        </w:r>
      </w:hyperlink>
      <w:r w:rsidR="00C614CD" w:rsidRPr="00AB6EC5">
        <w:rPr>
          <w:sz w:val="21"/>
          <w:szCs w:val="21"/>
        </w:rPr>
        <w:t xml:space="preserve"> </w:t>
      </w:r>
      <w:r w:rsidR="00BD6569" w:rsidRPr="00AB6EC5">
        <w:rPr>
          <w:sz w:val="21"/>
          <w:szCs w:val="21"/>
        </w:rPr>
        <w:t xml:space="preserve">or call </w:t>
      </w:r>
      <w:r w:rsidR="00CB7F9E" w:rsidRPr="00AB6EC5">
        <w:rPr>
          <w:sz w:val="21"/>
          <w:szCs w:val="21"/>
        </w:rPr>
        <w:t xml:space="preserve">1800 737 732. Support is also available for </w:t>
      </w:r>
      <w:r w:rsidR="00DC44D6" w:rsidRPr="00AB6EC5">
        <w:rPr>
          <w:sz w:val="21"/>
          <w:szCs w:val="21"/>
        </w:rPr>
        <w:t>professional</w:t>
      </w:r>
      <w:r w:rsidR="00331923" w:rsidRPr="00AB6EC5">
        <w:rPr>
          <w:sz w:val="21"/>
          <w:szCs w:val="21"/>
        </w:rPr>
        <w:t xml:space="preserve">s who work with people </w:t>
      </w:r>
      <w:r w:rsidR="008C197F" w:rsidRPr="00AB6EC5">
        <w:rPr>
          <w:sz w:val="21"/>
          <w:szCs w:val="21"/>
        </w:rPr>
        <w:t>impacted by domestic, family or sexual violence.</w:t>
      </w:r>
      <w:r w:rsidR="00DC44D6" w:rsidRPr="00AB6EC5">
        <w:rPr>
          <w:sz w:val="21"/>
          <w:szCs w:val="21"/>
        </w:rPr>
        <w:t xml:space="preserve"> </w:t>
      </w:r>
      <w:bookmarkStart w:id="7" w:name="_j43bgxhp4yc1" w:colFirst="0" w:colLast="0"/>
      <w:bookmarkEnd w:id="7"/>
    </w:p>
    <w:p w14:paraId="3E0B6CA9" w14:textId="12A5DADA" w:rsidR="008F25C6" w:rsidRDefault="00D759BD" w:rsidP="001D0F3B">
      <w:pPr>
        <w:pStyle w:val="Title"/>
      </w:pPr>
      <w:r>
        <w:lastRenderedPageBreak/>
        <w:t>Suggested c</w:t>
      </w:r>
      <w:r w:rsidR="006A143E">
        <w:t>itation</w:t>
      </w:r>
    </w:p>
    <w:p w14:paraId="7D9EB2A2" w14:textId="6970554E" w:rsidR="00660DAA" w:rsidRPr="00AB6EC5" w:rsidRDefault="006A143E" w:rsidP="001D0F3B">
      <w:pPr>
        <w:rPr>
          <w:sz w:val="21"/>
          <w:szCs w:val="21"/>
        </w:rPr>
      </w:pPr>
      <w:r w:rsidRPr="00AB6EC5">
        <w:rPr>
          <w:sz w:val="21"/>
          <w:szCs w:val="21"/>
        </w:rPr>
        <w:t xml:space="preserve">Australian Women’s Health </w:t>
      </w:r>
      <w:r w:rsidR="008A6F68" w:rsidRPr="00AB6EC5">
        <w:rPr>
          <w:sz w:val="21"/>
          <w:szCs w:val="21"/>
        </w:rPr>
        <w:t>Alliance</w:t>
      </w:r>
      <w:r w:rsidRPr="00AB6EC5">
        <w:rPr>
          <w:sz w:val="21"/>
          <w:szCs w:val="21"/>
        </w:rPr>
        <w:t xml:space="preserve">, </w:t>
      </w:r>
      <w:r w:rsidRPr="00AB6EC5">
        <w:rPr>
          <w:i/>
          <w:iCs/>
          <w:sz w:val="21"/>
          <w:szCs w:val="21"/>
        </w:rPr>
        <w:t xml:space="preserve">Policy Brief – </w:t>
      </w:r>
      <w:r w:rsidR="00660DAA" w:rsidRPr="00AB6EC5">
        <w:rPr>
          <w:i/>
          <w:iCs/>
          <w:sz w:val="21"/>
          <w:szCs w:val="21"/>
        </w:rPr>
        <w:t xml:space="preserve">Addressing the </w:t>
      </w:r>
      <w:r w:rsidR="00D80E2A" w:rsidRPr="00AB6EC5">
        <w:rPr>
          <w:i/>
          <w:iCs/>
          <w:sz w:val="21"/>
          <w:szCs w:val="21"/>
        </w:rPr>
        <w:t>g</w:t>
      </w:r>
      <w:r w:rsidR="00660DAA" w:rsidRPr="00AB6EC5">
        <w:rPr>
          <w:i/>
          <w:iCs/>
          <w:sz w:val="21"/>
          <w:szCs w:val="21"/>
        </w:rPr>
        <w:t xml:space="preserve">endered </w:t>
      </w:r>
      <w:r w:rsidR="00D80E2A" w:rsidRPr="00AB6EC5">
        <w:rPr>
          <w:i/>
          <w:iCs/>
          <w:sz w:val="21"/>
          <w:szCs w:val="21"/>
        </w:rPr>
        <w:t>n</w:t>
      </w:r>
      <w:r w:rsidR="00660DAA" w:rsidRPr="00AB6EC5">
        <w:rPr>
          <w:i/>
          <w:iCs/>
          <w:sz w:val="21"/>
          <w:szCs w:val="21"/>
        </w:rPr>
        <w:t xml:space="preserve">ature of </w:t>
      </w:r>
      <w:r w:rsidR="00D80E2A" w:rsidRPr="00AB6EC5">
        <w:rPr>
          <w:i/>
          <w:iCs/>
          <w:sz w:val="21"/>
          <w:szCs w:val="21"/>
        </w:rPr>
        <w:t>v</w:t>
      </w:r>
      <w:r w:rsidR="00660DAA" w:rsidRPr="00AB6EC5">
        <w:rPr>
          <w:i/>
          <w:iCs/>
          <w:sz w:val="21"/>
          <w:szCs w:val="21"/>
        </w:rPr>
        <w:t xml:space="preserve">iolence and its </w:t>
      </w:r>
      <w:r w:rsidR="00D80E2A" w:rsidRPr="00AB6EC5">
        <w:rPr>
          <w:i/>
          <w:iCs/>
          <w:sz w:val="21"/>
          <w:szCs w:val="21"/>
        </w:rPr>
        <w:t>h</w:t>
      </w:r>
      <w:r w:rsidR="00660DAA" w:rsidRPr="00AB6EC5">
        <w:rPr>
          <w:i/>
          <w:iCs/>
          <w:sz w:val="21"/>
          <w:szCs w:val="21"/>
        </w:rPr>
        <w:t xml:space="preserve">ealth </w:t>
      </w:r>
      <w:r w:rsidR="00D80E2A" w:rsidRPr="00AB6EC5">
        <w:rPr>
          <w:i/>
          <w:iCs/>
          <w:sz w:val="21"/>
          <w:szCs w:val="21"/>
        </w:rPr>
        <w:t>i</w:t>
      </w:r>
      <w:r w:rsidR="00660DAA" w:rsidRPr="00AB6EC5">
        <w:rPr>
          <w:i/>
          <w:iCs/>
          <w:sz w:val="21"/>
          <w:szCs w:val="21"/>
        </w:rPr>
        <w:t>mpacts</w:t>
      </w:r>
      <w:r w:rsidR="00660DAA" w:rsidRPr="00AB6EC5">
        <w:rPr>
          <w:sz w:val="21"/>
          <w:szCs w:val="21"/>
        </w:rPr>
        <w:t>,</w:t>
      </w:r>
      <w:r w:rsidR="008A6F68" w:rsidRPr="00AB6EC5">
        <w:rPr>
          <w:sz w:val="21"/>
          <w:szCs w:val="21"/>
        </w:rPr>
        <w:t xml:space="preserve"> </w:t>
      </w:r>
      <w:r w:rsidR="000B6654" w:rsidRPr="00AB6EC5">
        <w:rPr>
          <w:sz w:val="21"/>
          <w:szCs w:val="21"/>
        </w:rPr>
        <w:t xml:space="preserve">Australian Women’s Health Alliance, </w:t>
      </w:r>
      <w:r w:rsidR="00660DAA" w:rsidRPr="00AB6EC5">
        <w:rPr>
          <w:sz w:val="21"/>
          <w:szCs w:val="21"/>
        </w:rPr>
        <w:t>2023</w:t>
      </w:r>
      <w:r w:rsidR="000B6654" w:rsidRPr="00AB6EC5">
        <w:rPr>
          <w:sz w:val="21"/>
          <w:szCs w:val="21"/>
        </w:rPr>
        <w:t>.</w:t>
      </w:r>
    </w:p>
    <w:p w14:paraId="1789B282" w14:textId="77777777" w:rsidR="002E5A68" w:rsidRPr="00AB6EC5" w:rsidRDefault="002E5A68" w:rsidP="001D0F3B">
      <w:pPr>
        <w:rPr>
          <w:sz w:val="21"/>
          <w:szCs w:val="21"/>
        </w:rPr>
      </w:pPr>
    </w:p>
    <w:p w14:paraId="0F769246" w14:textId="4C37E6A3" w:rsidR="008F25C6" w:rsidRPr="00AB6EC5" w:rsidRDefault="006A143E" w:rsidP="001D0F3B">
      <w:pPr>
        <w:rPr>
          <w:i/>
          <w:sz w:val="21"/>
          <w:szCs w:val="21"/>
        </w:rPr>
      </w:pPr>
      <w:r w:rsidRPr="00AB6EC5">
        <w:rPr>
          <w:i/>
          <w:sz w:val="21"/>
          <w:szCs w:val="21"/>
        </w:rPr>
        <w:t>We acknowledge the Traditional Custodians of the lands and waters on which we live and work.</w:t>
      </w:r>
    </w:p>
    <w:p w14:paraId="6DFE13E0" w14:textId="4EE36006" w:rsidR="008F25C6" w:rsidRDefault="006A143E">
      <w:pPr>
        <w:rPr>
          <w:i/>
          <w:sz w:val="21"/>
          <w:szCs w:val="21"/>
        </w:rPr>
      </w:pPr>
      <w:r w:rsidRPr="00AB6EC5">
        <w:rPr>
          <w:i/>
          <w:sz w:val="21"/>
          <w:szCs w:val="21"/>
        </w:rPr>
        <w:t>We pay our respect to Elders past and present. Sovereignty has never been ceded.</w:t>
      </w:r>
      <w:r w:rsidR="00A3768D" w:rsidRPr="00AB6EC5">
        <w:rPr>
          <w:i/>
          <w:sz w:val="21"/>
          <w:szCs w:val="21"/>
        </w:rPr>
        <w:t xml:space="preserve"> </w:t>
      </w:r>
    </w:p>
    <w:p w14:paraId="412E326E" w14:textId="77777777" w:rsidR="00167A2C" w:rsidRPr="00AB6EC5" w:rsidRDefault="00167A2C">
      <w:pPr>
        <w:rPr>
          <w:rFonts w:ascii="Rubik" w:eastAsia="Rubik" w:hAnsi="Rubik" w:cs="Rubik"/>
          <w:color w:val="5A006F"/>
          <w:sz w:val="21"/>
          <w:szCs w:val="21"/>
        </w:rPr>
      </w:pPr>
    </w:p>
    <w:sectPr w:rsidR="00167A2C" w:rsidRPr="00AB6EC5" w:rsidSect="002B5496">
      <w:footerReference w:type="first" r:id="rId18"/>
      <w:endnotePr>
        <w:numFmt w:val="decimal"/>
      </w:endnotePr>
      <w:pgSz w:w="11909" w:h="16834"/>
      <w:pgMar w:top="2127" w:right="1417" w:bottom="1417" w:left="141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AE9CA" w14:textId="77777777" w:rsidR="00CB46FA" w:rsidRDefault="00CB46FA">
      <w:pPr>
        <w:spacing w:line="240" w:lineRule="auto"/>
      </w:pPr>
      <w:r>
        <w:separator/>
      </w:r>
    </w:p>
  </w:endnote>
  <w:endnote w:type="continuationSeparator" w:id="0">
    <w:p w14:paraId="25473D63" w14:textId="77777777" w:rsidR="00CB46FA" w:rsidRDefault="00CB46FA">
      <w:pPr>
        <w:spacing w:line="240" w:lineRule="auto"/>
      </w:pPr>
      <w:r>
        <w:continuationSeparator/>
      </w:r>
    </w:p>
  </w:endnote>
  <w:endnote w:type="continuationNotice" w:id="1">
    <w:p w14:paraId="6C8E9226" w14:textId="77777777" w:rsidR="00CB46FA" w:rsidRDefault="00CB46FA">
      <w:pPr>
        <w:spacing w:line="240" w:lineRule="auto"/>
      </w:pPr>
    </w:p>
  </w:endnote>
  <w:endnote w:id="2">
    <w:p w14:paraId="359BADD2" w14:textId="12054B2B" w:rsidR="00927616" w:rsidRPr="00891D79" w:rsidRDefault="00927616" w:rsidP="00147774">
      <w:pPr>
        <w:pStyle w:val="EndnoteText"/>
        <w:spacing w:line="276" w:lineRule="auto"/>
        <w:rPr>
          <w:rFonts w:ascii="Calibri" w:hAnsi="Calibri" w:cs="Calibri"/>
          <w:sz w:val="18"/>
          <w:szCs w:val="18"/>
          <w:highlight w:val="yellow"/>
        </w:rPr>
      </w:pPr>
      <w:r w:rsidRPr="00B37E4F">
        <w:rPr>
          <w:rStyle w:val="EndnoteReference"/>
          <w:rFonts w:ascii="Calibri" w:hAnsi="Calibri" w:cs="Calibri"/>
          <w:sz w:val="18"/>
          <w:szCs w:val="18"/>
        </w:rPr>
        <w:endnoteRef/>
      </w:r>
      <w:r w:rsidRPr="00B37E4F">
        <w:rPr>
          <w:rFonts w:ascii="Calibri" w:hAnsi="Calibri" w:cs="Calibri"/>
          <w:sz w:val="18"/>
          <w:szCs w:val="18"/>
        </w:rPr>
        <w:t xml:space="preserve"> National research includes: Australian Bureau of Statistics</w:t>
      </w:r>
      <w:r w:rsidR="00A10702" w:rsidRPr="00B37E4F">
        <w:rPr>
          <w:rFonts w:ascii="Calibri" w:hAnsi="Calibri" w:cs="Calibri"/>
          <w:sz w:val="18"/>
          <w:szCs w:val="18"/>
        </w:rPr>
        <w:t>,</w:t>
      </w:r>
      <w:r w:rsidRPr="00B37E4F">
        <w:rPr>
          <w:rFonts w:ascii="Calibri" w:hAnsi="Calibri" w:cs="Calibri"/>
          <w:sz w:val="18"/>
          <w:szCs w:val="18"/>
        </w:rPr>
        <w:t xml:space="preserve"> </w:t>
      </w:r>
      <w:hyperlink r:id="rId1" w:history="1">
        <w:r w:rsidRPr="00B37E4F">
          <w:rPr>
            <w:rStyle w:val="Hyperlink"/>
            <w:rFonts w:ascii="Calibri" w:hAnsi="Calibri" w:cs="Calibri"/>
            <w:i/>
            <w:iCs/>
            <w:sz w:val="18"/>
            <w:szCs w:val="18"/>
          </w:rPr>
          <w:t>Personal Safety, Australia</w:t>
        </w:r>
      </w:hyperlink>
      <w:r w:rsidR="00A10702" w:rsidRPr="00B37E4F">
        <w:rPr>
          <w:rFonts w:ascii="Calibri" w:hAnsi="Calibri" w:cs="Calibri"/>
          <w:sz w:val="18"/>
          <w:szCs w:val="18"/>
        </w:rPr>
        <w:t>,</w:t>
      </w:r>
      <w:r w:rsidRPr="00B37E4F">
        <w:rPr>
          <w:rFonts w:ascii="Calibri" w:hAnsi="Calibri" w:cs="Calibri"/>
          <w:sz w:val="18"/>
          <w:szCs w:val="18"/>
        </w:rPr>
        <w:t xml:space="preserve"> A</w:t>
      </w:r>
      <w:r w:rsidR="00D61501" w:rsidRPr="00B37E4F">
        <w:rPr>
          <w:rFonts w:ascii="Calibri" w:hAnsi="Calibri" w:cs="Calibri"/>
          <w:sz w:val="18"/>
          <w:szCs w:val="18"/>
        </w:rPr>
        <w:t xml:space="preserve">ustralian </w:t>
      </w:r>
      <w:r w:rsidRPr="00B37E4F">
        <w:rPr>
          <w:rFonts w:ascii="Calibri" w:hAnsi="Calibri" w:cs="Calibri"/>
          <w:sz w:val="18"/>
          <w:szCs w:val="18"/>
        </w:rPr>
        <w:t>B</w:t>
      </w:r>
      <w:r w:rsidR="00D61501" w:rsidRPr="00B37E4F">
        <w:rPr>
          <w:rFonts w:ascii="Calibri" w:hAnsi="Calibri" w:cs="Calibri"/>
          <w:sz w:val="18"/>
          <w:szCs w:val="18"/>
        </w:rPr>
        <w:t xml:space="preserve">ureau of </w:t>
      </w:r>
      <w:r w:rsidRPr="00B37E4F">
        <w:rPr>
          <w:rFonts w:ascii="Calibri" w:hAnsi="Calibri" w:cs="Calibri"/>
          <w:sz w:val="18"/>
          <w:szCs w:val="18"/>
        </w:rPr>
        <w:t>S</w:t>
      </w:r>
      <w:r w:rsidR="00D61501" w:rsidRPr="00B37E4F">
        <w:rPr>
          <w:rFonts w:ascii="Calibri" w:hAnsi="Calibri" w:cs="Calibri"/>
          <w:sz w:val="18"/>
          <w:szCs w:val="18"/>
        </w:rPr>
        <w:t>tatistics</w:t>
      </w:r>
      <w:r w:rsidRPr="00B37E4F">
        <w:rPr>
          <w:rFonts w:ascii="Calibri" w:hAnsi="Calibri" w:cs="Calibri"/>
          <w:sz w:val="18"/>
          <w:szCs w:val="18"/>
        </w:rPr>
        <w:t>, 2021-22</w:t>
      </w:r>
      <w:r w:rsidR="00B37E4F">
        <w:rPr>
          <w:rFonts w:ascii="Calibri" w:hAnsi="Calibri" w:cs="Calibri"/>
          <w:sz w:val="18"/>
          <w:szCs w:val="18"/>
        </w:rPr>
        <w:t xml:space="preserve">; </w:t>
      </w:r>
      <w:r w:rsidR="00E10461" w:rsidRPr="00B37E4F">
        <w:rPr>
          <w:rFonts w:ascii="Calibri" w:hAnsi="Calibri" w:cs="Calibri"/>
          <w:sz w:val="18"/>
          <w:szCs w:val="18"/>
        </w:rPr>
        <w:t>Australian Institute of Health and Welfare,</w:t>
      </w:r>
      <w:r w:rsidR="001A6681" w:rsidRPr="00B37E4F">
        <w:rPr>
          <w:rFonts w:ascii="Calibri" w:hAnsi="Calibri" w:cs="Calibri"/>
          <w:sz w:val="18"/>
          <w:szCs w:val="18"/>
        </w:rPr>
        <w:t xml:space="preserve"> </w:t>
      </w:r>
      <w:hyperlink r:id="rId2" w:history="1">
        <w:r w:rsidRPr="00B37E4F">
          <w:rPr>
            <w:rStyle w:val="Hyperlink"/>
            <w:rFonts w:ascii="Calibri" w:hAnsi="Calibri" w:cs="Calibri"/>
            <w:i/>
            <w:iCs/>
            <w:sz w:val="18"/>
            <w:szCs w:val="18"/>
          </w:rPr>
          <w:t>Family, domestic and sexual violence in Australia: continuing the national story</w:t>
        </w:r>
      </w:hyperlink>
      <w:r w:rsidRPr="00B37E4F">
        <w:rPr>
          <w:rFonts w:ascii="Calibri" w:hAnsi="Calibri" w:cs="Calibri"/>
          <w:sz w:val="18"/>
          <w:szCs w:val="18"/>
        </w:rPr>
        <w:t>, A</w:t>
      </w:r>
      <w:r w:rsidR="001A6681" w:rsidRPr="00B37E4F">
        <w:rPr>
          <w:rFonts w:ascii="Calibri" w:hAnsi="Calibri" w:cs="Calibri"/>
          <w:sz w:val="18"/>
          <w:szCs w:val="18"/>
        </w:rPr>
        <w:t>ustralian Government,</w:t>
      </w:r>
      <w:r w:rsidR="00302E2A" w:rsidRPr="00B37E4F">
        <w:rPr>
          <w:rFonts w:ascii="Calibri" w:hAnsi="Calibri" w:cs="Calibri"/>
          <w:sz w:val="18"/>
          <w:szCs w:val="18"/>
        </w:rPr>
        <w:t xml:space="preserve"> </w:t>
      </w:r>
      <w:r w:rsidRPr="00B37E4F">
        <w:rPr>
          <w:rFonts w:ascii="Calibri" w:hAnsi="Calibri" w:cs="Calibri"/>
          <w:sz w:val="18"/>
          <w:szCs w:val="18"/>
        </w:rPr>
        <w:t>2</w:t>
      </w:r>
      <w:r w:rsidR="001A6681" w:rsidRPr="00B37E4F">
        <w:rPr>
          <w:rFonts w:ascii="Calibri" w:hAnsi="Calibri" w:cs="Calibri"/>
          <w:sz w:val="18"/>
          <w:szCs w:val="18"/>
        </w:rPr>
        <w:t>0</w:t>
      </w:r>
      <w:r w:rsidRPr="00B37E4F">
        <w:rPr>
          <w:rFonts w:ascii="Calibri" w:hAnsi="Calibri" w:cs="Calibri"/>
          <w:sz w:val="18"/>
          <w:szCs w:val="18"/>
        </w:rPr>
        <w:t>19</w:t>
      </w:r>
      <w:r w:rsidR="007C6D5D">
        <w:rPr>
          <w:rFonts w:ascii="Calibri" w:hAnsi="Calibri" w:cs="Calibri"/>
          <w:sz w:val="18"/>
          <w:szCs w:val="18"/>
        </w:rPr>
        <w:t xml:space="preserve">; </w:t>
      </w:r>
      <w:r w:rsidR="00902528" w:rsidRPr="00B37E4F">
        <w:rPr>
          <w:rFonts w:ascii="Calibri" w:hAnsi="Calibri" w:cs="Calibri"/>
          <w:sz w:val="18"/>
          <w:szCs w:val="18"/>
        </w:rPr>
        <w:t xml:space="preserve">Australian Institute of Health and Welfare, </w:t>
      </w:r>
      <w:hyperlink r:id="rId3" w:history="1">
        <w:r w:rsidR="00902528" w:rsidRPr="00B37E4F">
          <w:rPr>
            <w:rStyle w:val="Hyperlink"/>
            <w:rFonts w:ascii="Calibri" w:hAnsi="Calibri" w:cs="Calibri"/>
            <w:i/>
            <w:iCs/>
            <w:sz w:val="18"/>
            <w:szCs w:val="18"/>
            <w:lang w:val="en-GB"/>
          </w:rPr>
          <w:t>Family, domestic and sexual violence</w:t>
        </w:r>
      </w:hyperlink>
      <w:r w:rsidR="004A50D8" w:rsidRPr="00B37E4F">
        <w:rPr>
          <w:rFonts w:ascii="Calibri" w:hAnsi="Calibri" w:cs="Calibri"/>
          <w:i/>
          <w:iCs/>
          <w:sz w:val="18"/>
          <w:szCs w:val="18"/>
        </w:rPr>
        <w:t xml:space="preserve">, </w:t>
      </w:r>
      <w:r w:rsidR="004A50D8" w:rsidRPr="002964E2">
        <w:rPr>
          <w:rFonts w:ascii="Calibri" w:hAnsi="Calibri" w:cs="Calibri"/>
          <w:sz w:val="18"/>
          <w:szCs w:val="18"/>
        </w:rPr>
        <w:t>Australian Government</w:t>
      </w:r>
      <w:r w:rsidR="004A50D8" w:rsidRPr="00B37E4F">
        <w:rPr>
          <w:rFonts w:ascii="Calibri" w:hAnsi="Calibri" w:cs="Calibri"/>
          <w:sz w:val="18"/>
          <w:szCs w:val="18"/>
        </w:rPr>
        <w:t xml:space="preserve">, 2022 </w:t>
      </w:r>
      <w:r w:rsidR="001A6681" w:rsidRPr="00B37E4F">
        <w:rPr>
          <w:rFonts w:ascii="Calibri" w:hAnsi="Calibri" w:cs="Calibri"/>
          <w:sz w:val="18"/>
          <w:szCs w:val="18"/>
        </w:rPr>
        <w:t>and</w:t>
      </w:r>
      <w:r w:rsidR="00302E2A" w:rsidRPr="00B37E4F">
        <w:rPr>
          <w:rFonts w:ascii="Calibri" w:hAnsi="Calibri" w:cs="Calibri"/>
          <w:sz w:val="18"/>
          <w:szCs w:val="18"/>
        </w:rPr>
        <w:t xml:space="preserve"> </w:t>
      </w:r>
      <w:hyperlink r:id="rId4" w:history="1">
        <w:r w:rsidR="00302E2A" w:rsidRPr="00B37E4F">
          <w:rPr>
            <w:rStyle w:val="Hyperlink"/>
            <w:rFonts w:ascii="Calibri" w:hAnsi="Calibri" w:cs="Calibri"/>
            <w:i/>
            <w:iCs/>
            <w:sz w:val="18"/>
            <w:szCs w:val="18"/>
          </w:rPr>
          <w:t xml:space="preserve">Australia’s National Research </w:t>
        </w:r>
        <w:r w:rsidR="00172487" w:rsidRPr="00B37E4F">
          <w:rPr>
            <w:rStyle w:val="Hyperlink"/>
            <w:rFonts w:ascii="Calibri" w:hAnsi="Calibri" w:cs="Calibri"/>
            <w:i/>
            <w:iCs/>
            <w:sz w:val="18"/>
            <w:szCs w:val="18"/>
          </w:rPr>
          <w:t>Organisation for Women’s Safety</w:t>
        </w:r>
      </w:hyperlink>
      <w:r w:rsidR="00D62D9D" w:rsidRPr="00B37E4F">
        <w:rPr>
          <w:rFonts w:ascii="Calibri" w:hAnsi="Calibri" w:cs="Calibri"/>
          <w:sz w:val="18"/>
          <w:szCs w:val="18"/>
        </w:rPr>
        <w:t xml:space="preserve">. </w:t>
      </w:r>
    </w:p>
  </w:endnote>
  <w:endnote w:id="3">
    <w:p w14:paraId="22282473" w14:textId="530B27E7" w:rsidR="007F1308" w:rsidRPr="007218A2" w:rsidRDefault="007F1308" w:rsidP="00147774">
      <w:pPr>
        <w:pStyle w:val="EndnoteText"/>
        <w:spacing w:line="276" w:lineRule="auto"/>
        <w:rPr>
          <w:rFonts w:ascii="Calibri" w:hAnsi="Calibri" w:cs="Calibri"/>
          <w:sz w:val="18"/>
          <w:szCs w:val="18"/>
        </w:rPr>
      </w:pPr>
      <w:r w:rsidRPr="004142FD">
        <w:rPr>
          <w:rStyle w:val="EndnoteReference"/>
          <w:rFonts w:ascii="Calibri" w:hAnsi="Calibri" w:cs="Calibri"/>
          <w:sz w:val="18"/>
          <w:szCs w:val="18"/>
        </w:rPr>
        <w:endnoteRef/>
      </w:r>
      <w:r w:rsidR="00895A92" w:rsidRPr="004142FD">
        <w:rPr>
          <w:rStyle w:val="EndnoteReference"/>
          <w:rFonts w:ascii="Calibri" w:hAnsi="Calibri" w:cs="Calibri"/>
          <w:sz w:val="18"/>
          <w:szCs w:val="18"/>
        </w:rPr>
        <w:t xml:space="preserve"> </w:t>
      </w:r>
      <w:r w:rsidR="7989E72D" w:rsidRPr="004142FD">
        <w:rPr>
          <w:rFonts w:ascii="Calibri" w:hAnsi="Calibri" w:cs="Calibri"/>
          <w:sz w:val="18"/>
          <w:szCs w:val="18"/>
        </w:rPr>
        <w:t>National policy</w:t>
      </w:r>
      <w:r w:rsidR="009B54E8" w:rsidRPr="004142FD">
        <w:rPr>
          <w:rFonts w:ascii="Calibri" w:hAnsi="Calibri" w:cs="Calibri"/>
          <w:sz w:val="18"/>
          <w:szCs w:val="18"/>
        </w:rPr>
        <w:t xml:space="preserve"> and frameworks</w:t>
      </w:r>
      <w:r w:rsidR="7989E72D" w:rsidRPr="004142FD">
        <w:rPr>
          <w:rFonts w:ascii="Calibri" w:hAnsi="Calibri" w:cs="Calibri"/>
          <w:sz w:val="18"/>
          <w:szCs w:val="18"/>
        </w:rPr>
        <w:t xml:space="preserve"> include</w:t>
      </w:r>
      <w:r w:rsidR="008F2B6A" w:rsidRPr="004142FD">
        <w:rPr>
          <w:rFonts w:ascii="Calibri" w:hAnsi="Calibri" w:cs="Calibri"/>
          <w:sz w:val="18"/>
          <w:szCs w:val="18"/>
        </w:rPr>
        <w:t>:</w:t>
      </w:r>
      <w:r w:rsidR="00E878B3" w:rsidRPr="004142FD">
        <w:rPr>
          <w:rFonts w:ascii="Calibri" w:hAnsi="Calibri" w:cs="Calibri"/>
          <w:sz w:val="18"/>
          <w:szCs w:val="18"/>
        </w:rPr>
        <w:t xml:space="preserve"> Department of Social Services,</w:t>
      </w:r>
      <w:r w:rsidR="7989E72D" w:rsidRPr="004142FD">
        <w:rPr>
          <w:rFonts w:ascii="Calibri" w:hAnsi="Calibri" w:cs="Calibri"/>
          <w:sz w:val="18"/>
          <w:szCs w:val="18"/>
        </w:rPr>
        <w:t xml:space="preserve"> </w:t>
      </w:r>
      <w:r w:rsidR="00412E38" w:rsidRPr="004142FD">
        <w:rPr>
          <w:rStyle w:val="Hyperlink"/>
          <w:rFonts w:ascii="Calibri" w:hAnsi="Calibri" w:cs="Calibri"/>
          <w:i/>
          <w:iCs/>
          <w:sz w:val="18"/>
          <w:szCs w:val="18"/>
        </w:rPr>
        <w:t>The National Plan to End Violence Against Women and Children 2022-2032</w:t>
      </w:r>
      <w:r w:rsidR="00412E38" w:rsidRPr="004142FD">
        <w:rPr>
          <w:rFonts w:ascii="Calibri" w:hAnsi="Calibri" w:cs="Calibri"/>
          <w:sz w:val="18"/>
          <w:szCs w:val="18"/>
        </w:rPr>
        <w:t xml:space="preserve">, </w:t>
      </w:r>
      <w:r w:rsidR="005F6E38" w:rsidRPr="004142FD">
        <w:rPr>
          <w:rFonts w:ascii="Calibri" w:hAnsi="Calibri" w:cs="Calibri"/>
          <w:sz w:val="18"/>
          <w:szCs w:val="18"/>
        </w:rPr>
        <w:t>Commonwealth of Australia</w:t>
      </w:r>
      <w:r w:rsidR="008F2B6A" w:rsidRPr="004142FD">
        <w:rPr>
          <w:rFonts w:ascii="Calibri" w:hAnsi="Calibri" w:cs="Calibri"/>
          <w:sz w:val="18"/>
          <w:szCs w:val="18"/>
        </w:rPr>
        <w:t>,</w:t>
      </w:r>
      <w:r w:rsidRPr="004142FD">
        <w:rPr>
          <w:rFonts w:ascii="Calibri" w:hAnsi="Calibri" w:cs="Calibri"/>
          <w:sz w:val="18"/>
          <w:szCs w:val="18"/>
        </w:rPr>
        <w:t xml:space="preserve"> 2022</w:t>
      </w:r>
      <w:r w:rsidR="009B54E8" w:rsidRPr="004142FD">
        <w:rPr>
          <w:rFonts w:ascii="Calibri" w:hAnsi="Calibri" w:cs="Calibri"/>
          <w:sz w:val="18"/>
          <w:szCs w:val="18"/>
        </w:rPr>
        <w:t xml:space="preserve"> and Our</w:t>
      </w:r>
      <w:r w:rsidR="009909C4" w:rsidRPr="004142FD">
        <w:rPr>
          <w:rFonts w:ascii="Calibri" w:hAnsi="Calibri" w:cs="Calibri"/>
          <w:sz w:val="18"/>
          <w:szCs w:val="18"/>
          <w:lang w:val="en-GB"/>
        </w:rPr>
        <w:t xml:space="preserve"> Watch, </w:t>
      </w:r>
      <w:hyperlink r:id="rId5" w:history="1">
        <w:r w:rsidR="009909C4" w:rsidRPr="004142FD">
          <w:rPr>
            <w:rStyle w:val="Hyperlink"/>
            <w:rFonts w:ascii="Calibri" w:hAnsi="Calibri" w:cs="Calibri"/>
            <w:i/>
            <w:iCs/>
            <w:sz w:val="18"/>
            <w:szCs w:val="18"/>
            <w:lang w:val="en-GB"/>
          </w:rPr>
          <w:t>Change the story: A shared framework for the primary prevention of violence against women in Australia (2nd ed.)</w:t>
        </w:r>
      </w:hyperlink>
      <w:r w:rsidR="009909C4" w:rsidRPr="004142FD">
        <w:rPr>
          <w:rFonts w:ascii="Calibri" w:hAnsi="Calibri" w:cs="Calibri"/>
          <w:sz w:val="18"/>
          <w:szCs w:val="18"/>
          <w:lang w:val="en-GB"/>
        </w:rPr>
        <w:t>, Our Watch</w:t>
      </w:r>
      <w:r w:rsidR="00655D5F" w:rsidRPr="004142FD">
        <w:rPr>
          <w:rFonts w:ascii="Calibri" w:hAnsi="Calibri" w:cs="Calibri"/>
          <w:sz w:val="18"/>
          <w:szCs w:val="18"/>
          <w:lang w:val="en-GB"/>
        </w:rPr>
        <w:t>, 2021</w:t>
      </w:r>
      <w:r w:rsidR="0019149B" w:rsidRPr="004142FD">
        <w:rPr>
          <w:rFonts w:ascii="Calibri" w:hAnsi="Calibri" w:cs="Calibri"/>
          <w:sz w:val="18"/>
          <w:szCs w:val="18"/>
        </w:rPr>
        <w:t>.</w:t>
      </w:r>
    </w:p>
  </w:endnote>
  <w:endnote w:id="4">
    <w:p w14:paraId="33199051" w14:textId="4DBE203C" w:rsidR="003173B3" w:rsidRDefault="003173B3">
      <w:pPr>
        <w:pStyle w:val="EndnoteText"/>
      </w:pPr>
      <w:r>
        <w:rPr>
          <w:rStyle w:val="EndnoteReference"/>
        </w:rPr>
        <w:endnoteRef/>
      </w:r>
      <w:r>
        <w:t xml:space="preserve"> </w:t>
      </w:r>
      <w:r w:rsidRPr="00EC5179">
        <w:rPr>
          <w:rFonts w:ascii="Calibri" w:hAnsi="Calibri" w:cs="Calibri"/>
          <w:sz w:val="18"/>
          <w:szCs w:val="18"/>
        </w:rPr>
        <w:t>Australian Institute of Health and Welfare</w:t>
      </w:r>
      <w:r w:rsidR="00EC5179" w:rsidRPr="00EC5179">
        <w:rPr>
          <w:rFonts w:ascii="Calibri" w:hAnsi="Calibri" w:cs="Calibri"/>
          <w:sz w:val="18"/>
          <w:szCs w:val="18"/>
        </w:rPr>
        <w:t xml:space="preserve">, </w:t>
      </w:r>
      <w:r w:rsidRPr="00EC5179">
        <w:rPr>
          <w:rFonts w:ascii="Calibri" w:hAnsi="Calibri" w:cs="Calibri"/>
          <w:i/>
          <w:iCs/>
          <w:sz w:val="18"/>
          <w:szCs w:val="18"/>
        </w:rPr>
        <w:t>Australian Burden of Disease Study: Impact and causes of illness and death in Australia 2018</w:t>
      </w:r>
      <w:r w:rsidRPr="00EC5179">
        <w:rPr>
          <w:rFonts w:ascii="Calibri" w:hAnsi="Calibri" w:cs="Calibri"/>
          <w:sz w:val="18"/>
          <w:szCs w:val="18"/>
        </w:rPr>
        <w:t>, Australian Government</w:t>
      </w:r>
      <w:r w:rsidR="00EC5179" w:rsidRPr="00EC5179">
        <w:rPr>
          <w:rFonts w:ascii="Calibri" w:hAnsi="Calibri" w:cs="Calibri"/>
          <w:sz w:val="18"/>
          <w:szCs w:val="18"/>
        </w:rPr>
        <w:t>,</w:t>
      </w:r>
      <w:r w:rsidRPr="00EC5179">
        <w:rPr>
          <w:rFonts w:ascii="Calibri" w:hAnsi="Calibri" w:cs="Calibri"/>
          <w:sz w:val="18"/>
          <w:szCs w:val="18"/>
        </w:rPr>
        <w:t xml:space="preserve"> 2021.</w:t>
      </w:r>
    </w:p>
  </w:endnote>
  <w:endnote w:id="5">
    <w:p w14:paraId="13683A7C" w14:textId="1D2B18DE" w:rsidR="00C11668" w:rsidRPr="00E15A2C" w:rsidRDefault="00FC4973">
      <w:pPr>
        <w:pStyle w:val="EndnoteText"/>
        <w:rPr>
          <w:rFonts w:ascii="Calibri" w:hAnsi="Calibri" w:cs="Calibri"/>
          <w:sz w:val="18"/>
          <w:szCs w:val="18"/>
        </w:rPr>
      </w:pPr>
      <w:r>
        <w:rPr>
          <w:rStyle w:val="EndnoteReference"/>
        </w:rPr>
        <w:endnoteRef/>
      </w:r>
      <w:r>
        <w:t xml:space="preserve"> </w:t>
      </w:r>
      <w:r>
        <w:rPr>
          <w:rFonts w:ascii="Calibri" w:hAnsi="Calibri" w:cs="Calibri"/>
          <w:sz w:val="18"/>
          <w:szCs w:val="18"/>
        </w:rPr>
        <w:t xml:space="preserve">Australian Institute of Health and Welfare, </w:t>
      </w:r>
      <w:hyperlink r:id="rId6" w:history="1">
        <w:r w:rsidR="006424A3" w:rsidRPr="00C41AC1">
          <w:rPr>
            <w:rStyle w:val="Hyperlink"/>
            <w:rFonts w:ascii="Calibri" w:hAnsi="Calibri" w:cs="Calibri"/>
            <w:i/>
            <w:iCs/>
            <w:sz w:val="18"/>
            <w:szCs w:val="18"/>
          </w:rPr>
          <w:t>Family, domestic and sexual violence data in Australia:  Family and domestic violence homicide</w:t>
        </w:r>
      </w:hyperlink>
      <w:r w:rsidR="006424A3">
        <w:rPr>
          <w:rFonts w:ascii="Calibri" w:hAnsi="Calibri" w:cs="Calibri"/>
          <w:sz w:val="18"/>
          <w:szCs w:val="18"/>
        </w:rPr>
        <w:t>, Australian Government, 2022.</w:t>
      </w:r>
      <w:r w:rsidR="00822C5B">
        <w:rPr>
          <w:rFonts w:ascii="Calibri" w:hAnsi="Calibri" w:cs="Calibri"/>
          <w:sz w:val="18"/>
          <w:szCs w:val="18"/>
        </w:rPr>
        <w:t xml:space="preserve"> Australian Institute of Health and Welfare, </w:t>
      </w:r>
      <w:hyperlink r:id="rId7" w:history="1">
        <w:r w:rsidR="00E15A2C" w:rsidRPr="00E15A2C">
          <w:rPr>
            <w:rStyle w:val="Hyperlink"/>
            <w:rFonts w:ascii="Calibri" w:hAnsi="Calibri" w:cs="Calibri"/>
            <w:i/>
            <w:iCs/>
            <w:sz w:val="18"/>
            <w:szCs w:val="18"/>
          </w:rPr>
          <w:t>Assault</w:t>
        </w:r>
      </w:hyperlink>
      <w:r w:rsidR="00E15A2C">
        <w:rPr>
          <w:rFonts w:ascii="Calibri" w:hAnsi="Calibri" w:cs="Calibri"/>
          <w:sz w:val="18"/>
          <w:szCs w:val="18"/>
        </w:rPr>
        <w:t>, Australian Government, 2015.</w:t>
      </w:r>
    </w:p>
  </w:endnote>
  <w:endnote w:id="6">
    <w:p w14:paraId="2B53EB2F" w14:textId="77777777" w:rsidR="00B93BB9" w:rsidRPr="007218A2" w:rsidRDefault="00B93BB9" w:rsidP="00B93BB9">
      <w:pPr>
        <w:pStyle w:val="EndnoteText"/>
        <w:spacing w:line="276" w:lineRule="auto"/>
        <w:rPr>
          <w:rFonts w:ascii="Calibri" w:hAnsi="Calibri" w:cs="Calibri"/>
          <w:sz w:val="18"/>
          <w:szCs w:val="18"/>
        </w:rPr>
      </w:pPr>
      <w:r w:rsidRPr="007218A2">
        <w:rPr>
          <w:rStyle w:val="EndnoteReference"/>
          <w:rFonts w:ascii="Calibri" w:hAnsi="Calibri" w:cs="Calibri"/>
          <w:sz w:val="18"/>
          <w:szCs w:val="18"/>
        </w:rPr>
        <w:endnoteRef/>
      </w:r>
      <w:r w:rsidRPr="007218A2">
        <w:rPr>
          <w:rFonts w:ascii="Calibri" w:hAnsi="Calibri" w:cs="Calibri"/>
          <w:sz w:val="18"/>
          <w:szCs w:val="18"/>
        </w:rPr>
        <w:t xml:space="preserve"> N Townsend, D Loxton, N Egan, I Barnes, E Byrnes and P Forder, </w:t>
      </w:r>
      <w:hyperlink r:id="rId8" w:history="1">
        <w:r w:rsidRPr="007218A2">
          <w:rPr>
            <w:rStyle w:val="Hyperlink"/>
            <w:rFonts w:ascii="Calibri" w:hAnsi="Calibri" w:cs="Calibri"/>
            <w:i/>
            <w:iCs/>
            <w:sz w:val="18"/>
            <w:szCs w:val="18"/>
          </w:rPr>
          <w:t>A life course approach to determining the prevalence and impact of sexual violence in Australia: Findings from the Australian Longitudinal Study on Women’s Health</w:t>
        </w:r>
      </w:hyperlink>
      <w:r w:rsidRPr="007218A2">
        <w:rPr>
          <w:rFonts w:ascii="Calibri" w:hAnsi="Calibri" w:cs="Calibri"/>
          <w:sz w:val="18"/>
          <w:szCs w:val="18"/>
        </w:rPr>
        <w:t>,</w:t>
      </w:r>
      <w:r>
        <w:rPr>
          <w:rFonts w:ascii="Calibri" w:hAnsi="Calibri" w:cs="Calibri"/>
          <w:sz w:val="18"/>
          <w:szCs w:val="18"/>
        </w:rPr>
        <w:t xml:space="preserve"> Australia’s National Research Organisation for Women’s Safety, 2022, Issue 14.</w:t>
      </w:r>
      <w:r w:rsidRPr="007218A2">
        <w:rPr>
          <w:rFonts w:ascii="Calibri" w:hAnsi="Calibri" w:cs="Calibri"/>
          <w:sz w:val="18"/>
          <w:szCs w:val="18"/>
        </w:rPr>
        <w:t xml:space="preserve">  </w:t>
      </w:r>
    </w:p>
  </w:endnote>
  <w:endnote w:id="7">
    <w:p w14:paraId="3C709C4F" w14:textId="37D8C6FD" w:rsidR="00C57F5A" w:rsidRPr="007218A2" w:rsidRDefault="00C57F5A" w:rsidP="00C57F5A">
      <w:pPr>
        <w:pStyle w:val="EndnoteText"/>
        <w:spacing w:line="276" w:lineRule="auto"/>
        <w:rPr>
          <w:rFonts w:ascii="Calibri" w:hAnsi="Calibri" w:cs="Calibri"/>
          <w:sz w:val="18"/>
          <w:szCs w:val="18"/>
        </w:rPr>
      </w:pPr>
      <w:r w:rsidRPr="007218A2">
        <w:rPr>
          <w:rStyle w:val="EndnoteReference"/>
          <w:rFonts w:ascii="Calibri" w:hAnsi="Calibri" w:cs="Calibri"/>
          <w:sz w:val="18"/>
          <w:szCs w:val="18"/>
        </w:rPr>
        <w:endnoteRef/>
      </w:r>
      <w:r w:rsidRPr="007218A2">
        <w:rPr>
          <w:rFonts w:ascii="Calibri" w:hAnsi="Calibri" w:cs="Calibri"/>
          <w:sz w:val="18"/>
          <w:szCs w:val="18"/>
        </w:rPr>
        <w:t xml:space="preserve"> N Townsend, </w:t>
      </w:r>
      <w:r w:rsidR="002531DD">
        <w:rPr>
          <w:rFonts w:ascii="Calibri" w:hAnsi="Calibri" w:cs="Calibri"/>
          <w:sz w:val="18"/>
          <w:szCs w:val="18"/>
        </w:rPr>
        <w:t>et al</w:t>
      </w:r>
      <w:r w:rsidR="00740F55">
        <w:rPr>
          <w:rFonts w:ascii="Calibri" w:hAnsi="Calibri" w:cs="Calibri"/>
          <w:sz w:val="18"/>
          <w:szCs w:val="18"/>
        </w:rPr>
        <w:t>.</w:t>
      </w:r>
      <w:r w:rsidR="002531DD">
        <w:rPr>
          <w:rFonts w:ascii="Calibri" w:hAnsi="Calibri" w:cs="Calibri"/>
          <w:sz w:val="18"/>
          <w:szCs w:val="18"/>
        </w:rPr>
        <w:t xml:space="preserve">, </w:t>
      </w:r>
      <w:hyperlink r:id="rId9" w:history="1">
        <w:r w:rsidRPr="007218A2">
          <w:rPr>
            <w:rStyle w:val="Hyperlink"/>
            <w:rFonts w:ascii="Calibri" w:hAnsi="Calibri" w:cs="Calibri"/>
            <w:i/>
            <w:iCs/>
            <w:sz w:val="18"/>
            <w:szCs w:val="18"/>
          </w:rPr>
          <w:t>A life course approach to determining the prevalence and impact of sexual violence in Australia</w:t>
        </w:r>
        <w:r w:rsidR="0068623C">
          <w:rPr>
            <w:rStyle w:val="Hyperlink"/>
            <w:rFonts w:ascii="Calibri" w:hAnsi="Calibri" w:cs="Calibri"/>
            <w:i/>
            <w:iCs/>
            <w:sz w:val="18"/>
            <w:szCs w:val="18"/>
          </w:rPr>
          <w:t>.</w:t>
        </w:r>
      </w:hyperlink>
    </w:p>
  </w:endnote>
  <w:endnote w:id="8">
    <w:p w14:paraId="16EA1842" w14:textId="77777777" w:rsidR="000E7B04" w:rsidRPr="007C797C" w:rsidRDefault="000E7B04" w:rsidP="000E7B04">
      <w:pPr>
        <w:pStyle w:val="EndnoteText"/>
        <w:spacing w:line="276" w:lineRule="auto"/>
        <w:rPr>
          <w:rFonts w:ascii="Calibri" w:hAnsi="Calibri" w:cs="Calibri"/>
          <w:sz w:val="18"/>
          <w:szCs w:val="18"/>
        </w:rPr>
      </w:pPr>
      <w:r w:rsidRPr="007218A2">
        <w:rPr>
          <w:rStyle w:val="EndnoteReference"/>
          <w:rFonts w:ascii="Calibri" w:hAnsi="Calibri" w:cs="Calibri"/>
          <w:sz w:val="18"/>
          <w:szCs w:val="18"/>
        </w:rPr>
        <w:endnoteRef/>
      </w:r>
      <w:r w:rsidRPr="007218A2">
        <w:rPr>
          <w:rFonts w:ascii="Calibri" w:hAnsi="Calibri" w:cs="Calibri"/>
          <w:sz w:val="18"/>
          <w:szCs w:val="18"/>
        </w:rPr>
        <w:t xml:space="preserve"> Australian Institute of Health and Welfare,</w:t>
      </w:r>
      <w:r w:rsidRPr="00C41AC1">
        <w:rPr>
          <w:rFonts w:ascii="Calibri" w:hAnsi="Calibri" w:cs="Calibri"/>
          <w:i/>
          <w:iCs/>
          <w:sz w:val="18"/>
          <w:szCs w:val="18"/>
        </w:rPr>
        <w:t xml:space="preserve"> </w:t>
      </w:r>
      <w:hyperlink r:id="rId10" w:history="1">
        <w:r w:rsidRPr="00C41AC1">
          <w:rPr>
            <w:rStyle w:val="Hyperlink"/>
            <w:rFonts w:ascii="Calibri" w:hAnsi="Calibri" w:cs="Calibri"/>
            <w:i/>
            <w:iCs/>
            <w:sz w:val="18"/>
            <w:szCs w:val="18"/>
          </w:rPr>
          <w:t>Family, domestic and sexual violence in Australia 2018</w:t>
        </w:r>
      </w:hyperlink>
      <w:r w:rsidRPr="007218A2">
        <w:rPr>
          <w:rFonts w:ascii="Calibri" w:hAnsi="Calibri" w:cs="Calibri"/>
          <w:sz w:val="18"/>
          <w:szCs w:val="18"/>
        </w:rPr>
        <w:t>, Australian Government, 2018.</w:t>
      </w:r>
    </w:p>
  </w:endnote>
  <w:endnote w:id="9">
    <w:p w14:paraId="2DB169AE" w14:textId="77777777" w:rsidR="000E7B04" w:rsidRPr="0075608B" w:rsidRDefault="000E7B04" w:rsidP="000E7B04">
      <w:pPr>
        <w:pStyle w:val="EndnoteText"/>
        <w:rPr>
          <w:lang w:val="en-AU"/>
        </w:rPr>
      </w:pPr>
      <w:r>
        <w:rPr>
          <w:rStyle w:val="EndnoteReference"/>
        </w:rPr>
        <w:endnoteRef/>
      </w:r>
      <w:r>
        <w:t xml:space="preserve"> </w:t>
      </w:r>
      <w:r w:rsidRPr="00D90B91">
        <w:rPr>
          <w:rFonts w:ascii="Calibri" w:hAnsi="Calibri" w:cs="Calibri"/>
          <w:sz w:val="18"/>
          <w:szCs w:val="18"/>
        </w:rPr>
        <w:t xml:space="preserve">D Loxton and N Townsend, </w:t>
      </w:r>
      <w:hyperlink r:id="rId11" w:history="1">
        <w:r w:rsidRPr="00686254">
          <w:rPr>
            <w:rStyle w:val="Hyperlink"/>
            <w:rFonts w:ascii="Calibri" w:hAnsi="Calibri" w:cs="Calibri"/>
            <w:i/>
            <w:iCs/>
            <w:sz w:val="18"/>
            <w:szCs w:val="18"/>
          </w:rPr>
          <w:t>Violence and Abuse Policy Brief</w:t>
        </w:r>
      </w:hyperlink>
      <w:r w:rsidRPr="00D90B91">
        <w:rPr>
          <w:rFonts w:ascii="Calibri" w:hAnsi="Calibri" w:cs="Calibri"/>
          <w:sz w:val="18"/>
          <w:szCs w:val="18"/>
        </w:rPr>
        <w:t>, Women’s Health Australia, 2019.</w:t>
      </w:r>
    </w:p>
  </w:endnote>
  <w:endnote w:id="10">
    <w:p w14:paraId="4787A194" w14:textId="227C3169" w:rsidR="00DF1B3A" w:rsidRPr="007218A2" w:rsidRDefault="00DF1B3A" w:rsidP="00DF1B3A">
      <w:pPr>
        <w:pStyle w:val="EndnoteText"/>
        <w:spacing w:line="276" w:lineRule="auto"/>
        <w:rPr>
          <w:rFonts w:ascii="Calibri" w:hAnsi="Calibri" w:cs="Calibri"/>
          <w:sz w:val="18"/>
          <w:szCs w:val="18"/>
        </w:rPr>
      </w:pPr>
      <w:r w:rsidRPr="007218A2">
        <w:rPr>
          <w:rStyle w:val="EndnoteReference"/>
          <w:rFonts w:ascii="Calibri" w:hAnsi="Calibri" w:cs="Calibri"/>
          <w:sz w:val="18"/>
          <w:szCs w:val="18"/>
        </w:rPr>
        <w:endnoteRef/>
      </w:r>
      <w:r w:rsidRPr="007218A2">
        <w:rPr>
          <w:rFonts w:ascii="Calibri" w:hAnsi="Calibri" w:cs="Calibri"/>
          <w:sz w:val="18"/>
          <w:szCs w:val="18"/>
        </w:rPr>
        <w:t xml:space="preserve"> </w:t>
      </w:r>
      <w:r w:rsidR="0068623C" w:rsidRPr="007218A2">
        <w:rPr>
          <w:rFonts w:ascii="Calibri" w:hAnsi="Calibri" w:cs="Calibri"/>
          <w:sz w:val="18"/>
          <w:szCs w:val="18"/>
        </w:rPr>
        <w:t xml:space="preserve">N Townsend, </w:t>
      </w:r>
      <w:r w:rsidR="0068623C">
        <w:rPr>
          <w:rFonts w:ascii="Calibri" w:hAnsi="Calibri" w:cs="Calibri"/>
          <w:sz w:val="18"/>
          <w:szCs w:val="18"/>
        </w:rPr>
        <w:t xml:space="preserve">et al., </w:t>
      </w:r>
      <w:hyperlink r:id="rId12" w:history="1">
        <w:r w:rsidR="0068623C" w:rsidRPr="007218A2">
          <w:rPr>
            <w:rStyle w:val="Hyperlink"/>
            <w:rFonts w:ascii="Calibri" w:hAnsi="Calibri" w:cs="Calibri"/>
            <w:i/>
            <w:iCs/>
            <w:sz w:val="18"/>
            <w:szCs w:val="18"/>
          </w:rPr>
          <w:t>A life course approach to determining the prevalence and impact of sexual violence in Australia</w:t>
        </w:r>
        <w:r w:rsidR="0068623C">
          <w:rPr>
            <w:rStyle w:val="Hyperlink"/>
            <w:rFonts w:ascii="Calibri" w:hAnsi="Calibri" w:cs="Calibri"/>
            <w:i/>
            <w:iCs/>
            <w:sz w:val="18"/>
            <w:szCs w:val="18"/>
          </w:rPr>
          <w:t>.</w:t>
        </w:r>
      </w:hyperlink>
    </w:p>
  </w:endnote>
  <w:endnote w:id="11">
    <w:p w14:paraId="40F11374" w14:textId="7C25C235" w:rsidR="00D46368" w:rsidRPr="00DF67C6" w:rsidRDefault="00D46368" w:rsidP="00F05CE7">
      <w:pPr>
        <w:pStyle w:val="EndnoteText"/>
        <w:spacing w:line="276" w:lineRule="auto"/>
        <w:rPr>
          <w:rFonts w:ascii="Calibri" w:hAnsi="Calibri" w:cs="Calibri"/>
          <w:sz w:val="18"/>
          <w:szCs w:val="18"/>
        </w:rPr>
      </w:pPr>
      <w:r w:rsidRPr="007218A2">
        <w:rPr>
          <w:rStyle w:val="EndnoteReference"/>
          <w:rFonts w:ascii="Calibri" w:hAnsi="Calibri" w:cs="Calibri"/>
          <w:sz w:val="18"/>
          <w:szCs w:val="18"/>
        </w:rPr>
        <w:endnoteRef/>
      </w:r>
      <w:r w:rsidRPr="007218A2">
        <w:rPr>
          <w:rFonts w:ascii="Calibri" w:hAnsi="Calibri" w:cs="Calibri"/>
          <w:sz w:val="18"/>
          <w:szCs w:val="18"/>
        </w:rPr>
        <w:t xml:space="preserve"> </w:t>
      </w:r>
      <w:r w:rsidR="002864C9" w:rsidRPr="00523675">
        <w:rPr>
          <w:rFonts w:ascii="Calibri" w:hAnsi="Calibri" w:cs="Calibri"/>
          <w:sz w:val="18"/>
          <w:szCs w:val="18"/>
        </w:rPr>
        <w:t>The</w:t>
      </w:r>
      <w:r w:rsidR="0029680C" w:rsidRPr="00523675">
        <w:rPr>
          <w:rFonts w:ascii="Calibri" w:hAnsi="Calibri" w:cs="Calibri"/>
          <w:sz w:val="18"/>
          <w:szCs w:val="18"/>
        </w:rPr>
        <w:t xml:space="preserve"> National Preventive Health Strategy </w:t>
      </w:r>
      <w:r w:rsidR="002864C9" w:rsidRPr="00523675">
        <w:rPr>
          <w:rFonts w:ascii="Calibri" w:hAnsi="Calibri" w:cs="Calibri"/>
          <w:sz w:val="18"/>
          <w:szCs w:val="18"/>
        </w:rPr>
        <w:t xml:space="preserve">outlines multiple types of prevention that also align with national frameworks on the prevention of violence against women. In a health context, primary prevention </w:t>
      </w:r>
      <w:r w:rsidR="00441C0F" w:rsidRPr="00523675">
        <w:rPr>
          <w:rFonts w:ascii="Calibri" w:hAnsi="Calibri" w:cs="Calibri"/>
          <w:sz w:val="18"/>
          <w:szCs w:val="18"/>
        </w:rPr>
        <w:t>‘</w:t>
      </w:r>
      <w:r w:rsidR="002864C9" w:rsidRPr="00523675">
        <w:rPr>
          <w:rFonts w:ascii="Calibri" w:hAnsi="Calibri" w:cs="Calibri"/>
          <w:sz w:val="18"/>
          <w:szCs w:val="18"/>
        </w:rPr>
        <w:t>focuses on reducing risk factors to prevent a disease or disorder before it arises.</w:t>
      </w:r>
      <w:r w:rsidR="00B06654" w:rsidRPr="00523675">
        <w:rPr>
          <w:rFonts w:ascii="Calibri" w:hAnsi="Calibri" w:cs="Calibri"/>
          <w:sz w:val="18"/>
          <w:szCs w:val="18"/>
        </w:rPr>
        <w:t>’</w:t>
      </w:r>
      <w:r w:rsidR="002864C9" w:rsidRPr="00523675">
        <w:rPr>
          <w:rFonts w:ascii="Calibri" w:hAnsi="Calibri" w:cs="Calibri"/>
          <w:sz w:val="18"/>
          <w:szCs w:val="18"/>
        </w:rPr>
        <w:t xml:space="preserve"> Primary prevention of violence against women aims to stop violence </w:t>
      </w:r>
      <w:r w:rsidR="000C6CD7" w:rsidRPr="00523675">
        <w:rPr>
          <w:rFonts w:ascii="Calibri" w:hAnsi="Calibri" w:cs="Calibri"/>
          <w:sz w:val="18"/>
          <w:szCs w:val="18"/>
        </w:rPr>
        <w:t>‘</w:t>
      </w:r>
      <w:r w:rsidR="002864C9" w:rsidRPr="00523675">
        <w:rPr>
          <w:rFonts w:ascii="Calibri" w:hAnsi="Calibri" w:cs="Calibri"/>
          <w:sz w:val="18"/>
          <w:szCs w:val="18"/>
        </w:rPr>
        <w:t>from occurring in the first place by addressing its underlying drivers.</w:t>
      </w:r>
      <w:r w:rsidR="00CD6901" w:rsidRPr="00523675">
        <w:rPr>
          <w:rFonts w:ascii="Calibri" w:hAnsi="Calibri" w:cs="Calibri"/>
          <w:sz w:val="18"/>
          <w:szCs w:val="18"/>
        </w:rPr>
        <w:t>’</w:t>
      </w:r>
      <w:r w:rsidR="002864C9" w:rsidRPr="00523675">
        <w:rPr>
          <w:rFonts w:ascii="Calibri" w:hAnsi="Calibri" w:cs="Calibri"/>
          <w:sz w:val="18"/>
          <w:szCs w:val="18"/>
        </w:rPr>
        <w:t xml:space="preserve"> </w:t>
      </w:r>
      <w:r w:rsidR="00154B6D" w:rsidRPr="00523675">
        <w:rPr>
          <w:rFonts w:ascii="Calibri" w:hAnsi="Calibri" w:cs="Calibri"/>
          <w:sz w:val="18"/>
          <w:szCs w:val="18"/>
        </w:rPr>
        <w:t xml:space="preserve">Department of Health and Aged Care, </w:t>
      </w:r>
      <w:hyperlink r:id="rId13" w:history="1">
        <w:r w:rsidR="00154B6D" w:rsidRPr="00523675">
          <w:rPr>
            <w:rStyle w:val="Hyperlink"/>
            <w:rFonts w:ascii="Calibri" w:hAnsi="Calibri" w:cs="Calibri"/>
            <w:i/>
            <w:iCs/>
            <w:sz w:val="18"/>
            <w:szCs w:val="18"/>
          </w:rPr>
          <w:t>National Preventive Health Strategy</w:t>
        </w:r>
      </w:hyperlink>
      <w:r w:rsidR="00FF7E1C" w:rsidRPr="00523675">
        <w:rPr>
          <w:rFonts w:ascii="Calibri" w:hAnsi="Calibri" w:cs="Calibri"/>
          <w:sz w:val="18"/>
          <w:szCs w:val="18"/>
        </w:rPr>
        <w:t>,</w:t>
      </w:r>
      <w:r w:rsidR="00DB13ED" w:rsidRPr="00523675">
        <w:rPr>
          <w:rFonts w:ascii="Calibri" w:hAnsi="Calibri" w:cs="Calibri"/>
          <w:sz w:val="18"/>
          <w:szCs w:val="18"/>
        </w:rPr>
        <w:t xml:space="preserve"> Australian Government, 2022, </w:t>
      </w:r>
      <w:r w:rsidR="00727D06" w:rsidRPr="00523675">
        <w:rPr>
          <w:rFonts w:ascii="Calibri" w:hAnsi="Calibri" w:cs="Calibri"/>
          <w:sz w:val="18"/>
          <w:szCs w:val="18"/>
        </w:rPr>
        <w:t>p 79.</w:t>
      </w:r>
      <w:r w:rsidR="00FF7E1C" w:rsidRPr="00523675">
        <w:rPr>
          <w:rFonts w:ascii="Calibri" w:hAnsi="Calibri" w:cs="Calibri"/>
          <w:sz w:val="18"/>
          <w:szCs w:val="18"/>
        </w:rPr>
        <w:t xml:space="preserve"> </w:t>
      </w:r>
      <w:r w:rsidR="008A2E41">
        <w:rPr>
          <w:rFonts w:ascii="Calibri" w:hAnsi="Calibri" w:cs="Calibri"/>
          <w:sz w:val="18"/>
          <w:szCs w:val="18"/>
        </w:rPr>
        <w:t xml:space="preserve"> </w:t>
      </w:r>
      <w:r w:rsidR="002864C9" w:rsidRPr="007218A2">
        <w:rPr>
          <w:rFonts w:ascii="Calibri" w:hAnsi="Calibri" w:cs="Calibri"/>
          <w:sz w:val="18"/>
          <w:szCs w:val="18"/>
        </w:rPr>
        <w:t>As the burden of ill-health, disease or violence progresses, early intervention (also known as secondary prevention) an</w:t>
      </w:r>
      <w:r w:rsidR="002864C9" w:rsidRPr="00457479">
        <w:rPr>
          <w:rFonts w:ascii="Calibri" w:hAnsi="Calibri" w:cs="Calibri"/>
          <w:sz w:val="18"/>
          <w:szCs w:val="18"/>
        </w:rPr>
        <w:t>d response (or tertiary prevention) measures must be in place to stop escalation and reduce harm.</w:t>
      </w:r>
    </w:p>
  </w:endnote>
  <w:endnote w:id="12">
    <w:p w14:paraId="60A8F7F2" w14:textId="6E31C095" w:rsidR="001F3C60" w:rsidRPr="00D729B4" w:rsidRDefault="001F3C60" w:rsidP="00F05CE7">
      <w:pPr>
        <w:pStyle w:val="EndnoteText"/>
        <w:spacing w:line="276" w:lineRule="auto"/>
        <w:rPr>
          <w:rFonts w:ascii="Calibri" w:eastAsia="Calibri" w:hAnsi="Calibri" w:cs="Calibri"/>
          <w:sz w:val="18"/>
          <w:szCs w:val="18"/>
        </w:rPr>
      </w:pPr>
      <w:r w:rsidRPr="00D729B4">
        <w:rPr>
          <w:rStyle w:val="EndnoteReference"/>
          <w:rFonts w:ascii="Calibri" w:hAnsi="Calibri" w:cs="Calibri"/>
          <w:sz w:val="18"/>
          <w:szCs w:val="18"/>
        </w:rPr>
        <w:endnoteRef/>
      </w:r>
      <w:r w:rsidRPr="00D729B4">
        <w:rPr>
          <w:rFonts w:ascii="Calibri" w:hAnsi="Calibri" w:cs="Calibri"/>
          <w:sz w:val="18"/>
          <w:szCs w:val="18"/>
        </w:rPr>
        <w:t xml:space="preserve"> </w:t>
      </w:r>
      <w:r w:rsidR="00DC6557" w:rsidRPr="00D729B4">
        <w:rPr>
          <w:rFonts w:ascii="Calibri" w:hAnsi="Calibri" w:cs="Calibri"/>
          <w:sz w:val="18"/>
          <w:szCs w:val="18"/>
        </w:rPr>
        <w:t xml:space="preserve">A </w:t>
      </w:r>
      <w:r w:rsidR="000F5143" w:rsidRPr="00D729B4">
        <w:rPr>
          <w:rFonts w:ascii="Calibri" w:eastAsia="Calibri" w:hAnsi="Calibri" w:cs="Calibri"/>
          <w:sz w:val="18"/>
          <w:szCs w:val="18"/>
        </w:rPr>
        <w:t>Melka,</w:t>
      </w:r>
      <w:r w:rsidR="006A5AE0" w:rsidRPr="00D729B4">
        <w:rPr>
          <w:rFonts w:ascii="Calibri" w:eastAsia="Calibri" w:hAnsi="Calibri" w:cs="Calibri"/>
          <w:sz w:val="18"/>
          <w:szCs w:val="18"/>
        </w:rPr>
        <w:t xml:space="preserve"> C Chojenta</w:t>
      </w:r>
      <w:r w:rsidR="00DE3B01" w:rsidRPr="00D729B4">
        <w:rPr>
          <w:rFonts w:ascii="Calibri" w:eastAsia="Calibri" w:hAnsi="Calibri" w:cs="Calibri"/>
          <w:sz w:val="18"/>
          <w:szCs w:val="18"/>
        </w:rPr>
        <w:t>, E Holliday, D Loxton</w:t>
      </w:r>
      <w:r w:rsidR="00324AB0" w:rsidRPr="00D729B4">
        <w:rPr>
          <w:rFonts w:ascii="Calibri" w:eastAsia="Calibri" w:hAnsi="Calibri" w:cs="Calibri"/>
          <w:sz w:val="18"/>
          <w:szCs w:val="18"/>
        </w:rPr>
        <w:t>,</w:t>
      </w:r>
      <w:r w:rsidR="000F5143" w:rsidRPr="00D729B4">
        <w:rPr>
          <w:rFonts w:ascii="Calibri" w:eastAsia="Calibri" w:hAnsi="Calibri" w:cs="Calibri"/>
          <w:sz w:val="18"/>
          <w:szCs w:val="18"/>
        </w:rPr>
        <w:t xml:space="preserve"> </w:t>
      </w:r>
      <w:r w:rsidR="00D86216" w:rsidRPr="00D729B4">
        <w:rPr>
          <w:rFonts w:ascii="Calibri" w:eastAsia="Calibri" w:hAnsi="Calibri" w:cs="Calibri"/>
          <w:sz w:val="18"/>
          <w:szCs w:val="18"/>
        </w:rPr>
        <w:t>‘</w:t>
      </w:r>
      <w:r w:rsidR="005A1E28" w:rsidRPr="00D729B4">
        <w:rPr>
          <w:rFonts w:ascii="Calibri" w:eastAsia="Calibri" w:hAnsi="Calibri" w:cs="Calibri"/>
          <w:sz w:val="18"/>
          <w:szCs w:val="18"/>
        </w:rPr>
        <w:t xml:space="preserve">Predictors of </w:t>
      </w:r>
      <w:r w:rsidR="00FB4B73" w:rsidRPr="00D729B4">
        <w:rPr>
          <w:rFonts w:ascii="Calibri" w:eastAsia="Calibri" w:hAnsi="Calibri" w:cs="Calibri"/>
          <w:sz w:val="18"/>
          <w:szCs w:val="18"/>
        </w:rPr>
        <w:t>E-cigarette Use Among Young Australian Women</w:t>
      </w:r>
      <w:r w:rsidR="00D86216" w:rsidRPr="00D729B4">
        <w:rPr>
          <w:rFonts w:ascii="Calibri" w:eastAsia="Calibri" w:hAnsi="Calibri" w:cs="Calibri"/>
          <w:sz w:val="18"/>
          <w:szCs w:val="18"/>
        </w:rPr>
        <w:t>’</w:t>
      </w:r>
      <w:r w:rsidR="0004137F" w:rsidRPr="00D729B4">
        <w:rPr>
          <w:rFonts w:ascii="Calibri" w:eastAsia="Calibri" w:hAnsi="Calibri" w:cs="Calibri"/>
          <w:sz w:val="18"/>
          <w:szCs w:val="18"/>
        </w:rPr>
        <w:t xml:space="preserve">, </w:t>
      </w:r>
      <w:r w:rsidR="00120D9E" w:rsidRPr="00D729B4">
        <w:rPr>
          <w:rFonts w:ascii="Calibri" w:eastAsia="Calibri" w:hAnsi="Calibri" w:cs="Calibri"/>
          <w:i/>
          <w:iCs/>
          <w:sz w:val="18"/>
          <w:szCs w:val="18"/>
        </w:rPr>
        <w:t>American Journal of Preventive Medicine</w:t>
      </w:r>
      <w:r w:rsidR="00120D9E" w:rsidRPr="00D729B4">
        <w:rPr>
          <w:rFonts w:ascii="Calibri" w:eastAsia="Calibri" w:hAnsi="Calibri" w:cs="Calibri"/>
          <w:sz w:val="18"/>
          <w:szCs w:val="18"/>
        </w:rPr>
        <w:t>,</w:t>
      </w:r>
      <w:r w:rsidR="006B6CDF" w:rsidRPr="00D729B4">
        <w:rPr>
          <w:rFonts w:ascii="Calibri" w:eastAsia="Calibri" w:hAnsi="Calibri" w:cs="Calibri"/>
          <w:i/>
          <w:iCs/>
          <w:sz w:val="18"/>
          <w:szCs w:val="18"/>
        </w:rPr>
        <w:t xml:space="preserve"> </w:t>
      </w:r>
      <w:r w:rsidR="006B6CDF" w:rsidRPr="00D729B4">
        <w:rPr>
          <w:rFonts w:ascii="Calibri" w:eastAsia="Calibri" w:hAnsi="Calibri" w:cs="Calibri"/>
          <w:sz w:val="18"/>
          <w:szCs w:val="18"/>
        </w:rPr>
        <w:t xml:space="preserve">2018, </w:t>
      </w:r>
      <w:r w:rsidR="000461BD" w:rsidRPr="00D729B4">
        <w:rPr>
          <w:rFonts w:ascii="Calibri" w:eastAsia="Calibri" w:hAnsi="Calibri" w:cs="Calibri"/>
          <w:sz w:val="18"/>
          <w:szCs w:val="18"/>
        </w:rPr>
        <w:t>56</w:t>
      </w:r>
      <w:r w:rsidR="001E2945" w:rsidRPr="00D729B4">
        <w:rPr>
          <w:rFonts w:ascii="Calibri" w:eastAsia="Calibri" w:hAnsi="Calibri" w:cs="Calibri"/>
          <w:sz w:val="18"/>
          <w:szCs w:val="18"/>
        </w:rPr>
        <w:t>(2)</w:t>
      </w:r>
      <w:r w:rsidR="00ED6F91" w:rsidRPr="00D729B4">
        <w:rPr>
          <w:rFonts w:ascii="Calibri" w:eastAsia="Calibri" w:hAnsi="Calibri" w:cs="Calibri"/>
          <w:sz w:val="18"/>
          <w:szCs w:val="18"/>
        </w:rPr>
        <w:t>: pp</w:t>
      </w:r>
      <w:r w:rsidR="00C31675" w:rsidRPr="00D729B4">
        <w:rPr>
          <w:rFonts w:ascii="Calibri" w:eastAsia="Calibri" w:hAnsi="Calibri" w:cs="Calibri"/>
          <w:sz w:val="18"/>
          <w:szCs w:val="18"/>
        </w:rPr>
        <w:t xml:space="preserve"> </w:t>
      </w:r>
      <w:r w:rsidR="00750041" w:rsidRPr="00D729B4">
        <w:rPr>
          <w:rFonts w:ascii="Calibri" w:eastAsia="Calibri" w:hAnsi="Calibri" w:cs="Calibri"/>
          <w:sz w:val="18"/>
          <w:szCs w:val="18"/>
        </w:rPr>
        <w:t>293-299</w:t>
      </w:r>
      <w:r w:rsidR="0064765A" w:rsidRPr="00D729B4">
        <w:rPr>
          <w:rFonts w:ascii="Calibri" w:eastAsia="Calibri" w:hAnsi="Calibri" w:cs="Calibri"/>
          <w:sz w:val="18"/>
          <w:szCs w:val="18"/>
        </w:rPr>
        <w:t>.</w:t>
      </w:r>
      <w:r w:rsidR="00120D9E" w:rsidRPr="00D729B4">
        <w:rPr>
          <w:rFonts w:ascii="Calibri" w:eastAsia="Calibri" w:hAnsi="Calibri" w:cs="Calibri"/>
          <w:i/>
          <w:iCs/>
          <w:sz w:val="18"/>
          <w:szCs w:val="18"/>
        </w:rPr>
        <w:t xml:space="preserve"> </w:t>
      </w:r>
      <w:r w:rsidR="000F5143" w:rsidRPr="00D729B4">
        <w:rPr>
          <w:rFonts w:ascii="Calibri" w:eastAsia="Calibri" w:hAnsi="Calibri" w:cs="Calibri"/>
          <w:sz w:val="18"/>
          <w:szCs w:val="18"/>
        </w:rPr>
        <w:t xml:space="preserve"> </w:t>
      </w:r>
    </w:p>
  </w:endnote>
  <w:endnote w:id="13">
    <w:p w14:paraId="76DE3A18" w14:textId="724C1A55" w:rsidR="00045EF5" w:rsidRPr="00FF62EC" w:rsidRDefault="00045EF5" w:rsidP="00F05CE7">
      <w:pPr>
        <w:pStyle w:val="EndnoteText"/>
        <w:spacing w:line="276" w:lineRule="auto"/>
        <w:rPr>
          <w:rFonts w:ascii="Calibri" w:hAnsi="Calibri" w:cs="Calibri"/>
          <w:sz w:val="18"/>
          <w:szCs w:val="18"/>
        </w:rPr>
      </w:pPr>
      <w:r w:rsidRPr="00D729B4">
        <w:rPr>
          <w:rStyle w:val="EndnoteReference"/>
          <w:rFonts w:ascii="Calibri" w:hAnsi="Calibri" w:cs="Calibri"/>
          <w:sz w:val="18"/>
          <w:szCs w:val="18"/>
        </w:rPr>
        <w:endnoteRef/>
      </w:r>
      <w:r w:rsidR="005707CC" w:rsidRPr="00D729B4">
        <w:rPr>
          <w:rFonts w:ascii="Calibri" w:hAnsi="Calibri" w:cs="Calibri"/>
          <w:sz w:val="18"/>
          <w:szCs w:val="18"/>
        </w:rPr>
        <w:t xml:space="preserve"> </w:t>
      </w:r>
      <w:r w:rsidR="004E4CD8" w:rsidRPr="00D729B4">
        <w:rPr>
          <w:rFonts w:ascii="Calibri" w:hAnsi="Calibri" w:cs="Calibri"/>
          <w:sz w:val="18"/>
          <w:szCs w:val="18"/>
        </w:rPr>
        <w:t>Australia's National Research Organisation for Women's Safety</w:t>
      </w:r>
      <w:r w:rsidR="005707CC" w:rsidRPr="00D729B4">
        <w:rPr>
          <w:rFonts w:ascii="Calibri" w:hAnsi="Calibri" w:cs="Calibri"/>
          <w:sz w:val="18"/>
          <w:szCs w:val="18"/>
        </w:rPr>
        <w:t xml:space="preserve">, </w:t>
      </w:r>
      <w:hyperlink r:id="rId14" w:history="1">
        <w:r w:rsidR="005707CC" w:rsidRPr="004A08F6">
          <w:rPr>
            <w:rStyle w:val="Hyperlink"/>
            <w:rFonts w:ascii="Calibri" w:hAnsi="Calibri" w:cs="Calibri"/>
            <w:i/>
            <w:iCs/>
            <w:sz w:val="18"/>
            <w:szCs w:val="18"/>
          </w:rPr>
          <w:t>Violence</w:t>
        </w:r>
        <w:r w:rsidR="00754233" w:rsidRPr="004A08F6">
          <w:rPr>
            <w:rStyle w:val="Hyperlink"/>
            <w:rFonts w:ascii="Calibri" w:hAnsi="Calibri" w:cs="Calibri"/>
            <w:i/>
            <w:iCs/>
            <w:sz w:val="18"/>
            <w:szCs w:val="18"/>
          </w:rPr>
          <w:t xml:space="preserve"> against women and mental health</w:t>
        </w:r>
      </w:hyperlink>
      <w:r w:rsidR="00754233" w:rsidRPr="00D729B4">
        <w:rPr>
          <w:rFonts w:ascii="Calibri" w:hAnsi="Calibri" w:cs="Calibri"/>
          <w:sz w:val="18"/>
          <w:szCs w:val="18"/>
        </w:rPr>
        <w:t>,</w:t>
      </w:r>
      <w:r w:rsidR="00DF236B" w:rsidRPr="00D729B4">
        <w:rPr>
          <w:rFonts w:ascii="Calibri" w:hAnsi="Calibri" w:cs="Calibri"/>
          <w:sz w:val="18"/>
          <w:szCs w:val="18"/>
        </w:rPr>
        <w:t xml:space="preserve"> </w:t>
      </w:r>
      <w:r w:rsidR="00DF236B" w:rsidRPr="00D729B4">
        <w:rPr>
          <w:rFonts w:ascii="Calibri" w:hAnsi="Calibri" w:cs="Calibri"/>
          <w:i/>
          <w:iCs/>
          <w:sz w:val="18"/>
          <w:szCs w:val="18"/>
        </w:rPr>
        <w:t>ANROWS INSIGHTS</w:t>
      </w:r>
      <w:r w:rsidR="00BE5301" w:rsidRPr="00D729B4">
        <w:rPr>
          <w:rFonts w:ascii="Calibri" w:hAnsi="Calibri" w:cs="Calibri"/>
          <w:sz w:val="18"/>
          <w:szCs w:val="18"/>
        </w:rPr>
        <w:t>,</w:t>
      </w:r>
      <w:r w:rsidR="00314284" w:rsidRPr="00D729B4">
        <w:rPr>
          <w:rFonts w:ascii="Calibri" w:hAnsi="Calibri" w:cs="Calibri"/>
          <w:sz w:val="18"/>
          <w:szCs w:val="18"/>
        </w:rPr>
        <w:t xml:space="preserve"> </w:t>
      </w:r>
      <w:r w:rsidR="00F9255A" w:rsidRPr="00D729B4">
        <w:rPr>
          <w:rFonts w:ascii="Calibri" w:hAnsi="Calibri" w:cs="Calibri"/>
          <w:sz w:val="18"/>
          <w:szCs w:val="18"/>
        </w:rPr>
        <w:t>2020</w:t>
      </w:r>
      <w:r w:rsidR="0064765A" w:rsidRPr="00D729B4">
        <w:rPr>
          <w:rFonts w:ascii="Calibri" w:hAnsi="Calibri" w:cs="Calibri"/>
          <w:sz w:val="18"/>
          <w:szCs w:val="18"/>
        </w:rPr>
        <w:t>.</w:t>
      </w:r>
      <w:r w:rsidR="00BE5301" w:rsidRPr="00D729B4">
        <w:rPr>
          <w:rFonts w:ascii="Calibri" w:hAnsi="Calibri" w:cs="Calibri"/>
          <w:i/>
          <w:iCs/>
          <w:sz w:val="18"/>
          <w:szCs w:val="18"/>
        </w:rPr>
        <w:t xml:space="preserve"> </w:t>
      </w:r>
      <w:r w:rsidRPr="00D729B4">
        <w:rPr>
          <w:rFonts w:ascii="Calibri" w:hAnsi="Calibri" w:cs="Calibri"/>
          <w:sz w:val="18"/>
          <w:szCs w:val="18"/>
        </w:rPr>
        <w:t xml:space="preserve"> </w:t>
      </w:r>
    </w:p>
  </w:endnote>
  <w:endnote w:id="14">
    <w:p w14:paraId="57FB63BB" w14:textId="6F5365BD" w:rsidR="00680920" w:rsidRPr="00DF67C6" w:rsidRDefault="00680920" w:rsidP="00F05CE7">
      <w:pPr>
        <w:pStyle w:val="EndnoteText"/>
        <w:spacing w:line="276" w:lineRule="auto"/>
        <w:rPr>
          <w:rFonts w:ascii="Calibri" w:hAnsi="Calibri" w:cs="Calibri"/>
          <w:sz w:val="18"/>
          <w:szCs w:val="18"/>
          <w:lang w:val="en-AU"/>
        </w:rPr>
      </w:pPr>
      <w:r w:rsidRPr="004A08F6">
        <w:rPr>
          <w:rStyle w:val="EndnoteReference"/>
          <w:rFonts w:ascii="Calibri" w:hAnsi="Calibri" w:cs="Calibri"/>
          <w:sz w:val="18"/>
          <w:szCs w:val="18"/>
        </w:rPr>
        <w:endnoteRef/>
      </w:r>
      <w:r w:rsidRPr="004A08F6">
        <w:rPr>
          <w:rFonts w:ascii="Calibri" w:hAnsi="Calibri" w:cs="Calibri"/>
          <w:sz w:val="18"/>
          <w:szCs w:val="18"/>
        </w:rPr>
        <w:t xml:space="preserve"> </w:t>
      </w:r>
      <w:r w:rsidR="00DB2A48" w:rsidRPr="004A08F6">
        <w:rPr>
          <w:rFonts w:ascii="Calibri" w:hAnsi="Calibri" w:cs="Calibri"/>
          <w:sz w:val="18"/>
          <w:szCs w:val="18"/>
        </w:rPr>
        <w:t>M Hutchinson, SM Cosh, L East</w:t>
      </w:r>
      <w:r w:rsidR="001A173C" w:rsidRPr="004A08F6">
        <w:rPr>
          <w:rFonts w:ascii="Calibri" w:hAnsi="Calibri" w:cs="Calibri"/>
          <w:sz w:val="18"/>
          <w:szCs w:val="18"/>
        </w:rPr>
        <w:t xml:space="preserve">, </w:t>
      </w:r>
      <w:r w:rsidR="00FF62EC" w:rsidRPr="004A08F6">
        <w:rPr>
          <w:rFonts w:ascii="Calibri" w:hAnsi="Calibri" w:cs="Calibri"/>
          <w:sz w:val="18"/>
          <w:szCs w:val="18"/>
        </w:rPr>
        <w:t>‘</w:t>
      </w:r>
      <w:r w:rsidR="00563B71" w:rsidRPr="004A08F6">
        <w:rPr>
          <w:rFonts w:ascii="Calibri" w:hAnsi="Calibri" w:cs="Calibri"/>
          <w:sz w:val="18"/>
          <w:szCs w:val="18"/>
        </w:rPr>
        <w:t>Reproductive and sexual health effects of intimate partner violence: A longitudinal and intergenerational analysis</w:t>
      </w:r>
      <w:r w:rsidR="00570C26" w:rsidRPr="004A08F6">
        <w:rPr>
          <w:rFonts w:ascii="Calibri" w:hAnsi="Calibri" w:cs="Calibri"/>
          <w:sz w:val="18"/>
          <w:szCs w:val="18"/>
        </w:rPr>
        <w:t>’</w:t>
      </w:r>
      <w:r w:rsidR="00DB2A48" w:rsidRPr="004A08F6">
        <w:rPr>
          <w:rFonts w:ascii="Calibri" w:hAnsi="Calibri" w:cs="Calibri"/>
          <w:sz w:val="18"/>
          <w:szCs w:val="18"/>
        </w:rPr>
        <w:t xml:space="preserve">, </w:t>
      </w:r>
      <w:r w:rsidR="001A173C" w:rsidRPr="004A08F6">
        <w:rPr>
          <w:rFonts w:ascii="Calibri" w:hAnsi="Calibri" w:cs="Calibri"/>
          <w:i/>
          <w:iCs/>
          <w:sz w:val="18"/>
          <w:szCs w:val="18"/>
        </w:rPr>
        <w:t>Sexual and Reproductive Healthcare</w:t>
      </w:r>
      <w:r w:rsidR="0048778F" w:rsidRPr="004A08F6">
        <w:rPr>
          <w:rFonts w:ascii="Calibri" w:hAnsi="Calibri" w:cs="Calibri"/>
          <w:i/>
          <w:iCs/>
          <w:sz w:val="18"/>
          <w:szCs w:val="18"/>
        </w:rPr>
        <w:t>,</w:t>
      </w:r>
      <w:r w:rsidR="00515683" w:rsidRPr="004A08F6">
        <w:rPr>
          <w:rFonts w:ascii="Calibri" w:hAnsi="Calibri" w:cs="Calibri"/>
          <w:sz w:val="18"/>
          <w:szCs w:val="18"/>
        </w:rPr>
        <w:t xml:space="preserve"> 2023,</w:t>
      </w:r>
      <w:r w:rsidR="0048778F" w:rsidRPr="004A08F6">
        <w:rPr>
          <w:rFonts w:ascii="Calibri" w:hAnsi="Calibri" w:cs="Calibri"/>
          <w:i/>
          <w:iCs/>
          <w:sz w:val="18"/>
          <w:szCs w:val="18"/>
        </w:rPr>
        <w:t xml:space="preserve"> </w:t>
      </w:r>
      <w:r w:rsidR="00C85FF7" w:rsidRPr="004A08F6">
        <w:rPr>
          <w:rFonts w:ascii="Calibri" w:hAnsi="Calibri" w:cs="Calibri"/>
          <w:color w:val="212121"/>
          <w:sz w:val="18"/>
          <w:szCs w:val="18"/>
          <w:shd w:val="clear" w:color="auto" w:fill="FFFFFF"/>
        </w:rPr>
        <w:t>Jun;36:100846</w:t>
      </w:r>
      <w:r w:rsidR="0064765A">
        <w:rPr>
          <w:rFonts w:ascii="Calibri" w:hAnsi="Calibri" w:cs="Calibri"/>
          <w:color w:val="212121"/>
          <w:sz w:val="18"/>
          <w:szCs w:val="18"/>
          <w:shd w:val="clear" w:color="auto" w:fill="FFFFFF"/>
        </w:rPr>
        <w:t>.</w:t>
      </w:r>
    </w:p>
  </w:endnote>
  <w:endnote w:id="15">
    <w:p w14:paraId="43FE8136" w14:textId="29FC7066" w:rsidR="00DC4865" w:rsidRPr="00411EB4" w:rsidRDefault="00DC4865" w:rsidP="00147774">
      <w:pPr>
        <w:pStyle w:val="EndnoteText"/>
        <w:spacing w:line="276" w:lineRule="auto"/>
        <w:rPr>
          <w:rFonts w:ascii="Calibri" w:hAnsi="Calibri" w:cs="Calibri"/>
          <w:sz w:val="18"/>
          <w:szCs w:val="18"/>
        </w:rPr>
      </w:pPr>
      <w:r w:rsidRPr="00DF67C6">
        <w:rPr>
          <w:rStyle w:val="EndnoteReference"/>
          <w:rFonts w:ascii="Calibri" w:hAnsi="Calibri" w:cs="Calibri"/>
          <w:sz w:val="18"/>
          <w:szCs w:val="18"/>
        </w:rPr>
        <w:endnoteRef/>
      </w:r>
      <w:r w:rsidRPr="00DF67C6">
        <w:rPr>
          <w:rFonts w:ascii="Calibri" w:hAnsi="Calibri" w:cs="Calibri"/>
          <w:sz w:val="18"/>
          <w:szCs w:val="18"/>
        </w:rPr>
        <w:t xml:space="preserve"> </w:t>
      </w:r>
      <w:r w:rsidR="00895A92" w:rsidRPr="00DF67C6">
        <w:rPr>
          <w:rFonts w:ascii="Calibri" w:hAnsi="Calibri" w:cs="Calibri"/>
          <w:sz w:val="18"/>
          <w:szCs w:val="18"/>
        </w:rPr>
        <w:t>On</w:t>
      </w:r>
      <w:r w:rsidR="003D7604" w:rsidRPr="00DF67C6">
        <w:rPr>
          <w:rFonts w:ascii="Calibri" w:hAnsi="Calibri" w:cs="Calibri"/>
          <w:sz w:val="18"/>
          <w:szCs w:val="18"/>
        </w:rPr>
        <w:t xml:space="preserve">e feature of public health used in national </w:t>
      </w:r>
      <w:r w:rsidR="006A7BF5" w:rsidRPr="00DF67C6">
        <w:rPr>
          <w:rFonts w:ascii="Calibri" w:hAnsi="Calibri" w:cs="Calibri"/>
          <w:sz w:val="18"/>
          <w:szCs w:val="18"/>
        </w:rPr>
        <w:t>frameworks is</w:t>
      </w:r>
      <w:r w:rsidR="005639BF" w:rsidRPr="00DF67C6">
        <w:rPr>
          <w:rFonts w:ascii="Calibri" w:hAnsi="Calibri" w:cs="Calibri"/>
          <w:sz w:val="18"/>
          <w:szCs w:val="18"/>
        </w:rPr>
        <w:t xml:space="preserve"> the </w:t>
      </w:r>
      <w:r w:rsidR="006A7BF5" w:rsidRPr="00DF67C6">
        <w:rPr>
          <w:rFonts w:ascii="Calibri" w:hAnsi="Calibri" w:cs="Calibri"/>
          <w:sz w:val="18"/>
          <w:szCs w:val="18"/>
        </w:rPr>
        <w:t>‘</w:t>
      </w:r>
      <w:r w:rsidR="005639BF" w:rsidRPr="00DF67C6">
        <w:rPr>
          <w:rFonts w:ascii="Calibri" w:hAnsi="Calibri" w:cs="Calibri"/>
          <w:sz w:val="18"/>
          <w:szCs w:val="18"/>
        </w:rPr>
        <w:t>socio-ecological model</w:t>
      </w:r>
      <w:r w:rsidR="006A7BF5" w:rsidRPr="00DF67C6">
        <w:rPr>
          <w:rFonts w:ascii="Calibri" w:hAnsi="Calibri" w:cs="Calibri"/>
          <w:sz w:val="18"/>
          <w:szCs w:val="18"/>
        </w:rPr>
        <w:t>’</w:t>
      </w:r>
      <w:r w:rsidR="005639BF" w:rsidRPr="00DF67C6">
        <w:rPr>
          <w:rFonts w:ascii="Calibri" w:hAnsi="Calibri" w:cs="Calibri"/>
          <w:sz w:val="18"/>
          <w:szCs w:val="18"/>
        </w:rPr>
        <w:t>,</w:t>
      </w:r>
      <w:r w:rsidR="006A7BF5" w:rsidRPr="00DF67C6">
        <w:rPr>
          <w:rFonts w:ascii="Calibri" w:hAnsi="Calibri" w:cs="Calibri"/>
          <w:sz w:val="18"/>
          <w:szCs w:val="18"/>
        </w:rPr>
        <w:t xml:space="preserve"> which</w:t>
      </w:r>
      <w:r w:rsidR="005639BF" w:rsidRPr="00DF67C6">
        <w:rPr>
          <w:rFonts w:ascii="Calibri" w:hAnsi="Calibri" w:cs="Calibri"/>
          <w:sz w:val="18"/>
          <w:szCs w:val="18"/>
        </w:rPr>
        <w:t xml:space="preserve"> demonstrates </w:t>
      </w:r>
      <w:r w:rsidR="00D744E3">
        <w:rPr>
          <w:rFonts w:ascii="Calibri" w:hAnsi="Calibri" w:cs="Calibri"/>
          <w:sz w:val="18"/>
          <w:szCs w:val="18"/>
        </w:rPr>
        <w:t>‘</w:t>
      </w:r>
      <w:r w:rsidR="005639BF" w:rsidRPr="00DF67C6">
        <w:rPr>
          <w:rFonts w:ascii="Calibri" w:hAnsi="Calibri" w:cs="Calibri"/>
          <w:sz w:val="18"/>
          <w:szCs w:val="18"/>
        </w:rPr>
        <w:t>how violence is a product of multiple, interacting components and social factors. The model conceptualises how gendered drivers of violence manifest across the personal, community and social level and illustrates the value of implementing multiple mutually reinforcing strategies across these levels.</w:t>
      </w:r>
      <w:r w:rsidR="00DD3DB0">
        <w:rPr>
          <w:rFonts w:ascii="Calibri" w:hAnsi="Calibri" w:cs="Calibri"/>
          <w:sz w:val="18"/>
          <w:szCs w:val="18"/>
        </w:rPr>
        <w:t>’</w:t>
      </w:r>
      <w:r w:rsidR="006A7BF5" w:rsidRPr="00DF67C6">
        <w:rPr>
          <w:rFonts w:ascii="Calibri" w:hAnsi="Calibri" w:cs="Calibri"/>
          <w:sz w:val="18"/>
          <w:szCs w:val="18"/>
        </w:rPr>
        <w:t xml:space="preserve"> </w:t>
      </w:r>
      <w:r w:rsidR="008465B2">
        <w:rPr>
          <w:rFonts w:ascii="Calibri" w:hAnsi="Calibri" w:cs="Calibri"/>
          <w:sz w:val="18"/>
          <w:szCs w:val="18"/>
        </w:rPr>
        <w:t>Our Wa</w:t>
      </w:r>
      <w:r w:rsidR="00A863F2">
        <w:rPr>
          <w:rFonts w:ascii="Calibri" w:hAnsi="Calibri" w:cs="Calibri"/>
          <w:sz w:val="18"/>
          <w:szCs w:val="18"/>
        </w:rPr>
        <w:t xml:space="preserve">tch, </w:t>
      </w:r>
      <w:hyperlink r:id="rId15" w:history="1">
        <w:r w:rsidR="00097BAD" w:rsidRPr="004A08F6">
          <w:rPr>
            <w:rStyle w:val="Hyperlink"/>
            <w:rFonts w:ascii="Calibri" w:hAnsi="Calibri" w:cs="Calibri"/>
            <w:i/>
            <w:iCs/>
            <w:sz w:val="18"/>
            <w:szCs w:val="18"/>
          </w:rPr>
          <w:t>Change the story; A shared framework for the primary prevention of violence against women in Australia</w:t>
        </w:r>
        <w:r w:rsidR="00587B10" w:rsidRPr="004A08F6">
          <w:rPr>
            <w:rStyle w:val="Hyperlink"/>
            <w:rFonts w:ascii="Calibri" w:hAnsi="Calibri" w:cs="Calibri"/>
            <w:i/>
            <w:iCs/>
            <w:sz w:val="18"/>
            <w:szCs w:val="18"/>
          </w:rPr>
          <w:t xml:space="preserve"> (second edition</w:t>
        </w:r>
        <w:r w:rsidR="00070060" w:rsidRPr="004A08F6">
          <w:rPr>
            <w:rStyle w:val="Hyperlink"/>
            <w:rFonts w:ascii="Calibri" w:hAnsi="Calibri" w:cs="Calibri"/>
            <w:i/>
            <w:iCs/>
            <w:sz w:val="18"/>
            <w:szCs w:val="18"/>
          </w:rPr>
          <w:t>)</w:t>
        </w:r>
        <w:r w:rsidR="004A08F6">
          <w:rPr>
            <w:rStyle w:val="Hyperlink"/>
            <w:rFonts w:ascii="Calibri" w:hAnsi="Calibri" w:cs="Calibri"/>
            <w:i/>
            <w:iCs/>
            <w:sz w:val="18"/>
            <w:szCs w:val="18"/>
          </w:rPr>
          <w:t>,</w:t>
        </w:r>
      </w:hyperlink>
      <w:r w:rsidR="004A08F6">
        <w:rPr>
          <w:rFonts w:ascii="Calibri" w:hAnsi="Calibri" w:cs="Calibri"/>
          <w:sz w:val="18"/>
          <w:szCs w:val="18"/>
        </w:rPr>
        <w:t xml:space="preserve"> </w:t>
      </w:r>
      <w:r w:rsidR="00411EB4">
        <w:rPr>
          <w:rFonts w:ascii="Calibri" w:hAnsi="Calibri" w:cs="Calibri"/>
          <w:sz w:val="18"/>
          <w:szCs w:val="18"/>
        </w:rPr>
        <w:t xml:space="preserve"> </w:t>
      </w:r>
      <w:r w:rsidR="00AF658E" w:rsidRPr="00487205">
        <w:rPr>
          <w:rFonts w:ascii="Calibri" w:hAnsi="Calibri" w:cs="Calibri"/>
          <w:sz w:val="18"/>
          <w:szCs w:val="18"/>
          <w:lang w:val="en-GB"/>
        </w:rPr>
        <w:t>Our Watch, 2021</w:t>
      </w:r>
      <w:r w:rsidR="0064765A">
        <w:rPr>
          <w:rFonts w:ascii="Calibri" w:hAnsi="Calibri" w:cs="Calibri"/>
          <w:sz w:val="18"/>
          <w:szCs w:val="18"/>
          <w:lang w:val="en-GB"/>
        </w:rPr>
        <w:t>.</w:t>
      </w:r>
    </w:p>
  </w:endnote>
  <w:endnote w:id="16">
    <w:p w14:paraId="24C62384" w14:textId="268CC408" w:rsidR="00AA2A23" w:rsidRPr="00DF67C6" w:rsidRDefault="00AA2A23" w:rsidP="00A62A90">
      <w:pPr>
        <w:rPr>
          <w:sz w:val="18"/>
          <w:szCs w:val="18"/>
        </w:rPr>
      </w:pPr>
      <w:r w:rsidRPr="00DF67C6">
        <w:rPr>
          <w:rStyle w:val="EndnoteReference"/>
          <w:sz w:val="18"/>
          <w:szCs w:val="18"/>
        </w:rPr>
        <w:endnoteRef/>
      </w:r>
      <w:r w:rsidR="00644124">
        <w:rPr>
          <w:i/>
          <w:iCs/>
          <w:sz w:val="18"/>
          <w:szCs w:val="18"/>
        </w:rPr>
        <w:t xml:space="preserve"> </w:t>
      </w:r>
      <w:r w:rsidR="00644124" w:rsidRPr="00DD2ACE">
        <w:rPr>
          <w:sz w:val="18"/>
          <w:szCs w:val="18"/>
        </w:rPr>
        <w:t xml:space="preserve">Department of </w:t>
      </w:r>
      <w:r w:rsidR="00DD2ACE" w:rsidRPr="00DD2ACE">
        <w:rPr>
          <w:sz w:val="18"/>
          <w:szCs w:val="18"/>
        </w:rPr>
        <w:t>Health and Aged Care,</w:t>
      </w:r>
      <w:r w:rsidR="00DD2ACE">
        <w:rPr>
          <w:i/>
          <w:iCs/>
          <w:sz w:val="18"/>
          <w:szCs w:val="18"/>
        </w:rPr>
        <w:t xml:space="preserve"> </w:t>
      </w:r>
      <w:hyperlink r:id="rId16" w:history="1">
        <w:r w:rsidR="00173002" w:rsidRPr="00523675">
          <w:rPr>
            <w:rStyle w:val="Hyperlink"/>
            <w:i/>
            <w:iCs/>
            <w:sz w:val="18"/>
            <w:szCs w:val="18"/>
          </w:rPr>
          <w:t>National Preventive Health Strategy</w:t>
        </w:r>
      </w:hyperlink>
      <w:r w:rsidR="00173002" w:rsidRPr="00523675">
        <w:rPr>
          <w:sz w:val="18"/>
          <w:szCs w:val="18"/>
        </w:rPr>
        <w:t>, Australian Government, 2022</w:t>
      </w:r>
      <w:r w:rsidR="00A329D0">
        <w:rPr>
          <w:sz w:val="18"/>
          <w:szCs w:val="18"/>
        </w:rPr>
        <w:t>.</w:t>
      </w:r>
    </w:p>
  </w:endnote>
  <w:endnote w:id="17">
    <w:p w14:paraId="20BCE62C" w14:textId="13AB52C3" w:rsidR="00EC563F" w:rsidRPr="00AB6EC5" w:rsidRDefault="00EC563F" w:rsidP="00147774">
      <w:pPr>
        <w:pStyle w:val="EndnoteText"/>
        <w:spacing w:line="276" w:lineRule="auto"/>
        <w:rPr>
          <w:rFonts w:ascii="Calibri" w:hAnsi="Calibri" w:cs="Calibri"/>
          <w:sz w:val="18"/>
          <w:szCs w:val="18"/>
        </w:rPr>
      </w:pPr>
      <w:r w:rsidRPr="00DF67C6">
        <w:rPr>
          <w:rStyle w:val="EndnoteReference"/>
          <w:rFonts w:ascii="Calibri" w:hAnsi="Calibri" w:cs="Calibri"/>
          <w:sz w:val="18"/>
          <w:szCs w:val="18"/>
        </w:rPr>
        <w:endnoteRef/>
      </w:r>
      <w:r w:rsidRPr="00DF67C6">
        <w:rPr>
          <w:rFonts w:ascii="Calibri" w:hAnsi="Calibri" w:cs="Calibri"/>
          <w:sz w:val="18"/>
          <w:szCs w:val="18"/>
        </w:rPr>
        <w:t xml:space="preserve"> </w:t>
      </w:r>
      <w:r w:rsidR="0053386B" w:rsidRPr="00DF67C6">
        <w:rPr>
          <w:rFonts w:ascii="Calibri" w:hAnsi="Calibri" w:cs="Calibri"/>
          <w:sz w:val="18"/>
          <w:szCs w:val="18"/>
        </w:rPr>
        <w:t>The ‘Change the story framework</w:t>
      </w:r>
      <w:r w:rsidR="00894790">
        <w:rPr>
          <w:rFonts w:ascii="Calibri" w:hAnsi="Calibri" w:cs="Calibri"/>
          <w:sz w:val="18"/>
          <w:szCs w:val="18"/>
        </w:rPr>
        <w:t>’</w:t>
      </w:r>
      <w:r w:rsidR="0053386B" w:rsidRPr="00DF67C6">
        <w:rPr>
          <w:rFonts w:ascii="Calibri" w:hAnsi="Calibri" w:cs="Calibri"/>
          <w:sz w:val="18"/>
          <w:szCs w:val="18"/>
        </w:rPr>
        <w:t xml:space="preserve"> highlights the following 4 gendered drivers</w:t>
      </w:r>
      <w:r w:rsidR="0053386B" w:rsidRPr="007218A2">
        <w:rPr>
          <w:rFonts w:ascii="Calibri" w:hAnsi="Calibri" w:cs="Calibri"/>
          <w:sz w:val="18"/>
          <w:szCs w:val="18"/>
        </w:rPr>
        <w:t xml:space="preserve"> of violence as levers to shift: </w:t>
      </w:r>
      <w:r w:rsidR="008431E9">
        <w:rPr>
          <w:rFonts w:ascii="Calibri" w:hAnsi="Calibri" w:cs="Calibri"/>
          <w:sz w:val="18"/>
          <w:szCs w:val="18"/>
        </w:rPr>
        <w:t xml:space="preserve">1. </w:t>
      </w:r>
      <w:r w:rsidR="0053386B" w:rsidRPr="007218A2">
        <w:rPr>
          <w:rFonts w:ascii="Calibri" w:hAnsi="Calibri" w:cs="Calibri"/>
          <w:sz w:val="18"/>
          <w:szCs w:val="18"/>
        </w:rPr>
        <w:t>Condoning of violence against women</w:t>
      </w:r>
      <w:r w:rsidR="008431E9">
        <w:rPr>
          <w:rFonts w:ascii="Calibri" w:hAnsi="Calibri" w:cs="Calibri"/>
          <w:sz w:val="18"/>
          <w:szCs w:val="18"/>
        </w:rPr>
        <w:t>,</w:t>
      </w:r>
      <w:r w:rsidR="0053386B" w:rsidRPr="007218A2">
        <w:rPr>
          <w:rFonts w:ascii="Calibri" w:hAnsi="Calibri" w:cs="Calibri"/>
          <w:sz w:val="18"/>
          <w:szCs w:val="18"/>
        </w:rPr>
        <w:t xml:space="preserve"> </w:t>
      </w:r>
      <w:r w:rsidR="008431E9">
        <w:rPr>
          <w:rFonts w:ascii="Calibri" w:hAnsi="Calibri" w:cs="Calibri"/>
          <w:sz w:val="18"/>
          <w:szCs w:val="18"/>
        </w:rPr>
        <w:t xml:space="preserve">2. </w:t>
      </w:r>
      <w:r w:rsidR="0053386B" w:rsidRPr="007218A2">
        <w:rPr>
          <w:rFonts w:ascii="Calibri" w:hAnsi="Calibri" w:cs="Calibri"/>
          <w:sz w:val="18"/>
          <w:szCs w:val="18"/>
        </w:rPr>
        <w:t>Men’s control of decision-making and limits to women’s independence in public and private life</w:t>
      </w:r>
      <w:r w:rsidR="008431E9">
        <w:rPr>
          <w:rFonts w:ascii="Calibri" w:hAnsi="Calibri" w:cs="Calibri"/>
          <w:sz w:val="18"/>
          <w:szCs w:val="18"/>
        </w:rPr>
        <w:t xml:space="preserve">, 3. </w:t>
      </w:r>
      <w:r w:rsidR="0053386B" w:rsidRPr="007218A2">
        <w:rPr>
          <w:rFonts w:ascii="Calibri" w:hAnsi="Calibri" w:cs="Calibri"/>
          <w:sz w:val="18"/>
          <w:szCs w:val="18"/>
        </w:rPr>
        <w:t>Rigid gender stereotyping and dominant forms of masculinity</w:t>
      </w:r>
      <w:r w:rsidR="008431E9">
        <w:rPr>
          <w:rFonts w:ascii="Calibri" w:hAnsi="Calibri" w:cs="Calibri"/>
          <w:sz w:val="18"/>
          <w:szCs w:val="18"/>
        </w:rPr>
        <w:t>,</w:t>
      </w:r>
      <w:r w:rsidR="0053386B" w:rsidRPr="007218A2">
        <w:rPr>
          <w:rFonts w:ascii="Calibri" w:hAnsi="Calibri" w:cs="Calibri"/>
          <w:sz w:val="18"/>
          <w:szCs w:val="18"/>
        </w:rPr>
        <w:t xml:space="preserve"> and </w:t>
      </w:r>
      <w:r w:rsidR="008431E9">
        <w:rPr>
          <w:rFonts w:ascii="Calibri" w:hAnsi="Calibri" w:cs="Calibri"/>
          <w:sz w:val="18"/>
          <w:szCs w:val="18"/>
        </w:rPr>
        <w:t xml:space="preserve">4. </w:t>
      </w:r>
      <w:r w:rsidR="0053386B" w:rsidRPr="007218A2">
        <w:rPr>
          <w:rFonts w:ascii="Calibri" w:hAnsi="Calibri" w:cs="Calibri"/>
          <w:sz w:val="18"/>
          <w:szCs w:val="18"/>
        </w:rPr>
        <w:t>Male peer relations and cultures of masculinity that emphasise aggression, dominance and control.</w:t>
      </w:r>
      <w:r w:rsidR="006B4CDD">
        <w:rPr>
          <w:rFonts w:ascii="Calibri" w:hAnsi="Calibri" w:cs="Calibri"/>
          <w:sz w:val="18"/>
          <w:szCs w:val="18"/>
        </w:rPr>
        <w:t xml:space="preserve"> Our Watch, </w:t>
      </w:r>
      <w:hyperlink r:id="rId17" w:history="1">
        <w:r w:rsidR="006B4CDD" w:rsidRPr="00184C29">
          <w:rPr>
            <w:rStyle w:val="Hyperlink"/>
            <w:rFonts w:ascii="Calibri" w:hAnsi="Calibri" w:cs="Calibri"/>
            <w:i/>
            <w:iCs/>
            <w:sz w:val="18"/>
            <w:szCs w:val="18"/>
          </w:rPr>
          <w:t>Change the story; A shared framework for the primary prevention of violence against women in Australia (second edition)</w:t>
        </w:r>
        <w:r w:rsidR="00184C29" w:rsidRPr="00184C29">
          <w:rPr>
            <w:rStyle w:val="Hyperlink"/>
            <w:rFonts w:ascii="Calibri" w:hAnsi="Calibri" w:cs="Calibri"/>
            <w:i/>
            <w:iCs/>
            <w:sz w:val="18"/>
            <w:szCs w:val="18"/>
          </w:rPr>
          <w:t>,</w:t>
        </w:r>
      </w:hyperlink>
      <w:r w:rsidR="00184C29">
        <w:rPr>
          <w:rFonts w:ascii="Calibri" w:hAnsi="Calibri" w:cs="Calibri"/>
          <w:sz w:val="18"/>
          <w:szCs w:val="18"/>
        </w:rPr>
        <w:t xml:space="preserve"> </w:t>
      </w:r>
      <w:r w:rsidR="006B4CDD" w:rsidRPr="00487205">
        <w:rPr>
          <w:rFonts w:ascii="Calibri" w:hAnsi="Calibri" w:cs="Calibri"/>
          <w:sz w:val="18"/>
          <w:szCs w:val="18"/>
          <w:lang w:val="en-GB"/>
        </w:rPr>
        <w:t>Our Watch, 2021</w:t>
      </w:r>
      <w:r w:rsidR="00F71F33">
        <w:rPr>
          <w:rFonts w:ascii="Calibri" w:hAnsi="Calibri" w:cs="Calibri"/>
          <w:sz w:val="18"/>
          <w:szCs w:val="18"/>
          <w:lang w:val="en-GB"/>
        </w:rPr>
        <w:t xml:space="preserve">, </w:t>
      </w:r>
      <w:r w:rsidR="00CD764B">
        <w:rPr>
          <w:rFonts w:ascii="Calibri" w:hAnsi="Calibri" w:cs="Calibri"/>
          <w:sz w:val="18"/>
          <w:szCs w:val="18"/>
          <w:lang w:val="en-GB"/>
        </w:rPr>
        <w:t>pp</w:t>
      </w:r>
      <w:r w:rsidR="0064765A">
        <w:rPr>
          <w:rFonts w:ascii="Calibri" w:hAnsi="Calibri" w:cs="Calibri"/>
          <w:sz w:val="18"/>
          <w:szCs w:val="18"/>
          <w:lang w:val="en-GB"/>
        </w:rPr>
        <w:t xml:space="preserve"> 6-7.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ubik">
    <w:altName w:val="Calibri"/>
    <w:panose1 w:val="00000000000000000000"/>
    <w:charset w:val="00"/>
    <w:family w:val="auto"/>
    <w:pitch w:val="variable"/>
    <w:sig w:usb0="A0002A6F" w:usb1="C000205B" w:usb2="00000000" w:usb3="00000000" w:csb0="000000F7"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10CD" w14:textId="77777777" w:rsidR="008F25C6" w:rsidRDefault="006A143E">
    <w:pPr>
      <w:jc w:val="right"/>
      <w:rPr>
        <w:color w:val="000000"/>
      </w:rPr>
    </w:pPr>
    <w:r>
      <w:rPr>
        <w:noProof/>
      </w:rPr>
      <w:drawing>
        <wp:anchor distT="114300" distB="114300" distL="114300" distR="114300" simplePos="0" relativeHeight="251658242" behindDoc="0" locked="0" layoutInCell="1" hidden="0" allowOverlap="1" wp14:anchorId="28D0771B" wp14:editId="0E805A38">
          <wp:simplePos x="0" y="0"/>
          <wp:positionH relativeFrom="column">
            <wp:posOffset>-964565</wp:posOffset>
          </wp:positionH>
          <wp:positionV relativeFrom="paragraph">
            <wp:posOffset>523875</wp:posOffset>
          </wp:positionV>
          <wp:extent cx="7631430" cy="125730"/>
          <wp:effectExtent l="0" t="0" r="0" b="0"/>
          <wp:wrapNone/>
          <wp:docPr id="854930143" name="Picture 8549301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54930143" name="Picture 854930143">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631430" cy="125730"/>
                  </a:xfrm>
                  <a:prstGeom prst="rect">
                    <a:avLst/>
                  </a:prstGeom>
                  <a:ln/>
                </pic:spPr>
              </pic:pic>
            </a:graphicData>
          </a:graphic>
        </wp:anchor>
      </w:drawing>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F1F0F" w14:textId="77777777" w:rsidR="008F25C6" w:rsidRDefault="006A143E">
    <w:pPr>
      <w:jc w:val="right"/>
      <w:rPr>
        <w:color w:val="000000"/>
      </w:rPr>
    </w:pPr>
    <w:r>
      <w:rPr>
        <w:noProof/>
      </w:rPr>
      <w:drawing>
        <wp:anchor distT="114300" distB="114300" distL="114300" distR="114300" simplePos="0" relativeHeight="251658243" behindDoc="0" locked="0" layoutInCell="1" hidden="0" allowOverlap="1" wp14:anchorId="08BC56BF" wp14:editId="3D54189A">
          <wp:simplePos x="0" y="0"/>
          <wp:positionH relativeFrom="column">
            <wp:posOffset>-896620</wp:posOffset>
          </wp:positionH>
          <wp:positionV relativeFrom="paragraph">
            <wp:posOffset>521970</wp:posOffset>
          </wp:positionV>
          <wp:extent cx="7632000" cy="133200"/>
          <wp:effectExtent l="0" t="0" r="0" b="635"/>
          <wp:wrapNone/>
          <wp:docPr id="1877179319" name="Picture 18771793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877179319" name="Picture 1877179319">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632000" cy="133200"/>
                  </a:xfrm>
                  <a:prstGeom prst="rect">
                    <a:avLst/>
                  </a:prstGeom>
                  <a:ln/>
                </pic:spPr>
              </pic:pic>
            </a:graphicData>
          </a:graphic>
          <wp14:sizeRelH relativeFrom="margin">
            <wp14:pctWidth>0</wp14:pctWidth>
          </wp14:sizeRelH>
          <wp14:sizeRelV relativeFrom="margin">
            <wp14:pctHeight>0</wp14:pctHeight>
          </wp14:sizeRelV>
        </wp:anchor>
      </w:drawing>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3"/>
    </w:tblGrid>
    <w:tr w:rsidR="00167A2C" w14:paraId="122935D1" w14:textId="77777777" w:rsidTr="00167A2C">
      <w:tc>
        <w:tcPr>
          <w:tcW w:w="4532" w:type="dxa"/>
        </w:tcPr>
        <w:p w14:paraId="20E6EBE3" w14:textId="5EAE39DD" w:rsidR="00167A2C" w:rsidRDefault="00167A2C" w:rsidP="00167A2C">
          <w:pPr>
            <w:rPr>
              <w:color w:val="000000"/>
            </w:rPr>
          </w:pPr>
          <w:r w:rsidRPr="00167A2C">
            <w:rPr>
              <w:color w:val="000000"/>
              <w:sz w:val="18"/>
              <w:szCs w:val="18"/>
            </w:rPr>
            <w:t>Version 1.0 December 2023</w:t>
          </w:r>
        </w:p>
      </w:tc>
      <w:tc>
        <w:tcPr>
          <w:tcW w:w="4533" w:type="dxa"/>
        </w:tcPr>
        <w:p w14:paraId="55F42480" w14:textId="342F5126" w:rsidR="00167A2C" w:rsidRDefault="00167A2C">
          <w:pPr>
            <w:jc w:val="right"/>
            <w:rPr>
              <w:color w:val="000000"/>
            </w:rPr>
          </w:pPr>
          <w:r>
            <w:rPr>
              <w:color w:val="000000"/>
            </w:rPr>
            <w:t>5</w:t>
          </w:r>
        </w:p>
      </w:tc>
    </w:tr>
  </w:tbl>
  <w:p w14:paraId="60CBDF44" w14:textId="759D721A" w:rsidR="00167A2C" w:rsidRDefault="00167A2C" w:rsidP="00167A2C">
    <w:pPr>
      <w:rPr>
        <w:color w:val="000000"/>
      </w:rPr>
    </w:pPr>
    <w:r>
      <w:rPr>
        <w:noProof/>
      </w:rPr>
      <w:drawing>
        <wp:anchor distT="114300" distB="114300" distL="114300" distR="114300" simplePos="0" relativeHeight="251660291" behindDoc="0" locked="0" layoutInCell="1" hidden="0" allowOverlap="1" wp14:anchorId="0841236D" wp14:editId="45F8B968">
          <wp:simplePos x="0" y="0"/>
          <wp:positionH relativeFrom="column">
            <wp:posOffset>-896620</wp:posOffset>
          </wp:positionH>
          <wp:positionV relativeFrom="paragraph">
            <wp:posOffset>521970</wp:posOffset>
          </wp:positionV>
          <wp:extent cx="7632000" cy="133200"/>
          <wp:effectExtent l="0" t="0" r="0" b="635"/>
          <wp:wrapNone/>
          <wp:docPr id="230292281" name="Picture 23029228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877179319" name="Picture 1877179319">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632000" cy="133200"/>
                  </a:xfrm>
                  <a:prstGeom prst="rect">
                    <a:avLst/>
                  </a:prstGeom>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B3D6F" w14:textId="77777777" w:rsidR="00CB46FA" w:rsidRDefault="00CB46FA">
      <w:pPr>
        <w:spacing w:line="240" w:lineRule="auto"/>
      </w:pPr>
      <w:r>
        <w:separator/>
      </w:r>
    </w:p>
  </w:footnote>
  <w:footnote w:type="continuationSeparator" w:id="0">
    <w:p w14:paraId="08B8680F" w14:textId="77777777" w:rsidR="00CB46FA" w:rsidRDefault="00CB46FA">
      <w:pPr>
        <w:spacing w:line="240" w:lineRule="auto"/>
      </w:pPr>
      <w:r>
        <w:continuationSeparator/>
      </w:r>
    </w:p>
  </w:footnote>
  <w:footnote w:type="continuationNotice" w:id="1">
    <w:p w14:paraId="3B4FFC76" w14:textId="77777777" w:rsidR="00CB46FA" w:rsidRDefault="00CB46F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86F6" w14:textId="77777777" w:rsidR="008F25C6" w:rsidRDefault="006A143E">
    <w:r>
      <w:rPr>
        <w:noProof/>
      </w:rPr>
      <w:drawing>
        <wp:anchor distT="114300" distB="114300" distL="114300" distR="114300" simplePos="0" relativeHeight="251658240" behindDoc="0" locked="0" layoutInCell="1" hidden="0" allowOverlap="1" wp14:anchorId="47B69850" wp14:editId="2F73CD0C">
          <wp:simplePos x="0" y="0"/>
          <wp:positionH relativeFrom="column">
            <wp:posOffset>1</wp:posOffset>
          </wp:positionH>
          <wp:positionV relativeFrom="paragraph">
            <wp:posOffset>114300</wp:posOffset>
          </wp:positionV>
          <wp:extent cx="533400" cy="466725"/>
          <wp:effectExtent l="0" t="0" r="0" b="0"/>
          <wp:wrapNone/>
          <wp:docPr id="1781817302" name="Picture 17818173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781817302" name="Picture 1781817302">
                    <a:extLst>
                      <a:ext uri="{C183D7F6-B498-43B3-948B-1728B52AA6E4}">
                        <adec:decorative xmlns:adec="http://schemas.microsoft.com/office/drawing/2017/decorative" val="1"/>
                      </a:ext>
                    </a:extLst>
                  </pic:cNvPr>
                  <pic:cNvPicPr preferRelativeResize="0"/>
                </pic:nvPicPr>
                <pic:blipFill>
                  <a:blip r:embed="rId1"/>
                  <a:srcRect r="67058"/>
                  <a:stretch>
                    <a:fillRect/>
                  </a:stretch>
                </pic:blipFill>
                <pic:spPr>
                  <a:xfrm>
                    <a:off x="0" y="0"/>
                    <a:ext cx="533400" cy="466725"/>
                  </a:xfrm>
                  <a:prstGeom prst="rect">
                    <a:avLst/>
                  </a:prstGeom>
                  <a:ln/>
                </pic:spPr>
              </pic:pic>
            </a:graphicData>
          </a:graphic>
        </wp:anchor>
      </w:drawing>
    </w:r>
  </w:p>
  <w:p w14:paraId="06044836" w14:textId="77777777" w:rsidR="008F25C6" w:rsidRDefault="008F25C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36DE9" w14:textId="6DE3453F" w:rsidR="008F25C6" w:rsidRDefault="006A143E">
    <w:r>
      <w:rPr>
        <w:noProof/>
      </w:rPr>
      <w:drawing>
        <wp:anchor distT="114300" distB="114300" distL="114300" distR="114300" simplePos="0" relativeHeight="251658241" behindDoc="0" locked="0" layoutInCell="1" hidden="0" allowOverlap="1" wp14:anchorId="2E9014D3" wp14:editId="5039B416">
          <wp:simplePos x="0" y="0"/>
          <wp:positionH relativeFrom="page">
            <wp:posOffset>-1424</wp:posOffset>
          </wp:positionH>
          <wp:positionV relativeFrom="page">
            <wp:posOffset>-6985</wp:posOffset>
          </wp:positionV>
          <wp:extent cx="7938000" cy="46800"/>
          <wp:effectExtent l="0" t="0" r="0" b="0"/>
          <wp:wrapNone/>
          <wp:docPr id="1424279754" name="Picture 14242797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424279754" name="Picture 1424279754">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938000" cy="4680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A40AA61" wp14:editId="3E7E33EF">
          <wp:extent cx="1622502" cy="461963"/>
          <wp:effectExtent l="0" t="0" r="0" b="0"/>
          <wp:docPr id="52053682" name="Picture 52053682" descr="Australian Women's Health Alliance logo"/>
          <wp:cNvGraphicFramePr/>
          <a:graphic xmlns:a="http://schemas.openxmlformats.org/drawingml/2006/main">
            <a:graphicData uri="http://schemas.openxmlformats.org/drawingml/2006/picture">
              <pic:pic xmlns:pic="http://schemas.openxmlformats.org/drawingml/2006/picture">
                <pic:nvPicPr>
                  <pic:cNvPr id="52053682" name="Picture 52053682" descr="Australian Women's Health Alliance logo"/>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622502" cy="4619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81054"/>
    <w:multiLevelType w:val="multilevel"/>
    <w:tmpl w:val="4D366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EB522F"/>
    <w:multiLevelType w:val="hybridMultilevel"/>
    <w:tmpl w:val="B8540956"/>
    <w:lvl w:ilvl="0" w:tplc="8D1C1696">
      <w:start w:val="1"/>
      <w:numFmt w:val="bullet"/>
      <w:lvlText w:val=""/>
      <w:lvlJc w:val="left"/>
      <w:pPr>
        <w:ind w:left="8441" w:hanging="360"/>
      </w:pPr>
      <w:rPr>
        <w:rFonts w:ascii="Symbol" w:hAnsi="Symbol" w:hint="default"/>
      </w:rPr>
    </w:lvl>
    <w:lvl w:ilvl="1" w:tplc="C4E86CEC">
      <w:start w:val="1"/>
      <w:numFmt w:val="bullet"/>
      <w:lvlText w:val="o"/>
      <w:lvlJc w:val="left"/>
      <w:pPr>
        <w:ind w:left="9161" w:hanging="360"/>
      </w:pPr>
      <w:rPr>
        <w:rFonts w:ascii="Courier New" w:hAnsi="Courier New" w:hint="default"/>
      </w:rPr>
    </w:lvl>
    <w:lvl w:ilvl="2" w:tplc="00CE5B6A">
      <w:start w:val="1"/>
      <w:numFmt w:val="bullet"/>
      <w:lvlText w:val=""/>
      <w:lvlJc w:val="left"/>
      <w:pPr>
        <w:ind w:left="9881" w:hanging="360"/>
      </w:pPr>
      <w:rPr>
        <w:rFonts w:ascii="Wingdings" w:hAnsi="Wingdings" w:hint="default"/>
      </w:rPr>
    </w:lvl>
    <w:lvl w:ilvl="3" w:tplc="7D0CCA5C">
      <w:start w:val="1"/>
      <w:numFmt w:val="bullet"/>
      <w:lvlText w:val=""/>
      <w:lvlJc w:val="left"/>
      <w:pPr>
        <w:ind w:left="10601" w:hanging="360"/>
      </w:pPr>
      <w:rPr>
        <w:rFonts w:ascii="Symbol" w:hAnsi="Symbol" w:hint="default"/>
      </w:rPr>
    </w:lvl>
    <w:lvl w:ilvl="4" w:tplc="CECCEA1E">
      <w:start w:val="1"/>
      <w:numFmt w:val="bullet"/>
      <w:lvlText w:val="o"/>
      <w:lvlJc w:val="left"/>
      <w:pPr>
        <w:ind w:left="11321" w:hanging="360"/>
      </w:pPr>
      <w:rPr>
        <w:rFonts w:ascii="Courier New" w:hAnsi="Courier New" w:hint="default"/>
      </w:rPr>
    </w:lvl>
    <w:lvl w:ilvl="5" w:tplc="2CAACE06">
      <w:start w:val="1"/>
      <w:numFmt w:val="bullet"/>
      <w:lvlText w:val=""/>
      <w:lvlJc w:val="left"/>
      <w:pPr>
        <w:ind w:left="12041" w:hanging="360"/>
      </w:pPr>
      <w:rPr>
        <w:rFonts w:ascii="Wingdings" w:hAnsi="Wingdings" w:hint="default"/>
      </w:rPr>
    </w:lvl>
    <w:lvl w:ilvl="6" w:tplc="65A4D9D2">
      <w:start w:val="1"/>
      <w:numFmt w:val="bullet"/>
      <w:lvlText w:val=""/>
      <w:lvlJc w:val="left"/>
      <w:pPr>
        <w:ind w:left="12761" w:hanging="360"/>
      </w:pPr>
      <w:rPr>
        <w:rFonts w:ascii="Symbol" w:hAnsi="Symbol" w:hint="default"/>
      </w:rPr>
    </w:lvl>
    <w:lvl w:ilvl="7" w:tplc="D3FE5724">
      <w:start w:val="1"/>
      <w:numFmt w:val="bullet"/>
      <w:lvlText w:val="o"/>
      <w:lvlJc w:val="left"/>
      <w:pPr>
        <w:ind w:left="13481" w:hanging="360"/>
      </w:pPr>
      <w:rPr>
        <w:rFonts w:ascii="Courier New" w:hAnsi="Courier New" w:hint="default"/>
      </w:rPr>
    </w:lvl>
    <w:lvl w:ilvl="8" w:tplc="5DAE47FC">
      <w:start w:val="1"/>
      <w:numFmt w:val="bullet"/>
      <w:lvlText w:val=""/>
      <w:lvlJc w:val="left"/>
      <w:pPr>
        <w:ind w:left="14201" w:hanging="360"/>
      </w:pPr>
      <w:rPr>
        <w:rFonts w:ascii="Wingdings" w:hAnsi="Wingdings" w:hint="default"/>
      </w:rPr>
    </w:lvl>
  </w:abstractNum>
  <w:num w:numId="1" w16cid:durableId="191843308">
    <w:abstractNumId w:val="0"/>
  </w:num>
  <w:num w:numId="2" w16cid:durableId="1142887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31A"/>
    <w:rsid w:val="00002DB5"/>
    <w:rsid w:val="00006114"/>
    <w:rsid w:val="000152A9"/>
    <w:rsid w:val="00015F1D"/>
    <w:rsid w:val="00017E6D"/>
    <w:rsid w:val="000214FD"/>
    <w:rsid w:val="00026AFE"/>
    <w:rsid w:val="00027957"/>
    <w:rsid w:val="0003415A"/>
    <w:rsid w:val="00034888"/>
    <w:rsid w:val="00035B4F"/>
    <w:rsid w:val="000404E6"/>
    <w:rsid w:val="0004137F"/>
    <w:rsid w:val="00042E95"/>
    <w:rsid w:val="0004412B"/>
    <w:rsid w:val="00045EF5"/>
    <w:rsid w:val="000461BD"/>
    <w:rsid w:val="00047574"/>
    <w:rsid w:val="00047AD0"/>
    <w:rsid w:val="00051D5D"/>
    <w:rsid w:val="00053E41"/>
    <w:rsid w:val="00067A44"/>
    <w:rsid w:val="00067C55"/>
    <w:rsid w:val="00070060"/>
    <w:rsid w:val="00073961"/>
    <w:rsid w:val="00076885"/>
    <w:rsid w:val="000770AF"/>
    <w:rsid w:val="000815B7"/>
    <w:rsid w:val="00092759"/>
    <w:rsid w:val="00093371"/>
    <w:rsid w:val="0009531A"/>
    <w:rsid w:val="000960B3"/>
    <w:rsid w:val="000965E9"/>
    <w:rsid w:val="00097BAD"/>
    <w:rsid w:val="000A2F48"/>
    <w:rsid w:val="000A6751"/>
    <w:rsid w:val="000B33F0"/>
    <w:rsid w:val="000B6654"/>
    <w:rsid w:val="000B6AC4"/>
    <w:rsid w:val="000C44D2"/>
    <w:rsid w:val="000C6684"/>
    <w:rsid w:val="000C6CD7"/>
    <w:rsid w:val="000D3D19"/>
    <w:rsid w:val="000D414B"/>
    <w:rsid w:val="000D5AD9"/>
    <w:rsid w:val="000D5B45"/>
    <w:rsid w:val="000D5CFD"/>
    <w:rsid w:val="000D7DBD"/>
    <w:rsid w:val="000E0D9A"/>
    <w:rsid w:val="000E5A8D"/>
    <w:rsid w:val="000E5AE2"/>
    <w:rsid w:val="000E5C3A"/>
    <w:rsid w:val="000E7B04"/>
    <w:rsid w:val="000E7CAC"/>
    <w:rsid w:val="000F12B2"/>
    <w:rsid w:val="000F15FB"/>
    <w:rsid w:val="000F2E79"/>
    <w:rsid w:val="000F3C05"/>
    <w:rsid w:val="000F5143"/>
    <w:rsid w:val="00100933"/>
    <w:rsid w:val="00102A62"/>
    <w:rsid w:val="00102E19"/>
    <w:rsid w:val="0010422B"/>
    <w:rsid w:val="001052A5"/>
    <w:rsid w:val="00105BAC"/>
    <w:rsid w:val="00113388"/>
    <w:rsid w:val="00113870"/>
    <w:rsid w:val="00114714"/>
    <w:rsid w:val="00115B50"/>
    <w:rsid w:val="00116030"/>
    <w:rsid w:val="00116D7A"/>
    <w:rsid w:val="00120ABA"/>
    <w:rsid w:val="00120D9E"/>
    <w:rsid w:val="00122F53"/>
    <w:rsid w:val="0012554B"/>
    <w:rsid w:val="0013132F"/>
    <w:rsid w:val="0013377F"/>
    <w:rsid w:val="0013395E"/>
    <w:rsid w:val="0013419D"/>
    <w:rsid w:val="001375E3"/>
    <w:rsid w:val="00140203"/>
    <w:rsid w:val="001424E2"/>
    <w:rsid w:val="00144F21"/>
    <w:rsid w:val="00147774"/>
    <w:rsid w:val="00154B6D"/>
    <w:rsid w:val="00154DE5"/>
    <w:rsid w:val="00167584"/>
    <w:rsid w:val="00167A2C"/>
    <w:rsid w:val="00172487"/>
    <w:rsid w:val="00173002"/>
    <w:rsid w:val="001779C9"/>
    <w:rsid w:val="00177BCC"/>
    <w:rsid w:val="001800A5"/>
    <w:rsid w:val="00184C29"/>
    <w:rsid w:val="0018594A"/>
    <w:rsid w:val="00186F5A"/>
    <w:rsid w:val="0019149B"/>
    <w:rsid w:val="001929FD"/>
    <w:rsid w:val="00195BDF"/>
    <w:rsid w:val="00197D10"/>
    <w:rsid w:val="001A173C"/>
    <w:rsid w:val="001A3195"/>
    <w:rsid w:val="001A5AC5"/>
    <w:rsid w:val="001A6681"/>
    <w:rsid w:val="001B0311"/>
    <w:rsid w:val="001B235C"/>
    <w:rsid w:val="001B5C3D"/>
    <w:rsid w:val="001C419B"/>
    <w:rsid w:val="001C53D9"/>
    <w:rsid w:val="001C5D42"/>
    <w:rsid w:val="001D058E"/>
    <w:rsid w:val="001D0F3B"/>
    <w:rsid w:val="001D1055"/>
    <w:rsid w:val="001D4FBC"/>
    <w:rsid w:val="001E2945"/>
    <w:rsid w:val="001E7F3E"/>
    <w:rsid w:val="001F206E"/>
    <w:rsid w:val="001F3C60"/>
    <w:rsid w:val="001F42FF"/>
    <w:rsid w:val="001F4363"/>
    <w:rsid w:val="001F5006"/>
    <w:rsid w:val="001F6BE6"/>
    <w:rsid w:val="001F6C5B"/>
    <w:rsid w:val="00215BA7"/>
    <w:rsid w:val="002227CB"/>
    <w:rsid w:val="002243CD"/>
    <w:rsid w:val="002269B1"/>
    <w:rsid w:val="0023435B"/>
    <w:rsid w:val="0023496B"/>
    <w:rsid w:val="00252001"/>
    <w:rsid w:val="002531DD"/>
    <w:rsid w:val="002554B3"/>
    <w:rsid w:val="00261004"/>
    <w:rsid w:val="00275BEB"/>
    <w:rsid w:val="002776CD"/>
    <w:rsid w:val="00277AF2"/>
    <w:rsid w:val="00285311"/>
    <w:rsid w:val="00285D17"/>
    <w:rsid w:val="00286083"/>
    <w:rsid w:val="002860EA"/>
    <w:rsid w:val="002864C9"/>
    <w:rsid w:val="002916EF"/>
    <w:rsid w:val="00293A54"/>
    <w:rsid w:val="0029459F"/>
    <w:rsid w:val="002964E2"/>
    <w:rsid w:val="0029680C"/>
    <w:rsid w:val="002A098B"/>
    <w:rsid w:val="002A6CD9"/>
    <w:rsid w:val="002A7CA6"/>
    <w:rsid w:val="002A7E6A"/>
    <w:rsid w:val="002B48C9"/>
    <w:rsid w:val="002B5496"/>
    <w:rsid w:val="002C0C8C"/>
    <w:rsid w:val="002C134F"/>
    <w:rsid w:val="002C5B0A"/>
    <w:rsid w:val="002D0187"/>
    <w:rsid w:val="002D0C31"/>
    <w:rsid w:val="002D1835"/>
    <w:rsid w:val="002D6741"/>
    <w:rsid w:val="002E28FC"/>
    <w:rsid w:val="002E4968"/>
    <w:rsid w:val="002E5A68"/>
    <w:rsid w:val="002E6F4D"/>
    <w:rsid w:val="002F24A8"/>
    <w:rsid w:val="002F3C83"/>
    <w:rsid w:val="002F3F02"/>
    <w:rsid w:val="002F4E61"/>
    <w:rsid w:val="003025DA"/>
    <w:rsid w:val="00302E2A"/>
    <w:rsid w:val="0030322F"/>
    <w:rsid w:val="00304AED"/>
    <w:rsid w:val="003072BA"/>
    <w:rsid w:val="00311FDF"/>
    <w:rsid w:val="00313CE9"/>
    <w:rsid w:val="00314284"/>
    <w:rsid w:val="003173B3"/>
    <w:rsid w:val="0032059B"/>
    <w:rsid w:val="00320A37"/>
    <w:rsid w:val="0032313A"/>
    <w:rsid w:val="00323D60"/>
    <w:rsid w:val="00324535"/>
    <w:rsid w:val="00324AB0"/>
    <w:rsid w:val="00325519"/>
    <w:rsid w:val="00325D78"/>
    <w:rsid w:val="00331923"/>
    <w:rsid w:val="00332DF8"/>
    <w:rsid w:val="003463EA"/>
    <w:rsid w:val="00347225"/>
    <w:rsid w:val="00354489"/>
    <w:rsid w:val="00354985"/>
    <w:rsid w:val="0035589A"/>
    <w:rsid w:val="00361BD7"/>
    <w:rsid w:val="00361F2D"/>
    <w:rsid w:val="0037138F"/>
    <w:rsid w:val="00376220"/>
    <w:rsid w:val="003777D4"/>
    <w:rsid w:val="00386465"/>
    <w:rsid w:val="00390DA1"/>
    <w:rsid w:val="003953B9"/>
    <w:rsid w:val="00396859"/>
    <w:rsid w:val="00396B6B"/>
    <w:rsid w:val="003A187A"/>
    <w:rsid w:val="003B16DD"/>
    <w:rsid w:val="003B2132"/>
    <w:rsid w:val="003C164E"/>
    <w:rsid w:val="003C6D26"/>
    <w:rsid w:val="003C70BB"/>
    <w:rsid w:val="003D5180"/>
    <w:rsid w:val="003D69ED"/>
    <w:rsid w:val="003D7604"/>
    <w:rsid w:val="003E03C5"/>
    <w:rsid w:val="003E1714"/>
    <w:rsid w:val="003E1926"/>
    <w:rsid w:val="003E1EB2"/>
    <w:rsid w:val="003E5A2A"/>
    <w:rsid w:val="003F158D"/>
    <w:rsid w:val="003F2CE6"/>
    <w:rsid w:val="003F633F"/>
    <w:rsid w:val="003F771C"/>
    <w:rsid w:val="00403CD2"/>
    <w:rsid w:val="00405F2B"/>
    <w:rsid w:val="004104D4"/>
    <w:rsid w:val="00410E0F"/>
    <w:rsid w:val="00411EB4"/>
    <w:rsid w:val="00412E38"/>
    <w:rsid w:val="004142FD"/>
    <w:rsid w:val="00415E94"/>
    <w:rsid w:val="0042158C"/>
    <w:rsid w:val="004261B3"/>
    <w:rsid w:val="004265AA"/>
    <w:rsid w:val="00426C00"/>
    <w:rsid w:val="004348A3"/>
    <w:rsid w:val="0043731D"/>
    <w:rsid w:val="004419E3"/>
    <w:rsid w:val="00441C0F"/>
    <w:rsid w:val="00447B2E"/>
    <w:rsid w:val="0045432F"/>
    <w:rsid w:val="00454AAB"/>
    <w:rsid w:val="00457479"/>
    <w:rsid w:val="00465C69"/>
    <w:rsid w:val="004661B0"/>
    <w:rsid w:val="00467C4A"/>
    <w:rsid w:val="00470A7B"/>
    <w:rsid w:val="00471281"/>
    <w:rsid w:val="00477A8B"/>
    <w:rsid w:val="00480D7A"/>
    <w:rsid w:val="00480DD7"/>
    <w:rsid w:val="0048104D"/>
    <w:rsid w:val="00483756"/>
    <w:rsid w:val="00485B6E"/>
    <w:rsid w:val="004860AF"/>
    <w:rsid w:val="00487205"/>
    <w:rsid w:val="004876D8"/>
    <w:rsid w:val="0048778F"/>
    <w:rsid w:val="004910B2"/>
    <w:rsid w:val="004970EE"/>
    <w:rsid w:val="004A08F6"/>
    <w:rsid w:val="004A1184"/>
    <w:rsid w:val="004A4BC3"/>
    <w:rsid w:val="004A50D8"/>
    <w:rsid w:val="004A553A"/>
    <w:rsid w:val="004B113A"/>
    <w:rsid w:val="004B348B"/>
    <w:rsid w:val="004B46E9"/>
    <w:rsid w:val="004B493B"/>
    <w:rsid w:val="004C0C28"/>
    <w:rsid w:val="004C5542"/>
    <w:rsid w:val="004C6A04"/>
    <w:rsid w:val="004D4511"/>
    <w:rsid w:val="004D54E7"/>
    <w:rsid w:val="004D791C"/>
    <w:rsid w:val="004E0648"/>
    <w:rsid w:val="004E245A"/>
    <w:rsid w:val="004E30F6"/>
    <w:rsid w:val="004E49CA"/>
    <w:rsid w:val="004E4CD8"/>
    <w:rsid w:val="004E4D4B"/>
    <w:rsid w:val="004E5085"/>
    <w:rsid w:val="004F23D7"/>
    <w:rsid w:val="00505767"/>
    <w:rsid w:val="00505926"/>
    <w:rsid w:val="00512C76"/>
    <w:rsid w:val="00515683"/>
    <w:rsid w:val="005169C8"/>
    <w:rsid w:val="00517457"/>
    <w:rsid w:val="005200EC"/>
    <w:rsid w:val="00521DC4"/>
    <w:rsid w:val="0052290E"/>
    <w:rsid w:val="00523675"/>
    <w:rsid w:val="0053386B"/>
    <w:rsid w:val="00542D07"/>
    <w:rsid w:val="00542F3F"/>
    <w:rsid w:val="00550D9B"/>
    <w:rsid w:val="00553151"/>
    <w:rsid w:val="0055519C"/>
    <w:rsid w:val="005562DD"/>
    <w:rsid w:val="00557A75"/>
    <w:rsid w:val="00562088"/>
    <w:rsid w:val="0056364D"/>
    <w:rsid w:val="005639BF"/>
    <w:rsid w:val="00563AAF"/>
    <w:rsid w:val="00563B71"/>
    <w:rsid w:val="00564260"/>
    <w:rsid w:val="00564D8C"/>
    <w:rsid w:val="0056629F"/>
    <w:rsid w:val="00566493"/>
    <w:rsid w:val="00566507"/>
    <w:rsid w:val="005707CC"/>
    <w:rsid w:val="00570C26"/>
    <w:rsid w:val="005712C0"/>
    <w:rsid w:val="00571A34"/>
    <w:rsid w:val="00573E77"/>
    <w:rsid w:val="0058242E"/>
    <w:rsid w:val="00583E6C"/>
    <w:rsid w:val="0058533A"/>
    <w:rsid w:val="00587B10"/>
    <w:rsid w:val="00590405"/>
    <w:rsid w:val="00596B85"/>
    <w:rsid w:val="005A1E28"/>
    <w:rsid w:val="005A4B20"/>
    <w:rsid w:val="005B1E5A"/>
    <w:rsid w:val="005B786A"/>
    <w:rsid w:val="005C17C6"/>
    <w:rsid w:val="005C3844"/>
    <w:rsid w:val="005C6412"/>
    <w:rsid w:val="005D10D3"/>
    <w:rsid w:val="005D4A48"/>
    <w:rsid w:val="005D4C86"/>
    <w:rsid w:val="005D6B4C"/>
    <w:rsid w:val="005E2058"/>
    <w:rsid w:val="005E2803"/>
    <w:rsid w:val="005E2D57"/>
    <w:rsid w:val="005E5C0E"/>
    <w:rsid w:val="005E79A7"/>
    <w:rsid w:val="005F412B"/>
    <w:rsid w:val="005F46E2"/>
    <w:rsid w:val="005F566C"/>
    <w:rsid w:val="005F6220"/>
    <w:rsid w:val="005F6E38"/>
    <w:rsid w:val="0060240B"/>
    <w:rsid w:val="00602843"/>
    <w:rsid w:val="00604E7A"/>
    <w:rsid w:val="00611C79"/>
    <w:rsid w:val="00617E84"/>
    <w:rsid w:val="0062082D"/>
    <w:rsid w:val="00625562"/>
    <w:rsid w:val="00631289"/>
    <w:rsid w:val="006316A2"/>
    <w:rsid w:val="0063410C"/>
    <w:rsid w:val="006344DF"/>
    <w:rsid w:val="006362F2"/>
    <w:rsid w:val="0064228B"/>
    <w:rsid w:val="006424A3"/>
    <w:rsid w:val="00644124"/>
    <w:rsid w:val="0064765A"/>
    <w:rsid w:val="00651302"/>
    <w:rsid w:val="00653FBE"/>
    <w:rsid w:val="00653FCE"/>
    <w:rsid w:val="00655D5F"/>
    <w:rsid w:val="00660DAA"/>
    <w:rsid w:val="006636E0"/>
    <w:rsid w:val="0066493D"/>
    <w:rsid w:val="006733FF"/>
    <w:rsid w:val="00680920"/>
    <w:rsid w:val="00682B3C"/>
    <w:rsid w:val="006837A9"/>
    <w:rsid w:val="0068623C"/>
    <w:rsid w:val="00686254"/>
    <w:rsid w:val="00687722"/>
    <w:rsid w:val="006913A7"/>
    <w:rsid w:val="00694F76"/>
    <w:rsid w:val="0069534B"/>
    <w:rsid w:val="00697EA1"/>
    <w:rsid w:val="006A030E"/>
    <w:rsid w:val="006A143E"/>
    <w:rsid w:val="006A2328"/>
    <w:rsid w:val="006A449E"/>
    <w:rsid w:val="006A5AE0"/>
    <w:rsid w:val="006A627F"/>
    <w:rsid w:val="006A7BA3"/>
    <w:rsid w:val="006A7BF5"/>
    <w:rsid w:val="006B0EA8"/>
    <w:rsid w:val="006B2A29"/>
    <w:rsid w:val="006B2CC9"/>
    <w:rsid w:val="006B4CDD"/>
    <w:rsid w:val="006B6CDF"/>
    <w:rsid w:val="006C0092"/>
    <w:rsid w:val="006C1B88"/>
    <w:rsid w:val="006C6999"/>
    <w:rsid w:val="006C69E8"/>
    <w:rsid w:val="006C78F7"/>
    <w:rsid w:val="006D2F22"/>
    <w:rsid w:val="006D3C27"/>
    <w:rsid w:val="006D4133"/>
    <w:rsid w:val="006D4657"/>
    <w:rsid w:val="006D48D8"/>
    <w:rsid w:val="006D55D0"/>
    <w:rsid w:val="006E3E89"/>
    <w:rsid w:val="006F55D1"/>
    <w:rsid w:val="006F5965"/>
    <w:rsid w:val="006F6670"/>
    <w:rsid w:val="006F7803"/>
    <w:rsid w:val="0070608F"/>
    <w:rsid w:val="007100DC"/>
    <w:rsid w:val="00712487"/>
    <w:rsid w:val="0071667E"/>
    <w:rsid w:val="00720AAB"/>
    <w:rsid w:val="007218A2"/>
    <w:rsid w:val="00727D06"/>
    <w:rsid w:val="00731360"/>
    <w:rsid w:val="00732741"/>
    <w:rsid w:val="00732F8A"/>
    <w:rsid w:val="00733370"/>
    <w:rsid w:val="00740079"/>
    <w:rsid w:val="00740B85"/>
    <w:rsid w:val="00740F55"/>
    <w:rsid w:val="0074329E"/>
    <w:rsid w:val="007446FB"/>
    <w:rsid w:val="00745F95"/>
    <w:rsid w:val="00750041"/>
    <w:rsid w:val="007539CE"/>
    <w:rsid w:val="00754233"/>
    <w:rsid w:val="0075608B"/>
    <w:rsid w:val="00767EBE"/>
    <w:rsid w:val="0077112D"/>
    <w:rsid w:val="007744B1"/>
    <w:rsid w:val="00781692"/>
    <w:rsid w:val="0078482F"/>
    <w:rsid w:val="00786434"/>
    <w:rsid w:val="007927E4"/>
    <w:rsid w:val="00793995"/>
    <w:rsid w:val="00793B77"/>
    <w:rsid w:val="007A6714"/>
    <w:rsid w:val="007A7A7A"/>
    <w:rsid w:val="007B22DE"/>
    <w:rsid w:val="007B3CC1"/>
    <w:rsid w:val="007B5F1A"/>
    <w:rsid w:val="007C3AEE"/>
    <w:rsid w:val="007C4E66"/>
    <w:rsid w:val="007C5553"/>
    <w:rsid w:val="007C5BAB"/>
    <w:rsid w:val="007C6D5D"/>
    <w:rsid w:val="007C797C"/>
    <w:rsid w:val="007D1E6A"/>
    <w:rsid w:val="007D33A6"/>
    <w:rsid w:val="007D50D7"/>
    <w:rsid w:val="007D5D20"/>
    <w:rsid w:val="007E02D4"/>
    <w:rsid w:val="007E30E5"/>
    <w:rsid w:val="007F1308"/>
    <w:rsid w:val="007F399D"/>
    <w:rsid w:val="0080209D"/>
    <w:rsid w:val="00802DC7"/>
    <w:rsid w:val="00807814"/>
    <w:rsid w:val="00810E4E"/>
    <w:rsid w:val="008157F4"/>
    <w:rsid w:val="00821387"/>
    <w:rsid w:val="00822C5B"/>
    <w:rsid w:val="008362B3"/>
    <w:rsid w:val="00842D45"/>
    <w:rsid w:val="008431E9"/>
    <w:rsid w:val="008465B2"/>
    <w:rsid w:val="0085198F"/>
    <w:rsid w:val="0085303A"/>
    <w:rsid w:val="008545DE"/>
    <w:rsid w:val="00855934"/>
    <w:rsid w:val="008601D8"/>
    <w:rsid w:val="008629DF"/>
    <w:rsid w:val="00864AA3"/>
    <w:rsid w:val="008671FD"/>
    <w:rsid w:val="00881393"/>
    <w:rsid w:val="00881717"/>
    <w:rsid w:val="00884EFA"/>
    <w:rsid w:val="008851B7"/>
    <w:rsid w:val="008855F5"/>
    <w:rsid w:val="00886597"/>
    <w:rsid w:val="00890610"/>
    <w:rsid w:val="0089094E"/>
    <w:rsid w:val="00891D79"/>
    <w:rsid w:val="00893D55"/>
    <w:rsid w:val="00894637"/>
    <w:rsid w:val="00894790"/>
    <w:rsid w:val="00895A92"/>
    <w:rsid w:val="008A2785"/>
    <w:rsid w:val="008A2E41"/>
    <w:rsid w:val="008A3204"/>
    <w:rsid w:val="008A6F68"/>
    <w:rsid w:val="008B2ED5"/>
    <w:rsid w:val="008C197F"/>
    <w:rsid w:val="008C2A7E"/>
    <w:rsid w:val="008C33A7"/>
    <w:rsid w:val="008C4BD8"/>
    <w:rsid w:val="008C6191"/>
    <w:rsid w:val="008C62AF"/>
    <w:rsid w:val="008C71CB"/>
    <w:rsid w:val="008C76A4"/>
    <w:rsid w:val="008D1CB7"/>
    <w:rsid w:val="008D2BDE"/>
    <w:rsid w:val="008D45AE"/>
    <w:rsid w:val="008D5D84"/>
    <w:rsid w:val="008D6BE0"/>
    <w:rsid w:val="008E58B8"/>
    <w:rsid w:val="008E5FD6"/>
    <w:rsid w:val="008F25C6"/>
    <w:rsid w:val="008F2B6A"/>
    <w:rsid w:val="008F3B25"/>
    <w:rsid w:val="00901696"/>
    <w:rsid w:val="00902528"/>
    <w:rsid w:val="009053F7"/>
    <w:rsid w:val="00920DD7"/>
    <w:rsid w:val="00921B98"/>
    <w:rsid w:val="00925047"/>
    <w:rsid w:val="009251B8"/>
    <w:rsid w:val="00927616"/>
    <w:rsid w:val="009323F0"/>
    <w:rsid w:val="009363A4"/>
    <w:rsid w:val="00936FB0"/>
    <w:rsid w:val="0093717D"/>
    <w:rsid w:val="0094593C"/>
    <w:rsid w:val="00946994"/>
    <w:rsid w:val="00952408"/>
    <w:rsid w:val="009525E2"/>
    <w:rsid w:val="0096145A"/>
    <w:rsid w:val="009665B2"/>
    <w:rsid w:val="00972AF6"/>
    <w:rsid w:val="00972F86"/>
    <w:rsid w:val="0097454D"/>
    <w:rsid w:val="00975368"/>
    <w:rsid w:val="009765D5"/>
    <w:rsid w:val="009774D5"/>
    <w:rsid w:val="009778C6"/>
    <w:rsid w:val="00977AE2"/>
    <w:rsid w:val="00981337"/>
    <w:rsid w:val="00981378"/>
    <w:rsid w:val="00982887"/>
    <w:rsid w:val="0098473E"/>
    <w:rsid w:val="00986003"/>
    <w:rsid w:val="009861A7"/>
    <w:rsid w:val="009909C4"/>
    <w:rsid w:val="00993F72"/>
    <w:rsid w:val="00995945"/>
    <w:rsid w:val="00997CEB"/>
    <w:rsid w:val="009A3EBA"/>
    <w:rsid w:val="009A7564"/>
    <w:rsid w:val="009B1302"/>
    <w:rsid w:val="009B3D01"/>
    <w:rsid w:val="009B54E8"/>
    <w:rsid w:val="009C388F"/>
    <w:rsid w:val="009D00C8"/>
    <w:rsid w:val="009D18BF"/>
    <w:rsid w:val="009D342D"/>
    <w:rsid w:val="009D384B"/>
    <w:rsid w:val="009D7C1B"/>
    <w:rsid w:val="009E2F52"/>
    <w:rsid w:val="009E7836"/>
    <w:rsid w:val="009F3855"/>
    <w:rsid w:val="009F6A33"/>
    <w:rsid w:val="00A00424"/>
    <w:rsid w:val="00A10702"/>
    <w:rsid w:val="00A10B53"/>
    <w:rsid w:val="00A117F8"/>
    <w:rsid w:val="00A2047E"/>
    <w:rsid w:val="00A329D0"/>
    <w:rsid w:val="00A3768D"/>
    <w:rsid w:val="00A37986"/>
    <w:rsid w:val="00A41F43"/>
    <w:rsid w:val="00A470F8"/>
    <w:rsid w:val="00A55F54"/>
    <w:rsid w:val="00A56277"/>
    <w:rsid w:val="00A56348"/>
    <w:rsid w:val="00A621C9"/>
    <w:rsid w:val="00A62A90"/>
    <w:rsid w:val="00A63F3B"/>
    <w:rsid w:val="00A64A71"/>
    <w:rsid w:val="00A670E5"/>
    <w:rsid w:val="00A70E37"/>
    <w:rsid w:val="00A72C68"/>
    <w:rsid w:val="00A72D6D"/>
    <w:rsid w:val="00A7564B"/>
    <w:rsid w:val="00A7695E"/>
    <w:rsid w:val="00A80316"/>
    <w:rsid w:val="00A83B9F"/>
    <w:rsid w:val="00A863F2"/>
    <w:rsid w:val="00A86E2C"/>
    <w:rsid w:val="00A92360"/>
    <w:rsid w:val="00A95F7A"/>
    <w:rsid w:val="00A96644"/>
    <w:rsid w:val="00AA19EF"/>
    <w:rsid w:val="00AA2A23"/>
    <w:rsid w:val="00AB05F0"/>
    <w:rsid w:val="00AB6EC5"/>
    <w:rsid w:val="00AB7E7C"/>
    <w:rsid w:val="00AC0EC6"/>
    <w:rsid w:val="00AC1411"/>
    <w:rsid w:val="00AC674B"/>
    <w:rsid w:val="00AE05D5"/>
    <w:rsid w:val="00AE4100"/>
    <w:rsid w:val="00AF2A02"/>
    <w:rsid w:val="00AF5FBF"/>
    <w:rsid w:val="00AF658E"/>
    <w:rsid w:val="00AF67AF"/>
    <w:rsid w:val="00AF6A25"/>
    <w:rsid w:val="00AF7DC4"/>
    <w:rsid w:val="00B01A63"/>
    <w:rsid w:val="00B03140"/>
    <w:rsid w:val="00B05AF6"/>
    <w:rsid w:val="00B05D0C"/>
    <w:rsid w:val="00B06654"/>
    <w:rsid w:val="00B1660F"/>
    <w:rsid w:val="00B25ACA"/>
    <w:rsid w:val="00B26570"/>
    <w:rsid w:val="00B34E40"/>
    <w:rsid w:val="00B374E5"/>
    <w:rsid w:val="00B37E4F"/>
    <w:rsid w:val="00B37EC0"/>
    <w:rsid w:val="00B47858"/>
    <w:rsid w:val="00B47CF5"/>
    <w:rsid w:val="00B53D83"/>
    <w:rsid w:val="00B53E7A"/>
    <w:rsid w:val="00B63254"/>
    <w:rsid w:val="00B70FD5"/>
    <w:rsid w:val="00B736E1"/>
    <w:rsid w:val="00B758D9"/>
    <w:rsid w:val="00B81FD0"/>
    <w:rsid w:val="00B83133"/>
    <w:rsid w:val="00B9045C"/>
    <w:rsid w:val="00B91B61"/>
    <w:rsid w:val="00B93BB9"/>
    <w:rsid w:val="00B94D27"/>
    <w:rsid w:val="00BA0FDF"/>
    <w:rsid w:val="00BA11D5"/>
    <w:rsid w:val="00BA345F"/>
    <w:rsid w:val="00BA48AD"/>
    <w:rsid w:val="00BA4BC4"/>
    <w:rsid w:val="00BA6DFC"/>
    <w:rsid w:val="00BA74AF"/>
    <w:rsid w:val="00BA7BB5"/>
    <w:rsid w:val="00BB0645"/>
    <w:rsid w:val="00BB0BCE"/>
    <w:rsid w:val="00BB1621"/>
    <w:rsid w:val="00BB3741"/>
    <w:rsid w:val="00BB3AF0"/>
    <w:rsid w:val="00BB6599"/>
    <w:rsid w:val="00BB6886"/>
    <w:rsid w:val="00BC4BB0"/>
    <w:rsid w:val="00BC5005"/>
    <w:rsid w:val="00BC5C7B"/>
    <w:rsid w:val="00BC5D6C"/>
    <w:rsid w:val="00BC5E39"/>
    <w:rsid w:val="00BC6E00"/>
    <w:rsid w:val="00BD529B"/>
    <w:rsid w:val="00BD6569"/>
    <w:rsid w:val="00BE5301"/>
    <w:rsid w:val="00BF0D9A"/>
    <w:rsid w:val="00BF0FFA"/>
    <w:rsid w:val="00BF356E"/>
    <w:rsid w:val="00BF36C3"/>
    <w:rsid w:val="00BF3705"/>
    <w:rsid w:val="00BF4334"/>
    <w:rsid w:val="00BF4663"/>
    <w:rsid w:val="00BF67E3"/>
    <w:rsid w:val="00C01562"/>
    <w:rsid w:val="00C03516"/>
    <w:rsid w:val="00C037CD"/>
    <w:rsid w:val="00C11668"/>
    <w:rsid w:val="00C21334"/>
    <w:rsid w:val="00C24F5F"/>
    <w:rsid w:val="00C2658C"/>
    <w:rsid w:val="00C31675"/>
    <w:rsid w:val="00C32436"/>
    <w:rsid w:val="00C35C71"/>
    <w:rsid w:val="00C40688"/>
    <w:rsid w:val="00C4082D"/>
    <w:rsid w:val="00C41101"/>
    <w:rsid w:val="00C41AC1"/>
    <w:rsid w:val="00C476C8"/>
    <w:rsid w:val="00C47E15"/>
    <w:rsid w:val="00C51A6E"/>
    <w:rsid w:val="00C524BF"/>
    <w:rsid w:val="00C57F5A"/>
    <w:rsid w:val="00C60D12"/>
    <w:rsid w:val="00C614CD"/>
    <w:rsid w:val="00C62606"/>
    <w:rsid w:val="00C65D17"/>
    <w:rsid w:val="00C7180C"/>
    <w:rsid w:val="00C730EC"/>
    <w:rsid w:val="00C73571"/>
    <w:rsid w:val="00C74583"/>
    <w:rsid w:val="00C82C3F"/>
    <w:rsid w:val="00C84336"/>
    <w:rsid w:val="00C85FF7"/>
    <w:rsid w:val="00C8789D"/>
    <w:rsid w:val="00C87E6A"/>
    <w:rsid w:val="00CA0F8C"/>
    <w:rsid w:val="00CA278D"/>
    <w:rsid w:val="00CA3C92"/>
    <w:rsid w:val="00CA4DCD"/>
    <w:rsid w:val="00CA6D0E"/>
    <w:rsid w:val="00CB0006"/>
    <w:rsid w:val="00CB38ED"/>
    <w:rsid w:val="00CB46FA"/>
    <w:rsid w:val="00CB7F9E"/>
    <w:rsid w:val="00CC1084"/>
    <w:rsid w:val="00CC5334"/>
    <w:rsid w:val="00CC5CA9"/>
    <w:rsid w:val="00CC61CD"/>
    <w:rsid w:val="00CD2CD3"/>
    <w:rsid w:val="00CD6901"/>
    <w:rsid w:val="00CD764B"/>
    <w:rsid w:val="00CE00EA"/>
    <w:rsid w:val="00CE1151"/>
    <w:rsid w:val="00CE61D4"/>
    <w:rsid w:val="00CF15F1"/>
    <w:rsid w:val="00CF2C60"/>
    <w:rsid w:val="00CF3125"/>
    <w:rsid w:val="00CF38F8"/>
    <w:rsid w:val="00CF408C"/>
    <w:rsid w:val="00CF59E7"/>
    <w:rsid w:val="00CF77F5"/>
    <w:rsid w:val="00D052CA"/>
    <w:rsid w:val="00D12759"/>
    <w:rsid w:val="00D143F5"/>
    <w:rsid w:val="00D269F0"/>
    <w:rsid w:val="00D4130C"/>
    <w:rsid w:val="00D42B99"/>
    <w:rsid w:val="00D46368"/>
    <w:rsid w:val="00D60C7E"/>
    <w:rsid w:val="00D61501"/>
    <w:rsid w:val="00D62016"/>
    <w:rsid w:val="00D62D9D"/>
    <w:rsid w:val="00D65CEE"/>
    <w:rsid w:val="00D7080F"/>
    <w:rsid w:val="00D729B4"/>
    <w:rsid w:val="00D72B78"/>
    <w:rsid w:val="00D73D53"/>
    <w:rsid w:val="00D744E3"/>
    <w:rsid w:val="00D759BD"/>
    <w:rsid w:val="00D77D39"/>
    <w:rsid w:val="00D80028"/>
    <w:rsid w:val="00D80E2A"/>
    <w:rsid w:val="00D8467C"/>
    <w:rsid w:val="00D84ECC"/>
    <w:rsid w:val="00D86216"/>
    <w:rsid w:val="00D86606"/>
    <w:rsid w:val="00D90B91"/>
    <w:rsid w:val="00D9292B"/>
    <w:rsid w:val="00D9473A"/>
    <w:rsid w:val="00DA5AB2"/>
    <w:rsid w:val="00DA7939"/>
    <w:rsid w:val="00DB0090"/>
    <w:rsid w:val="00DB13ED"/>
    <w:rsid w:val="00DB2A48"/>
    <w:rsid w:val="00DB5A45"/>
    <w:rsid w:val="00DB63C7"/>
    <w:rsid w:val="00DB793B"/>
    <w:rsid w:val="00DC012D"/>
    <w:rsid w:val="00DC1C35"/>
    <w:rsid w:val="00DC382C"/>
    <w:rsid w:val="00DC44D6"/>
    <w:rsid w:val="00DC4865"/>
    <w:rsid w:val="00DC644E"/>
    <w:rsid w:val="00DC6557"/>
    <w:rsid w:val="00DC6F75"/>
    <w:rsid w:val="00DD0B3A"/>
    <w:rsid w:val="00DD2ACE"/>
    <w:rsid w:val="00DD3DB0"/>
    <w:rsid w:val="00DD43C1"/>
    <w:rsid w:val="00DD4C6A"/>
    <w:rsid w:val="00DD5A71"/>
    <w:rsid w:val="00DD6524"/>
    <w:rsid w:val="00DE0753"/>
    <w:rsid w:val="00DE0E2A"/>
    <w:rsid w:val="00DE1F47"/>
    <w:rsid w:val="00DE2333"/>
    <w:rsid w:val="00DE3B01"/>
    <w:rsid w:val="00DE6DED"/>
    <w:rsid w:val="00DF1B3A"/>
    <w:rsid w:val="00DF236B"/>
    <w:rsid w:val="00DF4639"/>
    <w:rsid w:val="00DF5196"/>
    <w:rsid w:val="00DF588D"/>
    <w:rsid w:val="00DF67C6"/>
    <w:rsid w:val="00E05A38"/>
    <w:rsid w:val="00E10461"/>
    <w:rsid w:val="00E11507"/>
    <w:rsid w:val="00E120AE"/>
    <w:rsid w:val="00E12D39"/>
    <w:rsid w:val="00E13D66"/>
    <w:rsid w:val="00E15A2C"/>
    <w:rsid w:val="00E22073"/>
    <w:rsid w:val="00E224A8"/>
    <w:rsid w:val="00E23774"/>
    <w:rsid w:val="00E279C3"/>
    <w:rsid w:val="00E36C4E"/>
    <w:rsid w:val="00E37132"/>
    <w:rsid w:val="00E420E5"/>
    <w:rsid w:val="00E429B3"/>
    <w:rsid w:val="00E44ABF"/>
    <w:rsid w:val="00E46AD5"/>
    <w:rsid w:val="00E477F7"/>
    <w:rsid w:val="00E5186D"/>
    <w:rsid w:val="00E5228E"/>
    <w:rsid w:val="00E54BA7"/>
    <w:rsid w:val="00E54ECA"/>
    <w:rsid w:val="00E60F88"/>
    <w:rsid w:val="00E6192A"/>
    <w:rsid w:val="00E62C08"/>
    <w:rsid w:val="00E63DE5"/>
    <w:rsid w:val="00E67073"/>
    <w:rsid w:val="00E73438"/>
    <w:rsid w:val="00E7393E"/>
    <w:rsid w:val="00E75554"/>
    <w:rsid w:val="00E8176F"/>
    <w:rsid w:val="00E8509D"/>
    <w:rsid w:val="00E8691A"/>
    <w:rsid w:val="00E878B3"/>
    <w:rsid w:val="00E91CDF"/>
    <w:rsid w:val="00E94DC7"/>
    <w:rsid w:val="00E94FB5"/>
    <w:rsid w:val="00EA5B7F"/>
    <w:rsid w:val="00EB055B"/>
    <w:rsid w:val="00EC0F96"/>
    <w:rsid w:val="00EC193F"/>
    <w:rsid w:val="00EC1F14"/>
    <w:rsid w:val="00EC3BE8"/>
    <w:rsid w:val="00EC5179"/>
    <w:rsid w:val="00EC563F"/>
    <w:rsid w:val="00EC69BE"/>
    <w:rsid w:val="00EC7702"/>
    <w:rsid w:val="00ED0ECE"/>
    <w:rsid w:val="00ED309C"/>
    <w:rsid w:val="00ED35C8"/>
    <w:rsid w:val="00ED56D6"/>
    <w:rsid w:val="00ED6F91"/>
    <w:rsid w:val="00EE1D8C"/>
    <w:rsid w:val="00EE46EC"/>
    <w:rsid w:val="00EF167A"/>
    <w:rsid w:val="00EF3B77"/>
    <w:rsid w:val="00EF6D4F"/>
    <w:rsid w:val="00EF71A6"/>
    <w:rsid w:val="00F05CE7"/>
    <w:rsid w:val="00F068CA"/>
    <w:rsid w:val="00F07701"/>
    <w:rsid w:val="00F10F27"/>
    <w:rsid w:val="00F13997"/>
    <w:rsid w:val="00F140AB"/>
    <w:rsid w:val="00F14403"/>
    <w:rsid w:val="00F16917"/>
    <w:rsid w:val="00F21936"/>
    <w:rsid w:val="00F22652"/>
    <w:rsid w:val="00F23048"/>
    <w:rsid w:val="00F23F57"/>
    <w:rsid w:val="00F24700"/>
    <w:rsid w:val="00F273D2"/>
    <w:rsid w:val="00F41A6E"/>
    <w:rsid w:val="00F4641A"/>
    <w:rsid w:val="00F515F3"/>
    <w:rsid w:val="00F567D5"/>
    <w:rsid w:val="00F572BC"/>
    <w:rsid w:val="00F5777E"/>
    <w:rsid w:val="00F60BCC"/>
    <w:rsid w:val="00F6165D"/>
    <w:rsid w:val="00F61E72"/>
    <w:rsid w:val="00F71F33"/>
    <w:rsid w:val="00F747DC"/>
    <w:rsid w:val="00F760E5"/>
    <w:rsid w:val="00F76AA5"/>
    <w:rsid w:val="00F81AB3"/>
    <w:rsid w:val="00F85893"/>
    <w:rsid w:val="00F90577"/>
    <w:rsid w:val="00F9255A"/>
    <w:rsid w:val="00FA2169"/>
    <w:rsid w:val="00FA3D81"/>
    <w:rsid w:val="00FA7CD3"/>
    <w:rsid w:val="00FB2838"/>
    <w:rsid w:val="00FB2DDD"/>
    <w:rsid w:val="00FB3E87"/>
    <w:rsid w:val="00FB473B"/>
    <w:rsid w:val="00FB4B73"/>
    <w:rsid w:val="00FB7627"/>
    <w:rsid w:val="00FC4973"/>
    <w:rsid w:val="00FC6569"/>
    <w:rsid w:val="00FC6EF9"/>
    <w:rsid w:val="00FC7422"/>
    <w:rsid w:val="00FD0C60"/>
    <w:rsid w:val="00FD23FE"/>
    <w:rsid w:val="00FD2913"/>
    <w:rsid w:val="00FD3348"/>
    <w:rsid w:val="00FD3777"/>
    <w:rsid w:val="00FD7F53"/>
    <w:rsid w:val="00FE28FC"/>
    <w:rsid w:val="00FE40CD"/>
    <w:rsid w:val="00FE40EA"/>
    <w:rsid w:val="00FE50CB"/>
    <w:rsid w:val="00FF0D9B"/>
    <w:rsid w:val="00FF5462"/>
    <w:rsid w:val="00FF62EC"/>
    <w:rsid w:val="00FF691D"/>
    <w:rsid w:val="00FF7E1C"/>
    <w:rsid w:val="0547FED6"/>
    <w:rsid w:val="06CE93A6"/>
    <w:rsid w:val="06F4C49C"/>
    <w:rsid w:val="0A53CD39"/>
    <w:rsid w:val="0AFF3DEB"/>
    <w:rsid w:val="0B7F7ADC"/>
    <w:rsid w:val="0DCB37A8"/>
    <w:rsid w:val="0F26161C"/>
    <w:rsid w:val="0FF15B74"/>
    <w:rsid w:val="10CBC782"/>
    <w:rsid w:val="1156E25F"/>
    <w:rsid w:val="131DFF26"/>
    <w:rsid w:val="133FB4AB"/>
    <w:rsid w:val="1AF3E157"/>
    <w:rsid w:val="1C3F2F4F"/>
    <w:rsid w:val="1CA26FAE"/>
    <w:rsid w:val="1D478D62"/>
    <w:rsid w:val="1D66A689"/>
    <w:rsid w:val="1E0D29F1"/>
    <w:rsid w:val="1F2F4F15"/>
    <w:rsid w:val="2117D00B"/>
    <w:rsid w:val="21F33561"/>
    <w:rsid w:val="22D0920D"/>
    <w:rsid w:val="290D85BF"/>
    <w:rsid w:val="2A83AC35"/>
    <w:rsid w:val="2AF0834D"/>
    <w:rsid w:val="2D9D79D3"/>
    <w:rsid w:val="2DA1B55B"/>
    <w:rsid w:val="2DB6209E"/>
    <w:rsid w:val="2EFBDEB7"/>
    <w:rsid w:val="30AEFC22"/>
    <w:rsid w:val="319A35E1"/>
    <w:rsid w:val="3264B4F5"/>
    <w:rsid w:val="3376F4F4"/>
    <w:rsid w:val="3428491C"/>
    <w:rsid w:val="34557BC1"/>
    <w:rsid w:val="34F4AEAC"/>
    <w:rsid w:val="36C03FF9"/>
    <w:rsid w:val="37177B4E"/>
    <w:rsid w:val="3773E945"/>
    <w:rsid w:val="379C7FF8"/>
    <w:rsid w:val="37C7D7B9"/>
    <w:rsid w:val="381536DC"/>
    <w:rsid w:val="38A4CA97"/>
    <w:rsid w:val="39A77A4D"/>
    <w:rsid w:val="3B6FAB18"/>
    <w:rsid w:val="3C7CDDCC"/>
    <w:rsid w:val="3D0E3820"/>
    <w:rsid w:val="3D5CAE9D"/>
    <w:rsid w:val="3E7B11C6"/>
    <w:rsid w:val="402609B9"/>
    <w:rsid w:val="4096B41F"/>
    <w:rsid w:val="40EAE8CA"/>
    <w:rsid w:val="424328FC"/>
    <w:rsid w:val="4297FD2B"/>
    <w:rsid w:val="4632D80F"/>
    <w:rsid w:val="4945DCA5"/>
    <w:rsid w:val="49506479"/>
    <w:rsid w:val="4DA2D461"/>
    <w:rsid w:val="4DF0DD5D"/>
    <w:rsid w:val="4E515492"/>
    <w:rsid w:val="505BEFCA"/>
    <w:rsid w:val="508E619B"/>
    <w:rsid w:val="5298C1D6"/>
    <w:rsid w:val="52ABA9FB"/>
    <w:rsid w:val="52D8C097"/>
    <w:rsid w:val="532A6908"/>
    <w:rsid w:val="576499E5"/>
    <w:rsid w:val="5B1FD67E"/>
    <w:rsid w:val="5B5C3C77"/>
    <w:rsid w:val="5B5E7DC1"/>
    <w:rsid w:val="5B96B197"/>
    <w:rsid w:val="5BC5B34F"/>
    <w:rsid w:val="5CFA4E22"/>
    <w:rsid w:val="604B0CC6"/>
    <w:rsid w:val="60997B0B"/>
    <w:rsid w:val="60F59525"/>
    <w:rsid w:val="61CDBF45"/>
    <w:rsid w:val="627C6C26"/>
    <w:rsid w:val="6400E081"/>
    <w:rsid w:val="64DEEC93"/>
    <w:rsid w:val="65E8D04B"/>
    <w:rsid w:val="66473734"/>
    <w:rsid w:val="665DAE55"/>
    <w:rsid w:val="6782A07B"/>
    <w:rsid w:val="67E8D01F"/>
    <w:rsid w:val="6DA07D5D"/>
    <w:rsid w:val="6EB42FD3"/>
    <w:rsid w:val="718EFDF4"/>
    <w:rsid w:val="71D43EB8"/>
    <w:rsid w:val="743D5F01"/>
    <w:rsid w:val="75237157"/>
    <w:rsid w:val="7536F490"/>
    <w:rsid w:val="78AE3191"/>
    <w:rsid w:val="795EB8BA"/>
    <w:rsid w:val="7989E72D"/>
    <w:rsid w:val="7AFA891B"/>
    <w:rsid w:val="7DB76E2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B9D46"/>
  <w15:docId w15:val="{EBBF4E08-64F2-4031-AB22-D88F24D21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93C"/>
  </w:style>
  <w:style w:type="paragraph" w:styleId="Heading1">
    <w:name w:val="heading 1"/>
    <w:basedOn w:val="Normal"/>
    <w:next w:val="Normal"/>
    <w:uiPriority w:val="9"/>
    <w:qFormat/>
    <w:pPr>
      <w:keepNext/>
      <w:keepLines/>
      <w:outlineLvl w:val="0"/>
    </w:pPr>
    <w:rPr>
      <w:rFonts w:ascii="Rubik" w:eastAsia="Rubik" w:hAnsi="Rubik" w:cs="Rubik"/>
      <w:color w:val="5A006F"/>
      <w:sz w:val="36"/>
      <w:szCs w:val="36"/>
    </w:rPr>
  </w:style>
  <w:style w:type="paragraph" w:styleId="Heading2">
    <w:name w:val="heading 2"/>
    <w:basedOn w:val="Normal"/>
    <w:next w:val="Normal"/>
    <w:uiPriority w:val="9"/>
    <w:unhideWhenUsed/>
    <w:qFormat/>
    <w:pPr>
      <w:keepNext/>
      <w:keepLines/>
      <w:spacing w:after="320"/>
      <w:outlineLvl w:val="1"/>
    </w:pPr>
    <w:rPr>
      <w:rFonts w:ascii="Rubik" w:eastAsia="Rubik" w:hAnsi="Rubik" w:cs="Rubik"/>
      <w:color w:val="5A006F"/>
      <w:sz w:val="30"/>
      <w:szCs w:val="30"/>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Rubik" w:eastAsia="Rubik" w:hAnsi="Rubik" w:cs="Rubik"/>
      <w:color w:val="5A006F"/>
      <w:sz w:val="24"/>
      <w:szCs w:val="24"/>
    </w:rPr>
  </w:style>
  <w:style w:type="paragraph" w:styleId="Subtitle">
    <w:name w:val="Subtitle"/>
    <w:basedOn w:val="Normal"/>
    <w:next w:val="Normal"/>
    <w:uiPriority w:val="11"/>
    <w:qFormat/>
    <w:pPr>
      <w:keepNext/>
      <w:keepLines/>
      <w:spacing w:after="320"/>
    </w:pPr>
    <w:rPr>
      <w:rFonts w:ascii="Rubik" w:eastAsia="Rubik" w:hAnsi="Rubik" w:cs="Rubik"/>
      <w:color w:val="5A006F"/>
      <w:sz w:val="30"/>
      <w:szCs w:val="30"/>
    </w:rPr>
  </w:style>
  <w:style w:type="paragraph" w:styleId="Header">
    <w:name w:val="header"/>
    <w:basedOn w:val="Normal"/>
    <w:link w:val="HeaderChar"/>
    <w:uiPriority w:val="99"/>
    <w:unhideWhenUsed/>
    <w:rsid w:val="006A143E"/>
    <w:pPr>
      <w:tabs>
        <w:tab w:val="center" w:pos="4513"/>
        <w:tab w:val="right" w:pos="9026"/>
      </w:tabs>
      <w:spacing w:line="240" w:lineRule="auto"/>
    </w:pPr>
  </w:style>
  <w:style w:type="character" w:customStyle="1" w:styleId="HeaderChar">
    <w:name w:val="Header Char"/>
    <w:basedOn w:val="DefaultParagraphFont"/>
    <w:link w:val="Header"/>
    <w:uiPriority w:val="99"/>
    <w:rsid w:val="006A143E"/>
  </w:style>
  <w:style w:type="paragraph" w:styleId="Footer">
    <w:name w:val="footer"/>
    <w:basedOn w:val="Normal"/>
    <w:link w:val="FooterChar"/>
    <w:uiPriority w:val="99"/>
    <w:unhideWhenUsed/>
    <w:rsid w:val="006A143E"/>
    <w:pPr>
      <w:tabs>
        <w:tab w:val="center" w:pos="4513"/>
        <w:tab w:val="right" w:pos="9026"/>
      </w:tabs>
      <w:spacing w:line="240" w:lineRule="auto"/>
    </w:pPr>
  </w:style>
  <w:style w:type="character" w:customStyle="1" w:styleId="FooterChar">
    <w:name w:val="Footer Char"/>
    <w:basedOn w:val="DefaultParagraphFont"/>
    <w:link w:val="Footer"/>
    <w:uiPriority w:val="99"/>
    <w:rsid w:val="006A143E"/>
  </w:style>
  <w:style w:type="character" w:styleId="Hyperlink">
    <w:name w:val="Hyperlink"/>
    <w:basedOn w:val="DefaultParagraphFont"/>
    <w:uiPriority w:val="99"/>
    <w:unhideWhenUsed/>
    <w:rsid w:val="002B5496"/>
    <w:rPr>
      <w:color w:val="0000FF" w:themeColor="hyperlink"/>
      <w:u w:val="single"/>
    </w:rPr>
  </w:style>
  <w:style w:type="character" w:styleId="UnresolvedMention">
    <w:name w:val="Unresolved Mention"/>
    <w:basedOn w:val="DefaultParagraphFont"/>
    <w:uiPriority w:val="99"/>
    <w:semiHidden/>
    <w:unhideWhenUsed/>
    <w:rsid w:val="002B5496"/>
    <w:rPr>
      <w:color w:val="605E5C"/>
      <w:shd w:val="clear" w:color="auto" w:fill="E1DFDD"/>
    </w:rPr>
  </w:style>
  <w:style w:type="paragraph" w:styleId="ListParagraph">
    <w:name w:val="List Paragraph"/>
    <w:basedOn w:val="Normal"/>
    <w:uiPriority w:val="34"/>
    <w:qFormat/>
    <w:rsid w:val="002B5496"/>
    <w:pPr>
      <w:ind w:left="720"/>
      <w:contextualSpacing/>
    </w:pPr>
  </w:style>
  <w:style w:type="character" w:customStyle="1" w:styleId="contentpasted0">
    <w:name w:val="contentpasted0"/>
    <w:basedOn w:val="DefaultParagraphFont"/>
    <w:rsid w:val="00936FB0"/>
  </w:style>
  <w:style w:type="character" w:customStyle="1" w:styleId="contentpasted1">
    <w:name w:val="contentpasted1"/>
    <w:basedOn w:val="DefaultParagraphFont"/>
    <w:rsid w:val="00936FB0"/>
  </w:style>
  <w:style w:type="paragraph" w:styleId="NormalWeb">
    <w:name w:val="Normal (Web)"/>
    <w:basedOn w:val="Normal"/>
    <w:uiPriority w:val="99"/>
    <w:unhideWhenUsed/>
    <w:rsid w:val="001D4FBC"/>
    <w:pPr>
      <w:spacing w:before="100" w:beforeAutospacing="1" w:after="100" w:afterAutospacing="1" w:line="240" w:lineRule="auto"/>
    </w:pPr>
    <w:rPr>
      <w:rFonts w:ascii="Times New Roman" w:eastAsia="Times New Roman" w:hAnsi="Times New Roman" w:cs="Times New Roman"/>
      <w:sz w:val="24"/>
      <w:szCs w:val="24"/>
      <w:lang w:val="en-AU"/>
    </w:rPr>
  </w:style>
  <w:style w:type="character" w:customStyle="1" w:styleId="normaltextrun">
    <w:name w:val="normaltextrun"/>
    <w:basedOn w:val="DefaultParagraphFont"/>
    <w:uiPriority w:val="1"/>
    <w:rsid w:val="005F566C"/>
  </w:style>
  <w:style w:type="character" w:styleId="CommentReference">
    <w:name w:val="annotation reference"/>
    <w:basedOn w:val="DefaultParagraphFont"/>
    <w:uiPriority w:val="99"/>
    <w:semiHidden/>
    <w:unhideWhenUsed/>
    <w:rsid w:val="00CA0F8C"/>
    <w:rPr>
      <w:sz w:val="16"/>
      <w:szCs w:val="16"/>
    </w:rPr>
  </w:style>
  <w:style w:type="paragraph" w:styleId="CommentText">
    <w:name w:val="annotation text"/>
    <w:basedOn w:val="Normal"/>
    <w:link w:val="CommentTextChar"/>
    <w:uiPriority w:val="99"/>
    <w:unhideWhenUsed/>
    <w:rsid w:val="00CA0F8C"/>
    <w:pPr>
      <w:spacing w:after="160" w:line="240" w:lineRule="auto"/>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rsid w:val="00CA0F8C"/>
    <w:rPr>
      <w:rFonts w:asciiTheme="minorHAnsi" w:eastAsiaTheme="minorHAnsi" w:hAnsiTheme="minorHAnsi" w:cstheme="minorBidi"/>
      <w:lang w:val="en-US" w:eastAsia="en-US"/>
    </w:rPr>
  </w:style>
  <w:style w:type="paragraph" w:styleId="EndnoteText">
    <w:name w:val="endnote text"/>
    <w:basedOn w:val="Normal"/>
    <w:link w:val="EndnoteTextChar"/>
    <w:uiPriority w:val="99"/>
    <w:semiHidden/>
    <w:unhideWhenUsed/>
    <w:rsid w:val="00927616"/>
    <w:pPr>
      <w:spacing w:line="240" w:lineRule="auto"/>
    </w:pPr>
    <w:rPr>
      <w:rFonts w:asciiTheme="minorHAnsi" w:eastAsiaTheme="minorHAnsi" w:hAnsiTheme="minorHAnsi" w:cstheme="minorBidi"/>
      <w:lang w:val="en-US" w:eastAsia="en-US"/>
    </w:rPr>
  </w:style>
  <w:style w:type="character" w:customStyle="1" w:styleId="EndnoteTextChar">
    <w:name w:val="Endnote Text Char"/>
    <w:basedOn w:val="DefaultParagraphFont"/>
    <w:link w:val="EndnoteText"/>
    <w:uiPriority w:val="99"/>
    <w:semiHidden/>
    <w:rsid w:val="00927616"/>
    <w:rPr>
      <w:rFonts w:asciiTheme="minorHAnsi" w:eastAsiaTheme="minorHAnsi" w:hAnsiTheme="minorHAnsi" w:cstheme="minorBidi"/>
      <w:lang w:val="en-US" w:eastAsia="en-US"/>
    </w:rPr>
  </w:style>
  <w:style w:type="character" w:styleId="EndnoteReference">
    <w:name w:val="endnote reference"/>
    <w:basedOn w:val="DefaultParagraphFont"/>
    <w:uiPriority w:val="99"/>
    <w:semiHidden/>
    <w:unhideWhenUsed/>
    <w:rsid w:val="00927616"/>
    <w:rPr>
      <w:vertAlign w:val="superscript"/>
    </w:rPr>
  </w:style>
  <w:style w:type="character" w:customStyle="1" w:styleId="eop">
    <w:name w:val="eop"/>
    <w:basedOn w:val="DefaultParagraphFont"/>
    <w:uiPriority w:val="1"/>
    <w:rsid w:val="00D72B78"/>
  </w:style>
  <w:style w:type="character" w:styleId="FollowedHyperlink">
    <w:name w:val="FollowedHyperlink"/>
    <w:basedOn w:val="DefaultParagraphFont"/>
    <w:uiPriority w:val="99"/>
    <w:semiHidden/>
    <w:unhideWhenUsed/>
    <w:rsid w:val="00027957"/>
    <w:rPr>
      <w:color w:val="800080" w:themeColor="followedHyperlink"/>
      <w:u w:val="single"/>
    </w:rPr>
  </w:style>
  <w:style w:type="paragraph" w:styleId="FootnoteText">
    <w:name w:val="footnote text"/>
    <w:basedOn w:val="Normal"/>
    <w:link w:val="FootnoteTextChar"/>
    <w:uiPriority w:val="99"/>
    <w:semiHidden/>
    <w:unhideWhenUsed/>
    <w:rsid w:val="00821387"/>
    <w:pPr>
      <w:spacing w:line="240" w:lineRule="auto"/>
    </w:pPr>
  </w:style>
  <w:style w:type="character" w:customStyle="1" w:styleId="FootnoteTextChar">
    <w:name w:val="Footnote Text Char"/>
    <w:basedOn w:val="DefaultParagraphFont"/>
    <w:link w:val="FootnoteText"/>
    <w:uiPriority w:val="99"/>
    <w:semiHidden/>
    <w:rsid w:val="00821387"/>
  </w:style>
  <w:style w:type="character" w:styleId="FootnoteReference">
    <w:name w:val="footnote reference"/>
    <w:basedOn w:val="DefaultParagraphFont"/>
    <w:uiPriority w:val="99"/>
    <w:semiHidden/>
    <w:unhideWhenUsed/>
    <w:rsid w:val="00821387"/>
    <w:rPr>
      <w:vertAlign w:val="superscript"/>
    </w:rPr>
  </w:style>
  <w:style w:type="paragraph" w:styleId="Revision">
    <w:name w:val="Revision"/>
    <w:hidden/>
    <w:uiPriority w:val="99"/>
    <w:semiHidden/>
    <w:rsid w:val="0030322F"/>
    <w:pPr>
      <w:spacing w:line="240" w:lineRule="auto"/>
    </w:pPr>
  </w:style>
  <w:style w:type="paragraph" w:styleId="CommentSubject">
    <w:name w:val="annotation subject"/>
    <w:basedOn w:val="CommentText"/>
    <w:next w:val="CommentText"/>
    <w:link w:val="CommentSubjectChar"/>
    <w:uiPriority w:val="99"/>
    <w:semiHidden/>
    <w:unhideWhenUsed/>
    <w:rsid w:val="00BA345F"/>
    <w:pPr>
      <w:spacing w:after="0"/>
    </w:pPr>
    <w:rPr>
      <w:rFonts w:ascii="Calibri" w:eastAsia="Calibri" w:hAnsi="Calibri" w:cs="Calibri"/>
      <w:b/>
      <w:bCs/>
      <w:lang w:val="en-GB" w:eastAsia="en-AU"/>
    </w:rPr>
  </w:style>
  <w:style w:type="character" w:customStyle="1" w:styleId="CommentSubjectChar">
    <w:name w:val="Comment Subject Char"/>
    <w:basedOn w:val="CommentTextChar"/>
    <w:link w:val="CommentSubject"/>
    <w:uiPriority w:val="99"/>
    <w:semiHidden/>
    <w:rsid w:val="00BA345F"/>
    <w:rPr>
      <w:rFonts w:asciiTheme="minorHAnsi" w:eastAsiaTheme="minorHAnsi" w:hAnsiTheme="minorHAnsi" w:cstheme="minorBidi"/>
      <w:b/>
      <w:bCs/>
      <w:lang w:val="en-US" w:eastAsia="en-US"/>
    </w:rPr>
  </w:style>
  <w:style w:type="character" w:styleId="Mention">
    <w:name w:val="Mention"/>
    <w:basedOn w:val="DefaultParagraphFont"/>
    <w:uiPriority w:val="99"/>
    <w:unhideWhenUsed/>
    <w:rsid w:val="007D33A6"/>
    <w:rPr>
      <w:color w:val="2B579A"/>
      <w:shd w:val="clear" w:color="auto" w:fill="E1DFDD"/>
    </w:rPr>
  </w:style>
  <w:style w:type="table" w:styleId="TableGrid">
    <w:name w:val="Table Grid"/>
    <w:basedOn w:val="TableNormal"/>
    <w:uiPriority w:val="39"/>
    <w:rsid w:val="00167A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6811">
      <w:bodyDiv w:val="1"/>
      <w:marLeft w:val="0"/>
      <w:marRight w:val="0"/>
      <w:marTop w:val="0"/>
      <w:marBottom w:val="0"/>
      <w:divBdr>
        <w:top w:val="none" w:sz="0" w:space="0" w:color="auto"/>
        <w:left w:val="none" w:sz="0" w:space="0" w:color="auto"/>
        <w:bottom w:val="none" w:sz="0" w:space="0" w:color="auto"/>
        <w:right w:val="none" w:sz="0" w:space="0" w:color="auto"/>
      </w:divBdr>
    </w:div>
    <w:div w:id="144442040">
      <w:bodyDiv w:val="1"/>
      <w:marLeft w:val="0"/>
      <w:marRight w:val="0"/>
      <w:marTop w:val="0"/>
      <w:marBottom w:val="0"/>
      <w:divBdr>
        <w:top w:val="none" w:sz="0" w:space="0" w:color="auto"/>
        <w:left w:val="none" w:sz="0" w:space="0" w:color="auto"/>
        <w:bottom w:val="none" w:sz="0" w:space="0" w:color="auto"/>
        <w:right w:val="none" w:sz="0" w:space="0" w:color="auto"/>
      </w:divBdr>
    </w:div>
    <w:div w:id="628632024">
      <w:bodyDiv w:val="1"/>
      <w:marLeft w:val="0"/>
      <w:marRight w:val="0"/>
      <w:marTop w:val="0"/>
      <w:marBottom w:val="0"/>
      <w:divBdr>
        <w:top w:val="none" w:sz="0" w:space="0" w:color="auto"/>
        <w:left w:val="none" w:sz="0" w:space="0" w:color="auto"/>
        <w:bottom w:val="none" w:sz="0" w:space="0" w:color="auto"/>
        <w:right w:val="none" w:sz="0" w:space="0" w:color="auto"/>
      </w:divBdr>
    </w:div>
    <w:div w:id="768964699">
      <w:bodyDiv w:val="1"/>
      <w:marLeft w:val="0"/>
      <w:marRight w:val="0"/>
      <w:marTop w:val="0"/>
      <w:marBottom w:val="0"/>
      <w:divBdr>
        <w:top w:val="none" w:sz="0" w:space="0" w:color="auto"/>
        <w:left w:val="none" w:sz="0" w:space="0" w:color="auto"/>
        <w:bottom w:val="none" w:sz="0" w:space="0" w:color="auto"/>
        <w:right w:val="none" w:sz="0" w:space="0" w:color="auto"/>
      </w:divBdr>
    </w:div>
    <w:div w:id="1024667982">
      <w:bodyDiv w:val="1"/>
      <w:marLeft w:val="0"/>
      <w:marRight w:val="0"/>
      <w:marTop w:val="0"/>
      <w:marBottom w:val="0"/>
      <w:divBdr>
        <w:top w:val="none" w:sz="0" w:space="0" w:color="auto"/>
        <w:left w:val="none" w:sz="0" w:space="0" w:color="auto"/>
        <w:bottom w:val="none" w:sz="0" w:space="0" w:color="auto"/>
        <w:right w:val="none" w:sz="0" w:space="0" w:color="auto"/>
      </w:divBdr>
    </w:div>
    <w:div w:id="1112281449">
      <w:bodyDiv w:val="1"/>
      <w:marLeft w:val="0"/>
      <w:marRight w:val="0"/>
      <w:marTop w:val="0"/>
      <w:marBottom w:val="0"/>
      <w:divBdr>
        <w:top w:val="none" w:sz="0" w:space="0" w:color="auto"/>
        <w:left w:val="none" w:sz="0" w:space="0" w:color="auto"/>
        <w:bottom w:val="none" w:sz="0" w:space="0" w:color="auto"/>
        <w:right w:val="none" w:sz="0" w:space="0" w:color="auto"/>
      </w:divBdr>
    </w:div>
    <w:div w:id="1316106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ustralianwomenshealth.org/" TargetMode="External"/><Relationship Id="rId17" Type="http://schemas.openxmlformats.org/officeDocument/2006/relationships/hyperlink" Target="https://www.1800respect.org.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ustralianWomensHealth.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anrowsdev.wpenginepowered.com/wp-content/uploads/2022/08/4AP.4-Loxton-Longitudinal-Womens-Health-Report.pdf" TargetMode="External"/><Relationship Id="rId13" Type="http://schemas.openxmlformats.org/officeDocument/2006/relationships/hyperlink" Target="https://www.health.gov.au/resources/publications/national-preventive-health-strategy-2021-2030?language=en" TargetMode="External"/><Relationship Id="rId3" Type="http://schemas.openxmlformats.org/officeDocument/2006/relationships/hyperlink" Target="https://www.aihw.gov.au/reports-data/behaviours-risk-factors/domestic-violence/overview" TargetMode="External"/><Relationship Id="rId7" Type="http://schemas.openxmlformats.org/officeDocument/2006/relationships/hyperlink" Target="https://www.aihw.gov.au/getmedia/75b86beb-e72c-455d-98c0-13ac4604c98b/phe204-assault.pdf.aspx" TargetMode="External"/><Relationship Id="rId12" Type="http://schemas.openxmlformats.org/officeDocument/2006/relationships/hyperlink" Target="https://anrowsdev.wpenginepowered.com/wp-content/uploads/2022/08/4AP.4-Loxton-Longitudinal-Womens-Health-Report.pdf" TargetMode="External"/><Relationship Id="rId17" Type="http://schemas.openxmlformats.org/officeDocument/2006/relationships/hyperlink" Target="https://media-cdn.ourwatch.org.au/wp-content/uploads/sites/2/2021/11/18101814/Change-the-story-Our-Watch-AA.pdf" TargetMode="External"/><Relationship Id="rId2" Type="http://schemas.openxmlformats.org/officeDocument/2006/relationships/hyperlink" Target="https://www.aihw.gov.au/getmedia/b0037b2d-a651-4abf-9f7b-00a85e3de528/aihw-fdv3-FDSV-in-Australia-2019.pdf.aspx?inline=true" TargetMode="External"/><Relationship Id="rId16" Type="http://schemas.openxmlformats.org/officeDocument/2006/relationships/hyperlink" Target="https://www.health.gov.au/resources/publications/national-preventive-health-strategy-2021-2030?language=en" TargetMode="External"/><Relationship Id="rId1" Type="http://schemas.openxmlformats.org/officeDocument/2006/relationships/hyperlink" Target="https://www.abs.gov.au/statistics/people/crime-and-justice/personal-safety-australia/latest-release" TargetMode="External"/><Relationship Id="rId6" Type="http://schemas.openxmlformats.org/officeDocument/2006/relationships/hyperlink" Target="https://www.aihw.gov.au/reports/domestic-violence/family-domestic-sexual-violence-data/contents/what-are-the-consequences-of-family-domestic-and-s/family-and-domestic-violence-homicide" TargetMode="External"/><Relationship Id="rId11" Type="http://schemas.openxmlformats.org/officeDocument/2006/relationships/hyperlink" Target="https://australianwomenshealth.org/resource/alswh-violence-and-abuse-policy-brief/" TargetMode="External"/><Relationship Id="rId5" Type="http://schemas.openxmlformats.org/officeDocument/2006/relationships/hyperlink" Target="https://www.ourwatch.org.au/resource/change-the-story-a-shared-framework-for-the-primary-prevention-of-violence-against-women-in-australia" TargetMode="External"/><Relationship Id="rId15" Type="http://schemas.openxmlformats.org/officeDocument/2006/relationships/hyperlink" Target="https://media-cdn.ourwatch.org.au/wp-content/uploads/sites/2/2021/11/18101814/Change-the-story-Our-Watch-AA.pdf" TargetMode="External"/><Relationship Id="rId10" Type="http://schemas.openxmlformats.org/officeDocument/2006/relationships/hyperlink" Target="https://www.aihw.gov.au/reports/domestic-violence/family-domestic-sexual-violence-in-australia-2018/summary" TargetMode="External"/><Relationship Id="rId4" Type="http://schemas.openxmlformats.org/officeDocument/2006/relationships/hyperlink" Target="https://www.anrows.org.au/" TargetMode="External"/><Relationship Id="rId9" Type="http://schemas.openxmlformats.org/officeDocument/2006/relationships/hyperlink" Target="https://anrowsdev.wpenginepowered.com/wp-content/uploads/2022/08/4AP.4-Loxton-Longitudinal-Womens-Health-Report.pdf" TargetMode="External"/><Relationship Id="rId14" Type="http://schemas.openxmlformats.org/officeDocument/2006/relationships/hyperlink" Target="https://www.anrows.org.au/publication/violence-against-women-and-mental-healt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ennaAguilar\Downloads\Policy%20brief_Document%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53f973e-18e3-4683-9db9-a8b30f12ddca">
      <Terms xmlns="http://schemas.microsoft.com/office/infopath/2007/PartnerControls"/>
    </lcf76f155ced4ddcb4097134ff3c332f>
    <TaxCatchAll xmlns="5b707c4a-f0af-4a30-ae8a-e74992196a0f" xsi:nil="true"/>
    <SharedWithUsers xmlns="5b707c4a-f0af-4a30-ae8a-e74992196a0f">
      <UserInfo>
        <DisplayName>Bonnielb</DisplayName>
        <AccountId>242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5319B620C901544A72D510C44F6C46A" ma:contentTypeVersion="13" ma:contentTypeDescription="Create a new document." ma:contentTypeScope="" ma:versionID="ed4e7f601148ca48e2aa01b8d973d766">
  <xsd:schema xmlns:xsd="http://www.w3.org/2001/XMLSchema" xmlns:xs="http://www.w3.org/2001/XMLSchema" xmlns:p="http://schemas.microsoft.com/office/2006/metadata/properties" xmlns:ns2="153f973e-18e3-4683-9db9-a8b30f12ddca" xmlns:ns3="5b707c4a-f0af-4a30-ae8a-e74992196a0f" targetNamespace="http://schemas.microsoft.com/office/2006/metadata/properties" ma:root="true" ma:fieldsID="d091487e1e15535c11344703c2821d59" ns2:_="" ns3:_="">
    <xsd:import namespace="153f973e-18e3-4683-9db9-a8b30f12ddca"/>
    <xsd:import namespace="5b707c4a-f0af-4a30-ae8a-e74992196a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f973e-18e3-4683-9db9-a8b30f12d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7082179-ca94-4778-9afe-36ab1981ad1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07c4a-f0af-4a30-ae8a-e74992196a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3ea0fec-a4e5-4c0e-bb5d-a316e2eafeb6}" ma:internalName="TaxCatchAll" ma:showField="CatchAllData" ma:web="5b707c4a-f0af-4a30-ae8a-e74992196a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4A6787-EE38-4415-91C1-925AF946DD56}">
  <ds:schemaRefs>
    <ds:schemaRef ds:uri="http://schemas.microsoft.com/office/2006/metadata/properties"/>
    <ds:schemaRef ds:uri="http://schemas.microsoft.com/office/infopath/2007/PartnerControls"/>
    <ds:schemaRef ds:uri="153f973e-18e3-4683-9db9-a8b30f12ddca"/>
    <ds:schemaRef ds:uri="5b707c4a-f0af-4a30-ae8a-e74992196a0f"/>
  </ds:schemaRefs>
</ds:datastoreItem>
</file>

<file path=customXml/itemProps2.xml><?xml version="1.0" encoding="utf-8"?>
<ds:datastoreItem xmlns:ds="http://schemas.openxmlformats.org/officeDocument/2006/customXml" ds:itemID="{516A1F04-04AA-4948-9DBF-596B22329079}">
  <ds:schemaRefs>
    <ds:schemaRef ds:uri="http://schemas.openxmlformats.org/officeDocument/2006/bibliography"/>
  </ds:schemaRefs>
</ds:datastoreItem>
</file>

<file path=customXml/itemProps3.xml><?xml version="1.0" encoding="utf-8"?>
<ds:datastoreItem xmlns:ds="http://schemas.openxmlformats.org/officeDocument/2006/customXml" ds:itemID="{533637F0-C798-4C90-9362-6F7B7945F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3f973e-18e3-4683-9db9-a8b30f12ddca"/>
    <ds:schemaRef ds:uri="5b707c4a-f0af-4a30-ae8a-e74992196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A187AD-0EDB-4B4C-AC27-3835DA922188}">
  <ds:schemaRefs>
    <ds:schemaRef ds:uri="http://schemas.microsoft.com/sharepoint/v3/contenttype/forms"/>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Policy brief_Document Style Template</Template>
  <TotalTime>8</TotalTime>
  <Pages>5</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Australian Womens Health Alliance</dc:creator>
  <cp:keywords/>
  <cp:lastModifiedBy>Sienna Aguilar</cp:lastModifiedBy>
  <cp:revision>6</cp:revision>
  <cp:lastPrinted>2023-12-06T03:06:00Z</cp:lastPrinted>
  <dcterms:created xsi:type="dcterms:W3CDTF">2023-12-06T03:05:00Z</dcterms:created>
  <dcterms:modified xsi:type="dcterms:W3CDTF">2023-12-06T03:10:00Z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0x010100F5319B620C901544A72D510C44F6C46A</vt:lpwstr>
  </property>
  <property fmtid="{D5CDD505-2E9C-101B-9397-08002B2CF9AE}" pid="3" name="MediaServiceImageTags">
    <vt:lpwstr/>
  </property>
</Properties>
</file>