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5898" w14:textId="128BA6FD" w:rsidR="001A0EDE" w:rsidRPr="000377AE" w:rsidRDefault="001A0EDE" w:rsidP="4F1B3A1F">
      <w:pPr>
        <w:pStyle w:val="Style1"/>
        <w:rPr>
          <w:rFonts w:eastAsia="Rubik regular" w:cs="Rubik regular"/>
        </w:rPr>
      </w:pPr>
      <w:r w:rsidRPr="4F1B3A1F">
        <w:rPr>
          <w:rFonts w:eastAsia="Rubik regular" w:cs="Rubik regular"/>
        </w:rPr>
        <w:t xml:space="preserve">Policy </w:t>
      </w:r>
      <w:r w:rsidR="00D3424F" w:rsidRPr="4F1B3A1F">
        <w:rPr>
          <w:rFonts w:eastAsia="Rubik regular" w:cs="Rubik regular"/>
        </w:rPr>
        <w:t>b</w:t>
      </w:r>
      <w:r w:rsidRPr="4F1B3A1F">
        <w:rPr>
          <w:rFonts w:eastAsia="Rubik regular" w:cs="Rubik regular"/>
        </w:rPr>
        <w:t>rief</w:t>
      </w:r>
    </w:p>
    <w:p w14:paraId="717C80A3" w14:textId="5368801B" w:rsidR="002A7500" w:rsidRDefault="00FA70D2" w:rsidP="000377AE">
      <w:pPr>
        <w:pStyle w:val="Heading2"/>
        <w:spacing w:after="0"/>
      </w:pPr>
      <w:bookmarkStart w:id="0" w:name="_usdc0nj6twdp" w:colFirst="0" w:colLast="0"/>
      <w:bookmarkEnd w:id="0"/>
      <w:r>
        <w:t>Strengthening Gender Equity Through Research and Evidence</w:t>
      </w:r>
    </w:p>
    <w:p w14:paraId="1A9FF581" w14:textId="77777777" w:rsidR="004A7089" w:rsidRDefault="004A7089" w:rsidP="004A7089"/>
    <w:p w14:paraId="14CF2864" w14:textId="0828A71F" w:rsidR="001A0EDE" w:rsidRDefault="001A0EDE" w:rsidP="000377AE">
      <w:pPr>
        <w:pStyle w:val="Heading3"/>
      </w:pPr>
      <w:r w:rsidRPr="00CA6A02">
        <w:t>Key messages</w:t>
      </w:r>
    </w:p>
    <w:p w14:paraId="4658C292" w14:textId="77777777" w:rsidR="008A00C7" w:rsidRPr="008A4387" w:rsidRDefault="008A00C7" w:rsidP="008A00C7">
      <w:pPr>
        <w:numPr>
          <w:ilvl w:val="0"/>
          <w:numId w:val="2"/>
        </w:numPr>
        <w:rPr>
          <w:sz w:val="22"/>
          <w:szCs w:val="22"/>
          <w:lang w:val="en-US"/>
        </w:rPr>
      </w:pPr>
      <w:bookmarkStart w:id="1" w:name="_w8pe7jwkws39" w:colFirst="0" w:colLast="0"/>
      <w:bookmarkEnd w:id="1"/>
      <w:r w:rsidRPr="00896364">
        <w:rPr>
          <w:sz w:val="22"/>
          <w:szCs w:val="22"/>
          <w:lang w:val="en-US"/>
        </w:rPr>
        <w:t>Research and evidence are important because</w:t>
      </w:r>
      <w:r>
        <w:rPr>
          <w:sz w:val="22"/>
          <w:szCs w:val="22"/>
          <w:lang w:val="en-US"/>
        </w:rPr>
        <w:t xml:space="preserve"> </w:t>
      </w:r>
      <w:r>
        <w:rPr>
          <w:sz w:val="22"/>
          <w:szCs w:val="22"/>
        </w:rPr>
        <w:t>they</w:t>
      </w:r>
      <w:r w:rsidRPr="009C1E1F">
        <w:rPr>
          <w:sz w:val="22"/>
          <w:szCs w:val="22"/>
        </w:rPr>
        <w:t xml:space="preserve"> underpin</w:t>
      </w:r>
      <w:r>
        <w:rPr>
          <w:sz w:val="22"/>
          <w:szCs w:val="22"/>
        </w:rPr>
        <w:t xml:space="preserve"> how</w:t>
      </w:r>
      <w:r w:rsidRPr="009C1E1F">
        <w:rPr>
          <w:sz w:val="22"/>
          <w:szCs w:val="22"/>
        </w:rPr>
        <w:t xml:space="preserve"> Australia’s healthcare system and public policy </w:t>
      </w:r>
      <w:r>
        <w:rPr>
          <w:sz w:val="22"/>
          <w:szCs w:val="22"/>
        </w:rPr>
        <w:t xml:space="preserve">is delivered. A </w:t>
      </w:r>
      <w:r w:rsidRPr="009C1E1F">
        <w:rPr>
          <w:sz w:val="22"/>
          <w:szCs w:val="22"/>
        </w:rPr>
        <w:t xml:space="preserve">stronger intersectional gendered </w:t>
      </w:r>
      <w:r>
        <w:rPr>
          <w:sz w:val="22"/>
          <w:szCs w:val="22"/>
        </w:rPr>
        <w:t>evidence base is needed to address the significant inequities that exist across priority populations of women.</w:t>
      </w:r>
    </w:p>
    <w:p w14:paraId="562D2524" w14:textId="77777777" w:rsidR="008A00C7" w:rsidRPr="00906261" w:rsidRDefault="008A00C7" w:rsidP="008A00C7">
      <w:pPr>
        <w:numPr>
          <w:ilvl w:val="0"/>
          <w:numId w:val="2"/>
        </w:numPr>
        <w:rPr>
          <w:sz w:val="22"/>
          <w:szCs w:val="22"/>
          <w:lang w:val="en-US"/>
        </w:rPr>
      </w:pPr>
      <w:r w:rsidRPr="00896364">
        <w:rPr>
          <w:sz w:val="22"/>
          <w:szCs w:val="22"/>
          <w:lang w:val="en-US"/>
        </w:rPr>
        <w:t xml:space="preserve">There are gaps in data and evidence across prevention and healthcare about conditions that </w:t>
      </w:r>
      <w:r w:rsidRPr="00906261">
        <w:rPr>
          <w:sz w:val="22"/>
          <w:szCs w:val="22"/>
          <w:lang w:val="en-US"/>
        </w:rPr>
        <w:t>affect priority populations.</w:t>
      </w:r>
    </w:p>
    <w:p w14:paraId="1CF6C892" w14:textId="77777777" w:rsidR="008A00C7" w:rsidRPr="00906261" w:rsidRDefault="008A00C7" w:rsidP="008A00C7">
      <w:pPr>
        <w:numPr>
          <w:ilvl w:val="0"/>
          <w:numId w:val="2"/>
        </w:numPr>
        <w:rPr>
          <w:sz w:val="22"/>
          <w:szCs w:val="22"/>
          <w:lang w:val="en-US"/>
        </w:rPr>
      </w:pPr>
      <w:r w:rsidRPr="00906261">
        <w:rPr>
          <w:sz w:val="22"/>
          <w:szCs w:val="22"/>
          <w:lang w:val="en-US"/>
        </w:rPr>
        <w:t>Gaps in gender disaggregated data must be filled to inform needs analysis and monitor change.</w:t>
      </w:r>
    </w:p>
    <w:p w14:paraId="4279517F" w14:textId="77777777" w:rsidR="008A00C7" w:rsidRPr="00906261" w:rsidRDefault="008A00C7" w:rsidP="008A00C7">
      <w:pPr>
        <w:numPr>
          <w:ilvl w:val="0"/>
          <w:numId w:val="2"/>
        </w:numPr>
        <w:rPr>
          <w:sz w:val="22"/>
          <w:szCs w:val="22"/>
          <w:lang w:val="en-US"/>
        </w:rPr>
      </w:pPr>
      <w:r w:rsidRPr="00906261">
        <w:rPr>
          <w:sz w:val="22"/>
          <w:szCs w:val="22"/>
          <w:lang w:val="en-US"/>
        </w:rPr>
        <w:t>A wide range of evidence, including qualitative data, quantitative data and the lived expertise of health consumers and women impacted by poor health are all critical to understanding gendered experiences of health and health care.</w:t>
      </w:r>
    </w:p>
    <w:p w14:paraId="4338416A" w14:textId="77777777" w:rsidR="008A00C7" w:rsidRPr="00C6188D" w:rsidRDefault="008A00C7" w:rsidP="008A00C7">
      <w:pPr>
        <w:numPr>
          <w:ilvl w:val="0"/>
          <w:numId w:val="2"/>
        </w:numPr>
        <w:rPr>
          <w:sz w:val="22"/>
          <w:szCs w:val="22"/>
          <w:lang w:val="en-US"/>
        </w:rPr>
      </w:pPr>
      <w:r w:rsidRPr="00906261">
        <w:rPr>
          <w:sz w:val="22"/>
          <w:szCs w:val="22"/>
          <w:lang w:val="en-US"/>
        </w:rPr>
        <w:t>Health research must incorporate gender at every stage of the process, including</w:t>
      </w:r>
      <w:r w:rsidRPr="00C6188D">
        <w:rPr>
          <w:sz w:val="22"/>
          <w:szCs w:val="22"/>
          <w:lang w:val="en-US"/>
        </w:rPr>
        <w:t xml:space="preserve"> conceptualisation, study design, data collection and analysis, and reporting and implications.</w:t>
      </w:r>
    </w:p>
    <w:p w14:paraId="603255E6" w14:textId="77777777" w:rsidR="008A00C7" w:rsidRPr="009C1EA6" w:rsidRDefault="008A00C7" w:rsidP="008A00C7">
      <w:pPr>
        <w:numPr>
          <w:ilvl w:val="0"/>
          <w:numId w:val="2"/>
        </w:numPr>
        <w:rPr>
          <w:sz w:val="22"/>
          <w:szCs w:val="22"/>
          <w:lang w:val="en-US"/>
        </w:rPr>
      </w:pPr>
      <w:r w:rsidRPr="009C1EA6">
        <w:rPr>
          <w:sz w:val="22"/>
          <w:szCs w:val="22"/>
          <w:lang w:val="en-US"/>
        </w:rPr>
        <w:t>National indicators and inclusive data collection standards are required to close data gaps, genuinely include a greater number of gendered priority populations in health-related research and strengthen the evidence base of healthcare areas that are poorly monitored.</w:t>
      </w:r>
    </w:p>
    <w:p w14:paraId="2E733451" w14:textId="77777777" w:rsidR="001A0EDE" w:rsidRPr="000E4EE5" w:rsidRDefault="001A0EDE" w:rsidP="008D2625">
      <w:pPr>
        <w:rPr>
          <w:sz w:val="22"/>
          <w:szCs w:val="22"/>
        </w:rPr>
      </w:pPr>
    </w:p>
    <w:p w14:paraId="14AAD282" w14:textId="77777777" w:rsidR="001A0EDE" w:rsidRDefault="001A0EDE" w:rsidP="00302CFE">
      <w:pPr>
        <w:pStyle w:val="Heading3"/>
      </w:pPr>
      <w:bookmarkStart w:id="2" w:name="_6orn3b6nvj35" w:colFirst="0" w:colLast="0"/>
      <w:bookmarkEnd w:id="2"/>
      <w:r w:rsidRPr="008E552E">
        <w:t>Purpose of this brief</w:t>
      </w:r>
      <w:r>
        <w:t xml:space="preserve"> </w:t>
      </w:r>
    </w:p>
    <w:p w14:paraId="5CC8E76C" w14:textId="77777777" w:rsidR="0067227B" w:rsidRPr="00E0286A" w:rsidRDefault="0067227B" w:rsidP="0067227B">
      <w:pPr>
        <w:rPr>
          <w:sz w:val="22"/>
          <w:szCs w:val="22"/>
          <w:lang w:val="en-AU"/>
        </w:rPr>
      </w:pPr>
      <w:r w:rsidRPr="00E0286A">
        <w:rPr>
          <w:sz w:val="22"/>
          <w:szCs w:val="22"/>
          <w:lang w:val="en-AU"/>
        </w:rPr>
        <w:t xml:space="preserve">Australian Women’s Health Alliance works to articulate the policies and actions necessary to improve health outcomes for women. </w:t>
      </w:r>
      <w:r>
        <w:rPr>
          <w:sz w:val="22"/>
          <w:szCs w:val="22"/>
          <w:lang w:val="en-AU"/>
        </w:rPr>
        <w:t>Thi</w:t>
      </w:r>
      <w:r w:rsidRPr="00E0286A">
        <w:rPr>
          <w:sz w:val="22"/>
          <w:szCs w:val="22"/>
          <w:lang w:val="en-AU"/>
        </w:rPr>
        <w:t xml:space="preserve">s brief </w:t>
      </w:r>
      <w:r>
        <w:rPr>
          <w:sz w:val="22"/>
          <w:szCs w:val="22"/>
          <w:lang w:val="en-AU"/>
        </w:rPr>
        <w:t>places</w:t>
      </w:r>
      <w:r w:rsidRPr="00E0286A">
        <w:rPr>
          <w:sz w:val="22"/>
          <w:szCs w:val="22"/>
          <w:lang w:val="en-AU"/>
        </w:rPr>
        <w:t xml:space="preserve"> a gender lens over research and evidence to inform policy, strategy and practice</w:t>
      </w:r>
      <w:r>
        <w:rPr>
          <w:sz w:val="22"/>
          <w:szCs w:val="22"/>
          <w:lang w:val="en-AU"/>
        </w:rPr>
        <w:t xml:space="preserve"> for health equity</w:t>
      </w:r>
      <w:r w:rsidRPr="00E0286A">
        <w:rPr>
          <w:sz w:val="22"/>
          <w:szCs w:val="22"/>
          <w:lang w:val="en-AU"/>
        </w:rPr>
        <w:t xml:space="preserve">. It is applicable in all jurisdictions. </w:t>
      </w:r>
    </w:p>
    <w:p w14:paraId="2263145F" w14:textId="77777777" w:rsidR="0067227B" w:rsidRPr="00895289" w:rsidRDefault="0067227B" w:rsidP="0067227B">
      <w:pPr>
        <w:rPr>
          <w:sz w:val="22"/>
          <w:szCs w:val="22"/>
          <w:lang w:val="en-AU"/>
        </w:rPr>
      </w:pPr>
    </w:p>
    <w:p w14:paraId="4E1136D6" w14:textId="77777777" w:rsidR="0067227B" w:rsidRPr="00E0286A" w:rsidRDefault="0067227B" w:rsidP="0067227B">
      <w:pPr>
        <w:rPr>
          <w:sz w:val="22"/>
          <w:szCs w:val="22"/>
          <w:lang w:val="en-AU"/>
        </w:rPr>
      </w:pPr>
      <w:r w:rsidRPr="00E0286A">
        <w:rPr>
          <w:sz w:val="22"/>
          <w:szCs w:val="22"/>
          <w:lang w:val="en-AU"/>
        </w:rPr>
        <w:t xml:space="preserve">There is poor understanding and a lack of accessible evidence across health and related sectors, about prevention with an intersectional gender and health equity lens. Further, there is a need to articulate how prevention can be more effectively integrated with health care, social care and social service programs developed for women. Gaps in gendered evidence impact </w:t>
      </w:r>
      <w:r>
        <w:rPr>
          <w:sz w:val="22"/>
          <w:szCs w:val="22"/>
          <w:lang w:val="en-AU"/>
        </w:rPr>
        <w:t xml:space="preserve">the way health </w:t>
      </w:r>
      <w:r w:rsidRPr="00E0286A">
        <w:rPr>
          <w:sz w:val="22"/>
          <w:szCs w:val="22"/>
          <w:lang w:val="en-AU"/>
        </w:rPr>
        <w:t>polic</w:t>
      </w:r>
      <w:r>
        <w:rPr>
          <w:sz w:val="22"/>
          <w:szCs w:val="22"/>
          <w:lang w:val="en-AU"/>
        </w:rPr>
        <w:t>ies and systems are designed and implemented</w:t>
      </w:r>
      <w:r w:rsidRPr="00E0286A">
        <w:rPr>
          <w:sz w:val="22"/>
          <w:szCs w:val="22"/>
          <w:lang w:val="en-AU"/>
        </w:rPr>
        <w:t>, including how to achieve equitable outcomes for priority populations of women.</w:t>
      </w:r>
    </w:p>
    <w:p w14:paraId="05717DAC" w14:textId="77777777" w:rsidR="0067227B" w:rsidRPr="00895289" w:rsidRDefault="0067227B" w:rsidP="0067227B">
      <w:pPr>
        <w:rPr>
          <w:sz w:val="22"/>
          <w:szCs w:val="22"/>
          <w:lang w:val="en-AU"/>
        </w:rPr>
      </w:pPr>
    </w:p>
    <w:p w14:paraId="7BC2C2A4" w14:textId="77777777" w:rsidR="00895289" w:rsidRDefault="0067227B" w:rsidP="0067227B">
      <w:pPr>
        <w:rPr>
          <w:sz w:val="22"/>
          <w:szCs w:val="22"/>
          <w:lang w:val="en-AU"/>
        </w:rPr>
      </w:pPr>
      <w:r w:rsidRPr="00E0286A">
        <w:rPr>
          <w:sz w:val="22"/>
          <w:szCs w:val="22"/>
          <w:lang w:val="en-AU"/>
        </w:rPr>
        <w:t xml:space="preserve">This is a challenge for the National Preventive Health Strategy 2021-2030 (NPHS), the National Women’s Health Strategy 2020-2030 (NWHS) and related policies, because without these understandings, it is difficult to identify and disseminate prevention strategies that will achieve health equity. Both the NPHS and NWHS aim to achieve health equity within priority populations. </w:t>
      </w:r>
      <w:r w:rsidRPr="00E0286A" w:rsidDel="00884006">
        <w:rPr>
          <w:sz w:val="22"/>
          <w:szCs w:val="22"/>
          <w:lang w:val="en-AU"/>
        </w:rPr>
        <w:t xml:space="preserve">Applying a gender equity lens is crucial in research, policymaking, education and training, and </w:t>
      </w:r>
      <w:r w:rsidRPr="00E0286A">
        <w:rPr>
          <w:sz w:val="22"/>
          <w:szCs w:val="22"/>
          <w:lang w:val="en-AU"/>
        </w:rPr>
        <w:t xml:space="preserve">in </w:t>
      </w:r>
      <w:r w:rsidRPr="00E0286A" w:rsidDel="00884006">
        <w:rPr>
          <w:sz w:val="22"/>
          <w:szCs w:val="22"/>
          <w:lang w:val="en-AU"/>
        </w:rPr>
        <w:t xml:space="preserve">health service provision to </w:t>
      </w:r>
      <w:r w:rsidRPr="00E0286A">
        <w:rPr>
          <w:sz w:val="22"/>
          <w:szCs w:val="22"/>
          <w:lang w:val="en-AU"/>
        </w:rPr>
        <w:t xml:space="preserve">ensure </w:t>
      </w:r>
      <w:r w:rsidRPr="00E0286A" w:rsidDel="00884006">
        <w:rPr>
          <w:sz w:val="22"/>
          <w:szCs w:val="22"/>
          <w:lang w:val="en-AU"/>
        </w:rPr>
        <w:t>implement</w:t>
      </w:r>
      <w:r w:rsidRPr="00E0286A">
        <w:rPr>
          <w:sz w:val="22"/>
          <w:szCs w:val="22"/>
          <w:lang w:val="en-AU"/>
        </w:rPr>
        <w:t>ed</w:t>
      </w:r>
      <w:r w:rsidRPr="00E0286A" w:rsidDel="00884006">
        <w:rPr>
          <w:sz w:val="22"/>
          <w:szCs w:val="22"/>
          <w:lang w:val="en-AU"/>
        </w:rPr>
        <w:t xml:space="preserve"> programs and systems promote health equity.</w:t>
      </w:r>
      <w:r w:rsidRPr="00E0286A">
        <w:rPr>
          <w:sz w:val="22"/>
          <w:szCs w:val="22"/>
          <w:lang w:val="en-AU"/>
        </w:rPr>
        <w:t xml:space="preserve"> </w:t>
      </w:r>
    </w:p>
    <w:p w14:paraId="6DEEDF5C" w14:textId="535EED4F" w:rsidR="0067227B" w:rsidRDefault="0067227B" w:rsidP="0067227B">
      <w:pPr>
        <w:rPr>
          <w:sz w:val="22"/>
          <w:szCs w:val="22"/>
          <w:lang w:val="en-AU"/>
        </w:rPr>
      </w:pPr>
      <w:r w:rsidRPr="00E0286A">
        <w:rPr>
          <w:sz w:val="22"/>
          <w:szCs w:val="22"/>
          <w:lang w:val="en-AU"/>
        </w:rPr>
        <w:lastRenderedPageBreak/>
        <w:t>However, while the NPHS commits to equitable approaches to prevention</w:t>
      </w:r>
      <w:r w:rsidRPr="00E0286A">
        <w:rPr>
          <w:sz w:val="22"/>
          <w:szCs w:val="22"/>
          <w:vertAlign w:val="superscript"/>
          <w:lang w:val="en-AU"/>
        </w:rPr>
        <w:endnoteReference w:id="1"/>
      </w:r>
      <w:r w:rsidRPr="00E0286A">
        <w:rPr>
          <w:sz w:val="22"/>
          <w:szCs w:val="22"/>
          <w:lang w:val="en-AU"/>
        </w:rPr>
        <w:t xml:space="preserve"> and acknowledges the determinants of health, it </w:t>
      </w:r>
      <w:r>
        <w:rPr>
          <w:sz w:val="22"/>
          <w:szCs w:val="22"/>
          <w:lang w:val="en-AU"/>
        </w:rPr>
        <w:t>does not include</w:t>
      </w:r>
      <w:r w:rsidRPr="00E0286A">
        <w:rPr>
          <w:sz w:val="22"/>
          <w:szCs w:val="22"/>
          <w:lang w:val="en-AU"/>
        </w:rPr>
        <w:t xml:space="preserve"> how gender is a determinant of different health experiences and outcomes. Notably, women are not identified as a priority population.</w:t>
      </w:r>
      <w:r w:rsidRPr="00E0286A">
        <w:rPr>
          <w:sz w:val="22"/>
          <w:szCs w:val="22"/>
          <w:vertAlign w:val="superscript"/>
          <w:lang w:val="en-AU"/>
        </w:rPr>
        <w:endnoteReference w:id="2"/>
      </w:r>
    </w:p>
    <w:p w14:paraId="274BEA11" w14:textId="77777777" w:rsidR="008D2625" w:rsidRDefault="008D2625" w:rsidP="0067227B">
      <w:pPr>
        <w:rPr>
          <w:sz w:val="22"/>
          <w:szCs w:val="22"/>
          <w:lang w:val="en-AU"/>
        </w:rPr>
      </w:pPr>
    </w:p>
    <w:p w14:paraId="0A689223" w14:textId="6243F2D7" w:rsidR="001A0EDE" w:rsidRDefault="001A0EDE" w:rsidP="00302CFE">
      <w:pPr>
        <w:pStyle w:val="Heading3"/>
      </w:pPr>
      <w:bookmarkStart w:id="3" w:name="_gyf4cpl5u5vu" w:colFirst="0" w:colLast="0"/>
      <w:bookmarkEnd w:id="3"/>
      <w:r w:rsidRPr="006E54D7">
        <w:t>Why put an intersectional gender lens on</w:t>
      </w:r>
      <w:r w:rsidR="002C04D1">
        <w:t xml:space="preserve"> research and evidence</w:t>
      </w:r>
      <w:r w:rsidRPr="006E54D7">
        <w:t>?</w:t>
      </w:r>
    </w:p>
    <w:p w14:paraId="45F91249" w14:textId="77777777" w:rsidR="003C02A2" w:rsidRDefault="00A72793" w:rsidP="00A72793">
      <w:pPr>
        <w:rPr>
          <w:sz w:val="22"/>
          <w:szCs w:val="22"/>
        </w:rPr>
      </w:pPr>
      <w:r w:rsidRPr="00896364">
        <w:rPr>
          <w:sz w:val="22"/>
          <w:szCs w:val="22"/>
          <w:lang w:val="en-US"/>
        </w:rPr>
        <w:t>Research and evidence are important because</w:t>
      </w:r>
      <w:r>
        <w:rPr>
          <w:sz w:val="22"/>
          <w:szCs w:val="22"/>
          <w:lang w:val="en-US"/>
        </w:rPr>
        <w:t xml:space="preserve"> </w:t>
      </w:r>
      <w:r>
        <w:rPr>
          <w:sz w:val="22"/>
          <w:szCs w:val="22"/>
        </w:rPr>
        <w:t>they</w:t>
      </w:r>
      <w:r w:rsidRPr="009C1E1F">
        <w:rPr>
          <w:sz w:val="22"/>
          <w:szCs w:val="22"/>
        </w:rPr>
        <w:t xml:space="preserve"> underpin</w:t>
      </w:r>
      <w:r>
        <w:rPr>
          <w:sz w:val="22"/>
          <w:szCs w:val="22"/>
        </w:rPr>
        <w:t xml:space="preserve"> how</w:t>
      </w:r>
      <w:r w:rsidRPr="009C1E1F">
        <w:rPr>
          <w:sz w:val="22"/>
          <w:szCs w:val="22"/>
        </w:rPr>
        <w:t xml:space="preserve"> Australia’s healthcare system and public policy </w:t>
      </w:r>
      <w:r>
        <w:rPr>
          <w:sz w:val="22"/>
          <w:szCs w:val="22"/>
        </w:rPr>
        <w:t xml:space="preserve">is delivered. A </w:t>
      </w:r>
      <w:r w:rsidRPr="009C1E1F">
        <w:rPr>
          <w:sz w:val="22"/>
          <w:szCs w:val="22"/>
        </w:rPr>
        <w:t xml:space="preserve">stronger intersectional gendered </w:t>
      </w:r>
      <w:r>
        <w:rPr>
          <w:sz w:val="22"/>
          <w:szCs w:val="22"/>
        </w:rPr>
        <w:t>evidence base is needed to address the significant inequities that exist across priority populations of women.</w:t>
      </w:r>
      <w:r w:rsidRPr="009C1E1F">
        <w:rPr>
          <w:sz w:val="22"/>
          <w:szCs w:val="22"/>
        </w:rPr>
        <w:t xml:space="preserve"> </w:t>
      </w:r>
      <w:r>
        <w:rPr>
          <w:sz w:val="22"/>
          <w:szCs w:val="22"/>
        </w:rPr>
        <w:t>H</w:t>
      </w:r>
      <w:r w:rsidRPr="009D09AD">
        <w:rPr>
          <w:sz w:val="22"/>
          <w:szCs w:val="22"/>
        </w:rPr>
        <w:t xml:space="preserve">istorically and still today, women, </w:t>
      </w:r>
      <w:r w:rsidRPr="009D09AD">
        <w:rPr>
          <w:rStyle w:val="normaltextrun"/>
          <w:color w:val="000000"/>
          <w:sz w:val="22"/>
          <w:szCs w:val="22"/>
          <w:shd w:val="clear" w:color="auto" w:fill="FFFFFF"/>
          <w:lang w:val="en-US"/>
        </w:rPr>
        <w:t xml:space="preserve">especially women who experience </w:t>
      </w:r>
      <w:r>
        <w:rPr>
          <w:rStyle w:val="normaltextrun"/>
          <w:color w:val="000000"/>
          <w:sz w:val="22"/>
          <w:szCs w:val="22"/>
          <w:shd w:val="clear" w:color="auto" w:fill="FFFFFF"/>
          <w:lang w:val="en-US"/>
        </w:rPr>
        <w:t xml:space="preserve">multiple </w:t>
      </w:r>
      <w:r w:rsidRPr="009D09AD">
        <w:rPr>
          <w:rStyle w:val="normaltextrun"/>
          <w:color w:val="000000"/>
          <w:sz w:val="22"/>
          <w:szCs w:val="22"/>
          <w:shd w:val="clear" w:color="auto" w:fill="FFFFFF"/>
          <w:lang w:val="en-US"/>
        </w:rPr>
        <w:t>intersecti</w:t>
      </w:r>
      <w:r>
        <w:rPr>
          <w:rStyle w:val="normaltextrun"/>
          <w:color w:val="000000"/>
          <w:sz w:val="22"/>
          <w:szCs w:val="22"/>
          <w:shd w:val="clear" w:color="auto" w:fill="FFFFFF"/>
          <w:lang w:val="en-US"/>
        </w:rPr>
        <w:t>ng forms of</w:t>
      </w:r>
      <w:r w:rsidRPr="009D09AD">
        <w:rPr>
          <w:rStyle w:val="normaltextrun"/>
          <w:color w:val="000000"/>
          <w:sz w:val="22"/>
          <w:szCs w:val="22"/>
          <w:shd w:val="clear" w:color="auto" w:fill="FFFFFF"/>
          <w:lang w:val="en-US"/>
        </w:rPr>
        <w:t xml:space="preserve"> disadvantage</w:t>
      </w:r>
      <w:r w:rsidRPr="009D09AD">
        <w:rPr>
          <w:rStyle w:val="normaltextrun"/>
          <w:color w:val="000000"/>
          <w:sz w:val="22"/>
          <w:szCs w:val="22"/>
          <w:shd w:val="clear" w:color="auto" w:fill="FFFFFF"/>
        </w:rPr>
        <w:t>,</w:t>
      </w:r>
      <w:r w:rsidRPr="009D09AD">
        <w:rPr>
          <w:sz w:val="22"/>
          <w:szCs w:val="22"/>
        </w:rPr>
        <w:t xml:space="preserve"> are not sufficiently consulted about </w:t>
      </w:r>
      <w:r w:rsidRPr="00F5426B">
        <w:rPr>
          <w:sz w:val="22"/>
          <w:szCs w:val="22"/>
        </w:rPr>
        <w:t>conditions</w:t>
      </w:r>
      <w:r w:rsidRPr="009D09AD">
        <w:rPr>
          <w:sz w:val="22"/>
          <w:szCs w:val="22"/>
        </w:rPr>
        <w:t xml:space="preserve"> that affect them. Women have been excluded from medical research</w:t>
      </w:r>
      <w:r>
        <w:rPr>
          <w:sz w:val="22"/>
          <w:szCs w:val="22"/>
        </w:rPr>
        <w:t>, and</w:t>
      </w:r>
      <w:r w:rsidRPr="009D09AD">
        <w:rPr>
          <w:sz w:val="22"/>
          <w:szCs w:val="22"/>
        </w:rPr>
        <w:t xml:space="preserve"> most research data that has been collected from male</w:t>
      </w:r>
      <w:r>
        <w:rPr>
          <w:sz w:val="22"/>
          <w:szCs w:val="22"/>
        </w:rPr>
        <w:t xml:space="preserve"> respondent</w:t>
      </w:r>
      <w:r w:rsidRPr="009D09AD">
        <w:rPr>
          <w:sz w:val="22"/>
          <w:szCs w:val="22"/>
        </w:rPr>
        <w:t>s</w:t>
      </w:r>
      <w:r>
        <w:rPr>
          <w:sz w:val="22"/>
          <w:szCs w:val="22"/>
        </w:rPr>
        <w:t xml:space="preserve"> is</w:t>
      </w:r>
      <w:r w:rsidRPr="009D09AD">
        <w:rPr>
          <w:sz w:val="22"/>
          <w:szCs w:val="22"/>
        </w:rPr>
        <w:t xml:space="preserve"> generalised to female</w:t>
      </w:r>
      <w:r>
        <w:rPr>
          <w:sz w:val="22"/>
          <w:szCs w:val="22"/>
        </w:rPr>
        <w:t xml:space="preserve"> respondents</w:t>
      </w:r>
      <w:r w:rsidRPr="009D09AD">
        <w:rPr>
          <w:sz w:val="22"/>
          <w:szCs w:val="22"/>
        </w:rPr>
        <w:t>, intersex people, transgender people and people beyond the gender binary</w:t>
      </w:r>
      <w:r>
        <w:rPr>
          <w:sz w:val="22"/>
          <w:szCs w:val="22"/>
        </w:rPr>
        <w:t>.</w:t>
      </w:r>
      <w:r w:rsidRPr="009D09AD">
        <w:rPr>
          <w:rStyle w:val="EndnoteReference"/>
          <w:sz w:val="22"/>
          <w:szCs w:val="22"/>
        </w:rPr>
        <w:endnoteReference w:id="3"/>
      </w:r>
      <w:r>
        <w:rPr>
          <w:sz w:val="22"/>
          <w:szCs w:val="22"/>
        </w:rPr>
        <w:t xml:space="preserve"> </w:t>
      </w:r>
      <w:r>
        <w:rPr>
          <w:rStyle w:val="EndnoteReference"/>
          <w:sz w:val="22"/>
          <w:szCs w:val="22"/>
        </w:rPr>
        <w:endnoteReference w:id="4"/>
      </w:r>
      <w:r w:rsidRPr="009D09AD">
        <w:rPr>
          <w:sz w:val="22"/>
          <w:szCs w:val="22"/>
        </w:rPr>
        <w:t xml:space="preserve"> </w:t>
      </w:r>
    </w:p>
    <w:p w14:paraId="3D5D2A88" w14:textId="77777777" w:rsidR="003C02A2" w:rsidRDefault="003C02A2" w:rsidP="00A72793">
      <w:pPr>
        <w:rPr>
          <w:sz w:val="22"/>
          <w:szCs w:val="22"/>
        </w:rPr>
      </w:pPr>
    </w:p>
    <w:p w14:paraId="2C106A56" w14:textId="7F3F6045" w:rsidR="00A72793" w:rsidRDefault="00A72793" w:rsidP="00A72793">
      <w:pPr>
        <w:rPr>
          <w:sz w:val="22"/>
          <w:szCs w:val="22"/>
        </w:rPr>
      </w:pPr>
      <w:r w:rsidRPr="009D09AD">
        <w:rPr>
          <w:sz w:val="22"/>
          <w:szCs w:val="22"/>
        </w:rPr>
        <w:t xml:space="preserve">This has resulted in a lack of understanding on the different symptoms of conditions such as heart disease between </w:t>
      </w:r>
      <w:r>
        <w:rPr>
          <w:sz w:val="22"/>
          <w:szCs w:val="22"/>
        </w:rPr>
        <w:t>cis-</w:t>
      </w:r>
      <w:r w:rsidRPr="009D09AD">
        <w:rPr>
          <w:sz w:val="22"/>
          <w:szCs w:val="22"/>
        </w:rPr>
        <w:t>men and</w:t>
      </w:r>
      <w:r>
        <w:rPr>
          <w:sz w:val="22"/>
          <w:szCs w:val="22"/>
        </w:rPr>
        <w:t xml:space="preserve"> people of all other genders and/or sex. As an example,</w:t>
      </w:r>
      <w:r w:rsidRPr="009D09AD">
        <w:rPr>
          <w:sz w:val="22"/>
          <w:szCs w:val="22"/>
        </w:rPr>
        <w:t xml:space="preserve"> women </w:t>
      </w:r>
      <w:r>
        <w:rPr>
          <w:sz w:val="22"/>
          <w:szCs w:val="22"/>
        </w:rPr>
        <w:t xml:space="preserve">are </w:t>
      </w:r>
      <w:r w:rsidRPr="009D09AD">
        <w:rPr>
          <w:sz w:val="22"/>
          <w:szCs w:val="22"/>
        </w:rPr>
        <w:t>less likely than men to receive life threatening diagnoses and appropriate treatment</w:t>
      </w:r>
      <w:r>
        <w:rPr>
          <w:sz w:val="22"/>
          <w:szCs w:val="22"/>
        </w:rPr>
        <w:t>.</w:t>
      </w:r>
      <w:r w:rsidRPr="009D09AD">
        <w:rPr>
          <w:rStyle w:val="EndnoteReference"/>
          <w:sz w:val="22"/>
          <w:szCs w:val="22"/>
        </w:rPr>
        <w:endnoteReference w:id="5"/>
      </w:r>
      <w:r>
        <w:rPr>
          <w:sz w:val="22"/>
          <w:szCs w:val="22"/>
        </w:rPr>
        <w:t xml:space="preserve"> </w:t>
      </w:r>
    </w:p>
    <w:p w14:paraId="0CCC23A9" w14:textId="77777777" w:rsidR="00A72793" w:rsidRPr="003C02A2" w:rsidRDefault="00A72793" w:rsidP="00A72793">
      <w:pPr>
        <w:rPr>
          <w:sz w:val="22"/>
          <w:szCs w:val="22"/>
        </w:rPr>
      </w:pPr>
    </w:p>
    <w:p w14:paraId="0E80C9A3" w14:textId="77777777" w:rsidR="00A72793" w:rsidRDefault="00A72793" w:rsidP="00A72793">
      <w:pPr>
        <w:rPr>
          <w:sz w:val="22"/>
          <w:szCs w:val="22"/>
        </w:rPr>
      </w:pPr>
      <w:r>
        <w:rPr>
          <w:sz w:val="22"/>
          <w:szCs w:val="22"/>
        </w:rPr>
        <w:t xml:space="preserve">These gendered </w:t>
      </w:r>
      <w:r w:rsidRPr="00F96404">
        <w:rPr>
          <w:sz w:val="22"/>
          <w:szCs w:val="22"/>
        </w:rPr>
        <w:t>data</w:t>
      </w:r>
      <w:r>
        <w:rPr>
          <w:sz w:val="22"/>
          <w:szCs w:val="22"/>
        </w:rPr>
        <w:t xml:space="preserve"> gaps </w:t>
      </w:r>
      <w:r w:rsidRPr="00F96404">
        <w:rPr>
          <w:sz w:val="22"/>
          <w:szCs w:val="22"/>
        </w:rPr>
        <w:t>impact the evidence</w:t>
      </w:r>
      <w:r>
        <w:rPr>
          <w:sz w:val="22"/>
          <w:szCs w:val="22"/>
        </w:rPr>
        <w:t xml:space="preserve"> </w:t>
      </w:r>
      <w:r w:rsidRPr="00F96404">
        <w:rPr>
          <w:sz w:val="22"/>
          <w:szCs w:val="22"/>
        </w:rPr>
        <w:t>available to address health disparities between and within population groups. While</w:t>
      </w:r>
      <w:r>
        <w:rPr>
          <w:sz w:val="22"/>
          <w:szCs w:val="22"/>
        </w:rPr>
        <w:t xml:space="preserve"> there is emerging focus to gather gender disaggregated and intersectional data on health issues affecting the whole population (e.g., mental health, alcohol and tobacco use, and some chronic conditions), more is needed to ensure data is collected on priority populations of women. </w:t>
      </w:r>
      <w:r w:rsidRPr="007B5B22">
        <w:rPr>
          <w:sz w:val="22"/>
          <w:szCs w:val="22"/>
        </w:rPr>
        <w:t>Gaps in gender disaggregated data must be filled to inform needs analysis and monitor change.</w:t>
      </w:r>
    </w:p>
    <w:p w14:paraId="7DC43160" w14:textId="77777777" w:rsidR="00A72793" w:rsidRPr="003C02A2" w:rsidRDefault="00A72793" w:rsidP="00A72793">
      <w:pPr>
        <w:rPr>
          <w:sz w:val="22"/>
          <w:szCs w:val="22"/>
        </w:rPr>
      </w:pPr>
    </w:p>
    <w:p w14:paraId="5211529D" w14:textId="2BEE444C" w:rsidR="002C04D1" w:rsidRDefault="00A72793" w:rsidP="00A72793">
      <w:pPr>
        <w:rPr>
          <w:sz w:val="22"/>
          <w:szCs w:val="22"/>
        </w:rPr>
      </w:pPr>
      <w:r>
        <w:rPr>
          <w:sz w:val="22"/>
          <w:szCs w:val="22"/>
        </w:rPr>
        <w:t xml:space="preserve">Further, there is limited data collection on key women’s health issues, experiences of health care and pathways to accessing care. Some priorities under the NWHS have national datasets and increasing research investment (e.g., maternal health, stillbirth prevention and </w:t>
      </w:r>
      <w:r w:rsidRPr="00746099">
        <w:rPr>
          <w:sz w:val="22"/>
          <w:szCs w:val="22"/>
        </w:rPr>
        <w:t>cervical cancer</w:t>
      </w:r>
      <w:r>
        <w:rPr>
          <w:sz w:val="22"/>
          <w:szCs w:val="22"/>
        </w:rPr>
        <w:t>).</w:t>
      </w:r>
      <w:r>
        <w:rPr>
          <w:rStyle w:val="EndnoteReference"/>
          <w:sz w:val="22"/>
          <w:szCs w:val="22"/>
        </w:rPr>
        <w:endnoteReference w:id="6"/>
      </w:r>
      <w:r>
        <w:rPr>
          <w:sz w:val="22"/>
          <w:szCs w:val="22"/>
        </w:rPr>
        <w:t xml:space="preserve"> However, t</w:t>
      </w:r>
      <w:r w:rsidRPr="009D09AD">
        <w:rPr>
          <w:sz w:val="22"/>
          <w:szCs w:val="22"/>
        </w:rPr>
        <w:t>here is</w:t>
      </w:r>
      <w:r>
        <w:rPr>
          <w:sz w:val="22"/>
          <w:szCs w:val="22"/>
        </w:rPr>
        <w:t xml:space="preserve"> currently</w:t>
      </w:r>
      <w:r w:rsidRPr="009D09AD">
        <w:rPr>
          <w:sz w:val="22"/>
          <w:szCs w:val="22"/>
        </w:rPr>
        <w:t xml:space="preserve"> no national dataset on abortion and reproductive healthcare</w:t>
      </w:r>
      <w:r>
        <w:rPr>
          <w:sz w:val="22"/>
          <w:szCs w:val="22"/>
        </w:rPr>
        <w:t>. While endometriosis is receiving increased attention, u</w:t>
      </w:r>
      <w:r w:rsidRPr="009D09AD">
        <w:rPr>
          <w:sz w:val="22"/>
          <w:szCs w:val="22"/>
        </w:rPr>
        <w:t xml:space="preserve">nderstandings of </w:t>
      </w:r>
      <w:r>
        <w:rPr>
          <w:sz w:val="22"/>
          <w:szCs w:val="22"/>
        </w:rPr>
        <w:t xml:space="preserve">prevention </w:t>
      </w:r>
      <w:r w:rsidRPr="009D09AD">
        <w:rPr>
          <w:sz w:val="22"/>
          <w:szCs w:val="22"/>
        </w:rPr>
        <w:t>and treatment options</w:t>
      </w:r>
      <w:r>
        <w:rPr>
          <w:sz w:val="22"/>
          <w:szCs w:val="22"/>
        </w:rPr>
        <w:t xml:space="preserve"> alongside</w:t>
      </w:r>
      <w:r w:rsidRPr="009D09AD">
        <w:rPr>
          <w:sz w:val="22"/>
          <w:szCs w:val="22"/>
        </w:rPr>
        <w:t xml:space="preserve"> </w:t>
      </w:r>
      <w:r>
        <w:rPr>
          <w:sz w:val="22"/>
          <w:szCs w:val="22"/>
        </w:rPr>
        <w:t>other conditions such as p</w:t>
      </w:r>
      <w:r w:rsidRPr="009D09AD">
        <w:rPr>
          <w:sz w:val="22"/>
          <w:szCs w:val="22"/>
        </w:rPr>
        <w:t>olycystic ovary syndrome (PCOS)</w:t>
      </w:r>
      <w:r>
        <w:rPr>
          <w:sz w:val="22"/>
          <w:szCs w:val="22"/>
        </w:rPr>
        <w:t xml:space="preserve">, </w:t>
      </w:r>
      <w:r w:rsidRPr="009D09AD">
        <w:rPr>
          <w:sz w:val="22"/>
          <w:szCs w:val="22"/>
        </w:rPr>
        <w:t xml:space="preserve">menopausal symptoms </w:t>
      </w:r>
      <w:r>
        <w:rPr>
          <w:sz w:val="22"/>
          <w:szCs w:val="22"/>
        </w:rPr>
        <w:t xml:space="preserve">and chronic pelvic pain remain </w:t>
      </w:r>
      <w:r w:rsidRPr="009D09AD">
        <w:rPr>
          <w:sz w:val="22"/>
          <w:szCs w:val="22"/>
        </w:rPr>
        <w:t xml:space="preserve">nascent due to a </w:t>
      </w:r>
      <w:r>
        <w:rPr>
          <w:sz w:val="22"/>
          <w:szCs w:val="22"/>
        </w:rPr>
        <w:t xml:space="preserve">historical </w:t>
      </w:r>
      <w:r w:rsidRPr="009D09AD">
        <w:rPr>
          <w:sz w:val="22"/>
          <w:szCs w:val="22"/>
        </w:rPr>
        <w:t>lack of investment in research on reproductive health</w:t>
      </w:r>
      <w:r>
        <w:rPr>
          <w:sz w:val="22"/>
          <w:szCs w:val="22"/>
        </w:rPr>
        <w:t xml:space="preserve"> and prevention. </w:t>
      </w:r>
    </w:p>
    <w:p w14:paraId="46AB8F52" w14:textId="777C7205" w:rsidR="002C04D1" w:rsidRDefault="002C04D1" w:rsidP="00A72793">
      <w:pPr>
        <w:rPr>
          <w:sz w:val="22"/>
          <w:szCs w:val="22"/>
        </w:rPr>
      </w:pPr>
    </w:p>
    <w:p w14:paraId="6AA734CC" w14:textId="7D9B3775" w:rsidR="00A72793" w:rsidRDefault="00A72793" w:rsidP="00A72793">
      <w:pPr>
        <w:rPr>
          <w:sz w:val="22"/>
          <w:szCs w:val="22"/>
        </w:rPr>
      </w:pPr>
      <w:r>
        <w:rPr>
          <w:sz w:val="22"/>
          <w:szCs w:val="22"/>
        </w:rPr>
        <w:t>Investing in</w:t>
      </w:r>
      <w:r w:rsidRPr="009D09AD">
        <w:rPr>
          <w:sz w:val="22"/>
          <w:szCs w:val="22"/>
        </w:rPr>
        <w:t xml:space="preserve"> women’s health research</w:t>
      </w:r>
      <w:r>
        <w:rPr>
          <w:sz w:val="22"/>
          <w:szCs w:val="22"/>
        </w:rPr>
        <w:t xml:space="preserve"> builds a gendered evidence base that can inform service system planning and implementation and </w:t>
      </w:r>
      <w:r w:rsidRPr="009D09AD">
        <w:rPr>
          <w:sz w:val="22"/>
          <w:szCs w:val="22"/>
        </w:rPr>
        <w:t>le</w:t>
      </w:r>
      <w:r>
        <w:rPr>
          <w:sz w:val="22"/>
          <w:szCs w:val="22"/>
        </w:rPr>
        <w:t>a</w:t>
      </w:r>
      <w:r w:rsidRPr="009D09AD">
        <w:rPr>
          <w:sz w:val="22"/>
          <w:szCs w:val="22"/>
        </w:rPr>
        <w:t>d to improved outcomes</w:t>
      </w:r>
      <w:r>
        <w:rPr>
          <w:sz w:val="22"/>
          <w:szCs w:val="22"/>
        </w:rPr>
        <w:t>, for instance, as in the case of</w:t>
      </w:r>
      <w:r w:rsidRPr="009D09AD">
        <w:rPr>
          <w:sz w:val="22"/>
          <w:szCs w:val="22"/>
        </w:rPr>
        <w:t xml:space="preserve"> breast cancer research</w:t>
      </w:r>
      <w:r>
        <w:rPr>
          <w:sz w:val="22"/>
          <w:szCs w:val="22"/>
        </w:rPr>
        <w:t>.</w:t>
      </w:r>
      <w:r>
        <w:rPr>
          <w:rStyle w:val="EndnoteReference"/>
          <w:sz w:val="22"/>
          <w:szCs w:val="22"/>
        </w:rPr>
        <w:endnoteReference w:id="7"/>
      </w:r>
    </w:p>
    <w:p w14:paraId="15D365A9" w14:textId="77777777" w:rsidR="001A0EDE" w:rsidRPr="00B90695" w:rsidRDefault="001A0EDE" w:rsidP="002A7500">
      <w:pPr>
        <w:rPr>
          <w:sz w:val="22"/>
          <w:szCs w:val="22"/>
        </w:rPr>
      </w:pPr>
    </w:p>
    <w:p w14:paraId="41F5BED5" w14:textId="51A1584B" w:rsidR="00302CFE" w:rsidRDefault="002C04D1" w:rsidP="00302CFE">
      <w:pPr>
        <w:pStyle w:val="Heading3"/>
      </w:pPr>
      <w:r>
        <w:t>Applying a gender equity lens to conducting research</w:t>
      </w:r>
    </w:p>
    <w:p w14:paraId="4C9C4BCC" w14:textId="77777777" w:rsidR="0086648E" w:rsidRDefault="0086648E" w:rsidP="0086648E">
      <w:pPr>
        <w:rPr>
          <w:sz w:val="22"/>
          <w:szCs w:val="22"/>
        </w:rPr>
      </w:pPr>
      <w:r w:rsidRPr="004725BE">
        <w:rPr>
          <w:sz w:val="22"/>
          <w:szCs w:val="22"/>
        </w:rPr>
        <w:t>Gender</w:t>
      </w:r>
      <w:r>
        <w:rPr>
          <w:sz w:val="22"/>
          <w:szCs w:val="22"/>
        </w:rPr>
        <w:t>-</w:t>
      </w:r>
      <w:r w:rsidRPr="004725BE">
        <w:rPr>
          <w:sz w:val="22"/>
          <w:szCs w:val="22"/>
        </w:rPr>
        <w:t xml:space="preserve">responsive evidence requires </w:t>
      </w:r>
      <w:r>
        <w:rPr>
          <w:sz w:val="22"/>
          <w:szCs w:val="22"/>
        </w:rPr>
        <w:t xml:space="preserve">research conducted with </w:t>
      </w:r>
      <w:r w:rsidRPr="004725BE">
        <w:rPr>
          <w:sz w:val="22"/>
          <w:szCs w:val="22"/>
        </w:rPr>
        <w:t xml:space="preserve">a robust gender equity lens </w:t>
      </w:r>
      <w:r>
        <w:rPr>
          <w:sz w:val="22"/>
          <w:szCs w:val="22"/>
        </w:rPr>
        <w:t>to inform policy and practice that addresses health inequities</w:t>
      </w:r>
      <w:r w:rsidRPr="004725BE">
        <w:rPr>
          <w:sz w:val="22"/>
          <w:szCs w:val="22"/>
        </w:rPr>
        <w:t xml:space="preserve">. </w:t>
      </w:r>
      <w:r>
        <w:rPr>
          <w:sz w:val="22"/>
          <w:szCs w:val="22"/>
        </w:rPr>
        <w:t>Health r</w:t>
      </w:r>
      <w:r w:rsidRPr="00672C9C">
        <w:rPr>
          <w:sz w:val="22"/>
          <w:szCs w:val="22"/>
        </w:rPr>
        <w:t>esearch must incorporate gender at every stage of the process, including conceptualisation, study design, data collection and analysis, and reporting and implications/recommendations.</w:t>
      </w:r>
      <w:r>
        <w:rPr>
          <w:rStyle w:val="EndnoteReference"/>
          <w:sz w:val="22"/>
          <w:szCs w:val="22"/>
        </w:rPr>
        <w:endnoteReference w:id="8"/>
      </w:r>
      <w:r w:rsidRPr="00672C9C">
        <w:rPr>
          <w:sz w:val="22"/>
          <w:szCs w:val="22"/>
        </w:rPr>
        <w:t xml:space="preserve"> This may involve adopting an intersectional definition of gender in the study design; critical considerations on the social</w:t>
      </w:r>
      <w:r>
        <w:rPr>
          <w:sz w:val="22"/>
          <w:szCs w:val="22"/>
        </w:rPr>
        <w:t xml:space="preserve"> and gendered</w:t>
      </w:r>
      <w:r w:rsidRPr="00672C9C">
        <w:rPr>
          <w:sz w:val="22"/>
          <w:szCs w:val="22"/>
        </w:rPr>
        <w:t xml:space="preserve"> </w:t>
      </w:r>
      <w:r>
        <w:rPr>
          <w:sz w:val="22"/>
          <w:szCs w:val="22"/>
        </w:rPr>
        <w:lastRenderedPageBreak/>
        <w:t xml:space="preserve">determinants that impact upon </w:t>
      </w:r>
      <w:r w:rsidRPr="00672C9C">
        <w:rPr>
          <w:sz w:val="22"/>
          <w:szCs w:val="22"/>
        </w:rPr>
        <w:t>the research topic, participants, and researchers; choosing methodology and methods that effectively capture gendered considerations and gender disaggregated data; and an ethic</w:t>
      </w:r>
      <w:r>
        <w:rPr>
          <w:sz w:val="22"/>
          <w:szCs w:val="22"/>
        </w:rPr>
        <w:t>al</w:t>
      </w:r>
      <w:r w:rsidRPr="00672C9C">
        <w:rPr>
          <w:sz w:val="22"/>
          <w:szCs w:val="22"/>
        </w:rPr>
        <w:t xml:space="preserve"> navigati</w:t>
      </w:r>
      <w:r>
        <w:rPr>
          <w:sz w:val="22"/>
          <w:szCs w:val="22"/>
        </w:rPr>
        <w:t>on of</w:t>
      </w:r>
      <w:r w:rsidRPr="00672C9C">
        <w:rPr>
          <w:sz w:val="22"/>
          <w:szCs w:val="22"/>
        </w:rPr>
        <w:t xml:space="preserve"> power dynamics between all parties involved in the research process, including </w:t>
      </w:r>
      <w:r>
        <w:rPr>
          <w:sz w:val="22"/>
          <w:szCs w:val="22"/>
        </w:rPr>
        <w:t xml:space="preserve">gendered dynamics and </w:t>
      </w:r>
      <w:r w:rsidRPr="00672C9C">
        <w:rPr>
          <w:sz w:val="22"/>
          <w:szCs w:val="22"/>
        </w:rPr>
        <w:t xml:space="preserve">experiences. </w:t>
      </w:r>
    </w:p>
    <w:p w14:paraId="2AC12DE1" w14:textId="77777777" w:rsidR="004A7089" w:rsidRDefault="004A7089" w:rsidP="0086648E">
      <w:pPr>
        <w:rPr>
          <w:sz w:val="22"/>
          <w:szCs w:val="22"/>
        </w:rPr>
      </w:pPr>
    </w:p>
    <w:p w14:paraId="27ED4D5C" w14:textId="3299A501" w:rsidR="008B2878" w:rsidRDefault="008B2878" w:rsidP="0086648E">
      <w:pPr>
        <w:rPr>
          <w:sz w:val="22"/>
          <w:szCs w:val="22"/>
        </w:rPr>
      </w:pPr>
      <w:r>
        <w:rPr>
          <w:sz w:val="22"/>
          <w:szCs w:val="22"/>
        </w:rPr>
        <w:t>More inclusive data collection standards are required to close gendered and intersectional data gaps and increase representation in major studies and national datasets. This includes standards to ensure health research is inclusive of t</w:t>
      </w:r>
      <w:r w:rsidRPr="009D09AD">
        <w:rPr>
          <w:sz w:val="22"/>
          <w:szCs w:val="22"/>
        </w:rPr>
        <w:t>rans women, gender diverse people and LGBTIQ+ communities</w:t>
      </w:r>
      <w:r>
        <w:rPr>
          <w:sz w:val="22"/>
          <w:szCs w:val="22"/>
        </w:rPr>
        <w:t xml:space="preserve">, research methods are culturally responsive, accessible to women with disability and people who have low English proficiency and that data is </w:t>
      </w:r>
      <w:r w:rsidRPr="00FF6E64">
        <w:rPr>
          <w:sz w:val="22"/>
          <w:szCs w:val="22"/>
        </w:rPr>
        <w:t>disaggregated by gender and priority populations</w:t>
      </w:r>
      <w:r>
        <w:rPr>
          <w:sz w:val="22"/>
          <w:szCs w:val="22"/>
        </w:rPr>
        <w:t xml:space="preserve">. </w:t>
      </w:r>
    </w:p>
    <w:p w14:paraId="05855E57" w14:textId="77777777" w:rsidR="003107C3" w:rsidRDefault="003107C3" w:rsidP="0086648E">
      <w:pPr>
        <w:rPr>
          <w:sz w:val="22"/>
          <w:szCs w:val="22"/>
        </w:rPr>
      </w:pPr>
    </w:p>
    <w:p w14:paraId="4A73A3CE" w14:textId="77777777" w:rsidR="003107C3" w:rsidRPr="00765987" w:rsidRDefault="003107C3" w:rsidP="003107C3">
      <w:pPr>
        <w:rPr>
          <w:sz w:val="22"/>
          <w:szCs w:val="22"/>
        </w:rPr>
      </w:pPr>
      <w:r>
        <w:rPr>
          <w:sz w:val="22"/>
          <w:szCs w:val="22"/>
        </w:rPr>
        <w:t xml:space="preserve">Research must </w:t>
      </w:r>
      <w:r w:rsidRPr="003A58C2">
        <w:rPr>
          <w:sz w:val="22"/>
          <w:szCs w:val="22"/>
        </w:rPr>
        <w:t>conside</w:t>
      </w:r>
      <w:r>
        <w:rPr>
          <w:sz w:val="22"/>
          <w:szCs w:val="22"/>
        </w:rPr>
        <w:t>r</w:t>
      </w:r>
      <w:r w:rsidRPr="003A58C2">
        <w:rPr>
          <w:sz w:val="22"/>
          <w:szCs w:val="22"/>
        </w:rPr>
        <w:t xml:space="preserve"> the ways data is collected and informed by women’s lived experiences</w:t>
      </w:r>
      <w:r>
        <w:rPr>
          <w:sz w:val="22"/>
          <w:szCs w:val="22"/>
        </w:rPr>
        <w:t xml:space="preserve">, </w:t>
      </w:r>
      <w:r w:rsidRPr="003A58C2">
        <w:rPr>
          <w:sz w:val="22"/>
          <w:szCs w:val="22"/>
        </w:rPr>
        <w:t>cognisant of who information is being collected about,</w:t>
      </w:r>
      <w:r>
        <w:rPr>
          <w:sz w:val="22"/>
          <w:szCs w:val="22"/>
        </w:rPr>
        <w:t xml:space="preserve"> who is collecting the information,</w:t>
      </w:r>
      <w:r w:rsidRPr="003A58C2">
        <w:rPr>
          <w:sz w:val="22"/>
          <w:szCs w:val="22"/>
        </w:rPr>
        <w:t xml:space="preserve"> and whose experience, expertise and insights are</w:t>
      </w:r>
      <w:r>
        <w:rPr>
          <w:sz w:val="22"/>
          <w:szCs w:val="22"/>
        </w:rPr>
        <w:t xml:space="preserve"> excluded. </w:t>
      </w:r>
      <w:r w:rsidRPr="651FAA9F">
        <w:rPr>
          <w:sz w:val="22"/>
          <w:szCs w:val="22"/>
        </w:rPr>
        <w:t>There is</w:t>
      </w:r>
      <w:r w:rsidRPr="009D09AD">
        <w:rPr>
          <w:sz w:val="22"/>
          <w:szCs w:val="22"/>
        </w:rPr>
        <w:t xml:space="preserve"> a diversity of lived experience and subsequent expertise, including the voices of health consumers</w:t>
      </w:r>
      <w:r>
        <w:rPr>
          <w:sz w:val="22"/>
          <w:szCs w:val="22"/>
        </w:rPr>
        <w:t xml:space="preserve"> and</w:t>
      </w:r>
      <w:r w:rsidRPr="009D09AD">
        <w:rPr>
          <w:sz w:val="22"/>
          <w:szCs w:val="22"/>
        </w:rPr>
        <w:t xml:space="preserve"> women</w:t>
      </w:r>
      <w:r>
        <w:rPr>
          <w:sz w:val="22"/>
          <w:szCs w:val="22"/>
        </w:rPr>
        <w:t xml:space="preserve"> </w:t>
      </w:r>
      <w:r w:rsidRPr="0040712D">
        <w:rPr>
          <w:sz w:val="22"/>
          <w:szCs w:val="22"/>
        </w:rPr>
        <w:t xml:space="preserve">impacted by poor health. </w:t>
      </w:r>
      <w:r>
        <w:rPr>
          <w:sz w:val="22"/>
          <w:szCs w:val="22"/>
        </w:rPr>
        <w:t>Q</w:t>
      </w:r>
      <w:r w:rsidRPr="0040712D">
        <w:rPr>
          <w:sz w:val="22"/>
          <w:szCs w:val="22"/>
        </w:rPr>
        <w:t>ualitative and quantitative research are</w:t>
      </w:r>
      <w:r>
        <w:rPr>
          <w:sz w:val="22"/>
          <w:szCs w:val="22"/>
        </w:rPr>
        <w:t xml:space="preserve"> both</w:t>
      </w:r>
      <w:r w:rsidRPr="0040712D">
        <w:rPr>
          <w:sz w:val="22"/>
          <w:szCs w:val="22"/>
        </w:rPr>
        <w:t xml:space="preserve"> critical to understanding women’s gendered experiences of health and health care.</w:t>
      </w:r>
    </w:p>
    <w:p w14:paraId="515FEC27" w14:textId="77777777" w:rsidR="003107C3" w:rsidRPr="00C2656A" w:rsidRDefault="003107C3" w:rsidP="003107C3">
      <w:pPr>
        <w:rPr>
          <w:sz w:val="22"/>
          <w:szCs w:val="22"/>
        </w:rPr>
      </w:pPr>
    </w:p>
    <w:p w14:paraId="34F8DE44" w14:textId="38995115" w:rsidR="003107C3" w:rsidRPr="008B2878" w:rsidRDefault="003107C3" w:rsidP="0086648E">
      <w:pPr>
        <w:rPr>
          <w:sz w:val="22"/>
          <w:szCs w:val="22"/>
        </w:rPr>
      </w:pPr>
      <w:r>
        <w:rPr>
          <w:sz w:val="22"/>
          <w:szCs w:val="22"/>
        </w:rPr>
        <w:t>Embedding the diverse living expertise of health consumers alongside researchers and health professionals</w:t>
      </w:r>
      <w:r>
        <w:rPr>
          <w:rStyle w:val="EndnoteReference"/>
          <w:sz w:val="22"/>
          <w:szCs w:val="22"/>
        </w:rPr>
        <w:endnoteReference w:id="9"/>
      </w:r>
      <w:r>
        <w:rPr>
          <w:sz w:val="22"/>
          <w:szCs w:val="22"/>
        </w:rPr>
        <w:t xml:space="preserve"> is key to bridging data gaps to better understand women’s health within and across priority populations. By</w:t>
      </w:r>
      <w:r w:rsidRPr="003A58C2">
        <w:rPr>
          <w:sz w:val="22"/>
          <w:szCs w:val="22"/>
        </w:rPr>
        <w:t xml:space="preserve"> centr</w:t>
      </w:r>
      <w:r>
        <w:rPr>
          <w:sz w:val="22"/>
          <w:szCs w:val="22"/>
        </w:rPr>
        <w:t>ing</w:t>
      </w:r>
      <w:r w:rsidRPr="003A58C2">
        <w:rPr>
          <w:sz w:val="22"/>
          <w:szCs w:val="22"/>
        </w:rPr>
        <w:t xml:space="preserve"> ethical, inclusive</w:t>
      </w:r>
      <w:r>
        <w:rPr>
          <w:sz w:val="22"/>
          <w:szCs w:val="22"/>
        </w:rPr>
        <w:t xml:space="preserve">, culturally </w:t>
      </w:r>
      <w:proofErr w:type="gramStart"/>
      <w:r>
        <w:rPr>
          <w:sz w:val="22"/>
          <w:szCs w:val="22"/>
        </w:rPr>
        <w:t>responsive</w:t>
      </w:r>
      <w:proofErr w:type="gramEnd"/>
      <w:r>
        <w:rPr>
          <w:sz w:val="22"/>
          <w:szCs w:val="22"/>
        </w:rPr>
        <w:t xml:space="preserve"> and </w:t>
      </w:r>
      <w:r w:rsidRPr="003A58C2">
        <w:rPr>
          <w:sz w:val="22"/>
          <w:szCs w:val="22"/>
        </w:rPr>
        <w:t xml:space="preserve">intersectional data </w:t>
      </w:r>
      <w:r>
        <w:rPr>
          <w:sz w:val="22"/>
          <w:szCs w:val="22"/>
        </w:rPr>
        <w:t>collection, gender</w:t>
      </w:r>
      <w:r w:rsidR="008D2625">
        <w:rPr>
          <w:sz w:val="22"/>
          <w:szCs w:val="22"/>
        </w:rPr>
        <w:t>-</w:t>
      </w:r>
      <w:r>
        <w:rPr>
          <w:sz w:val="22"/>
          <w:szCs w:val="22"/>
        </w:rPr>
        <w:t xml:space="preserve">responsive research can </w:t>
      </w:r>
      <w:r w:rsidRPr="003A58C2">
        <w:rPr>
          <w:sz w:val="22"/>
          <w:szCs w:val="22"/>
        </w:rPr>
        <w:t>inform the implementation of policies and practices across the broader health system.</w:t>
      </w:r>
      <w:r>
        <w:rPr>
          <w:sz w:val="22"/>
          <w:szCs w:val="22"/>
        </w:rPr>
        <w:t xml:space="preserve"> </w:t>
      </w:r>
      <w:r>
        <w:rPr>
          <w:sz w:val="22"/>
          <w:szCs w:val="22"/>
          <w:lang w:val="en-US"/>
        </w:rPr>
        <w:t xml:space="preserve">The implications of future research and recommendations must also be relevant to the local, regional or national contexts of </w:t>
      </w:r>
      <w:r w:rsidRPr="00963F0B">
        <w:rPr>
          <w:sz w:val="22"/>
          <w:szCs w:val="22"/>
          <w:lang w:val="en-US"/>
        </w:rPr>
        <w:t>communities that such research is</w:t>
      </w:r>
      <w:r>
        <w:rPr>
          <w:sz w:val="22"/>
          <w:szCs w:val="22"/>
          <w:lang w:val="en-US"/>
        </w:rPr>
        <w:t xml:space="preserve"> being conducted</w:t>
      </w:r>
      <w:r w:rsidRPr="00A32B79">
        <w:rPr>
          <w:sz w:val="22"/>
          <w:szCs w:val="22"/>
          <w:lang w:val="en-US"/>
        </w:rPr>
        <w:t xml:space="preserve"> in </w:t>
      </w:r>
      <w:r w:rsidRPr="00963F0B">
        <w:rPr>
          <w:sz w:val="22"/>
          <w:szCs w:val="22"/>
        </w:rPr>
        <w:t>to address health disparities for women and contribute to real life solutions.</w:t>
      </w:r>
      <w:r>
        <w:rPr>
          <w:sz w:val="22"/>
          <w:szCs w:val="22"/>
        </w:rPr>
        <w:t xml:space="preserve"> </w:t>
      </w:r>
    </w:p>
    <w:p w14:paraId="1B9BC588" w14:textId="77777777" w:rsidR="00302CFE" w:rsidRPr="00C2656A" w:rsidRDefault="00302CFE" w:rsidP="002A7500">
      <w:pPr>
        <w:rPr>
          <w:sz w:val="22"/>
          <w:szCs w:val="22"/>
        </w:rPr>
      </w:pPr>
    </w:p>
    <w:p w14:paraId="3CF02ADA" w14:textId="77777777" w:rsidR="001A0EDE" w:rsidRDefault="001A0EDE" w:rsidP="00302CFE">
      <w:pPr>
        <w:pStyle w:val="Heading3"/>
      </w:pPr>
      <w:bookmarkStart w:id="4" w:name="_np7im68hc48z" w:colFirst="0" w:colLast="0"/>
      <w:bookmarkEnd w:id="4"/>
      <w:r w:rsidRPr="00025DBF">
        <w:t>What does this mean for health equity?</w:t>
      </w:r>
    </w:p>
    <w:p w14:paraId="110CC5AB" w14:textId="77777777" w:rsidR="00C2656A" w:rsidRDefault="00C2656A" w:rsidP="00C2656A">
      <w:pPr>
        <w:rPr>
          <w:rStyle w:val="normaltextrun"/>
          <w:color w:val="000000"/>
          <w:sz w:val="22"/>
          <w:szCs w:val="22"/>
          <w:shd w:val="clear" w:color="auto" w:fill="FFFFFF"/>
        </w:rPr>
      </w:pPr>
      <w:r>
        <w:rPr>
          <w:rStyle w:val="normaltextrun"/>
          <w:color w:val="000000"/>
          <w:sz w:val="22"/>
          <w:szCs w:val="22"/>
          <w:shd w:val="clear" w:color="auto" w:fill="FFFFFF"/>
        </w:rPr>
        <w:t xml:space="preserve">Gender-responsive evidence requires data and research across the broader health ecosystem to consider how gender impacts a person’s health outcomes. Such data is critical for continuous improvement (e.g., in disaster response, workforce planning, program and service development) and improving health care experiences and health outcomes for women. </w:t>
      </w:r>
    </w:p>
    <w:p w14:paraId="3207E319" w14:textId="77777777" w:rsidR="00C2656A" w:rsidRPr="00C2656A" w:rsidRDefault="00C2656A" w:rsidP="00C2656A">
      <w:pPr>
        <w:rPr>
          <w:rStyle w:val="normaltextrun"/>
          <w:color w:val="000000"/>
          <w:sz w:val="22"/>
          <w:szCs w:val="22"/>
          <w:shd w:val="clear" w:color="auto" w:fill="FFFFFF"/>
        </w:rPr>
      </w:pPr>
    </w:p>
    <w:p w14:paraId="6A333893" w14:textId="77777777" w:rsidR="00D93C2C" w:rsidRDefault="00C2656A" w:rsidP="00C2656A">
      <w:pPr>
        <w:rPr>
          <w:rStyle w:val="normaltextrun"/>
          <w:color w:val="000000"/>
          <w:sz w:val="22"/>
          <w:szCs w:val="22"/>
          <w:shd w:val="clear" w:color="auto" w:fill="FFFFFF"/>
          <w:lang w:val="en-US"/>
        </w:rPr>
      </w:pPr>
      <w:r>
        <w:rPr>
          <w:rStyle w:val="normaltextrun"/>
          <w:color w:val="000000"/>
          <w:sz w:val="22"/>
          <w:szCs w:val="22"/>
          <w:shd w:val="clear" w:color="auto" w:fill="FFFFFF"/>
          <w:lang w:val="en-US"/>
        </w:rPr>
        <w:t>Government health strategies and related policies must consider gender as a key aspect of health equity when evaluating the effectiveness of prevention actions. The NPHS recognises the importance of involving researchers in the early stages of prevention policy, program, and service design.</w:t>
      </w:r>
      <w:r>
        <w:rPr>
          <w:rStyle w:val="EndnoteReference"/>
          <w:color w:val="000000"/>
          <w:sz w:val="22"/>
          <w:szCs w:val="22"/>
          <w:shd w:val="clear" w:color="auto" w:fill="FFFFFF"/>
          <w:lang w:val="en-US"/>
        </w:rPr>
        <w:endnoteReference w:id="10"/>
      </w:r>
      <w:r>
        <w:rPr>
          <w:rStyle w:val="normaltextrun"/>
          <w:color w:val="000000"/>
          <w:sz w:val="22"/>
          <w:szCs w:val="22"/>
          <w:shd w:val="clear" w:color="auto" w:fill="FFFFFF"/>
          <w:lang w:val="en-US"/>
        </w:rPr>
        <w:t xml:space="preserve"> </w:t>
      </w:r>
    </w:p>
    <w:p w14:paraId="223D6897" w14:textId="77777777" w:rsidR="00D93C2C" w:rsidRDefault="00D93C2C" w:rsidP="00C2656A">
      <w:pPr>
        <w:rPr>
          <w:rStyle w:val="normaltextrun"/>
          <w:color w:val="000000"/>
          <w:sz w:val="22"/>
          <w:szCs w:val="22"/>
          <w:shd w:val="clear" w:color="auto" w:fill="FFFFFF"/>
          <w:lang w:val="en-US"/>
        </w:rPr>
      </w:pPr>
    </w:p>
    <w:p w14:paraId="73A015D6" w14:textId="4A0E50C5" w:rsidR="00C2656A" w:rsidRDefault="00C2656A" w:rsidP="00C2656A">
      <w:pPr>
        <w:rPr>
          <w:rStyle w:val="eop"/>
          <w:sz w:val="22"/>
          <w:szCs w:val="22"/>
        </w:rPr>
      </w:pPr>
      <w:r>
        <w:rPr>
          <w:rStyle w:val="normaltextrun"/>
          <w:color w:val="000000"/>
          <w:sz w:val="22"/>
          <w:szCs w:val="22"/>
          <w:shd w:val="clear" w:color="auto" w:fill="FFFFFF"/>
          <w:lang w:val="en-US"/>
        </w:rPr>
        <w:t xml:space="preserve">Embedding researchers with a robust gender lens starts with incorporating intersectional feminist </w:t>
      </w:r>
      <w:r w:rsidRPr="000F5088">
        <w:rPr>
          <w:rStyle w:val="normaltextrun"/>
          <w:color w:val="000000"/>
          <w:sz w:val="22"/>
          <w:szCs w:val="22"/>
          <w:shd w:val="clear" w:color="auto" w:fill="FFFFFF"/>
          <w:lang w:val="en-US"/>
        </w:rPr>
        <w:t xml:space="preserve">theory in health, medical, social science and related </w:t>
      </w:r>
      <w:r w:rsidRPr="004D1DBC">
        <w:rPr>
          <w:rStyle w:val="normaltextrun"/>
          <w:color w:val="000000"/>
          <w:sz w:val="22"/>
          <w:szCs w:val="22"/>
          <w:shd w:val="clear" w:color="auto" w:fill="FFFFFF"/>
          <w:lang w:val="en-US"/>
        </w:rPr>
        <w:t>research disciplines</w:t>
      </w:r>
      <w:r>
        <w:rPr>
          <w:rStyle w:val="normaltextrun"/>
          <w:color w:val="000000"/>
          <w:sz w:val="22"/>
          <w:szCs w:val="22"/>
          <w:shd w:val="clear" w:color="auto" w:fill="FFFFFF"/>
          <w:lang w:val="en-US"/>
        </w:rPr>
        <w:t>. It</w:t>
      </w:r>
      <w:r w:rsidRPr="004D1DBC">
        <w:rPr>
          <w:rStyle w:val="normaltextrun"/>
          <w:color w:val="000000"/>
          <w:sz w:val="22"/>
          <w:szCs w:val="22"/>
          <w:shd w:val="clear" w:color="auto" w:fill="FFFFFF"/>
          <w:lang w:val="en-US"/>
        </w:rPr>
        <w:t xml:space="preserve"> must </w:t>
      </w:r>
      <w:r>
        <w:rPr>
          <w:rStyle w:val="normaltextrun"/>
          <w:color w:val="000000"/>
          <w:sz w:val="22"/>
          <w:szCs w:val="22"/>
          <w:shd w:val="clear" w:color="auto" w:fill="FFFFFF"/>
          <w:lang w:val="en-US"/>
        </w:rPr>
        <w:t xml:space="preserve">then </w:t>
      </w:r>
      <w:r w:rsidRPr="004D1DBC">
        <w:rPr>
          <w:rStyle w:val="normaltextrun"/>
          <w:color w:val="000000"/>
          <w:sz w:val="22"/>
          <w:szCs w:val="22"/>
          <w:shd w:val="clear" w:color="auto" w:fill="FFFFFF"/>
          <w:lang w:val="en-US"/>
        </w:rPr>
        <w:t xml:space="preserve">continue through to policies </w:t>
      </w:r>
      <w:r>
        <w:rPr>
          <w:rStyle w:val="normaltextrun"/>
          <w:color w:val="000000"/>
          <w:sz w:val="22"/>
          <w:szCs w:val="22"/>
          <w:shd w:val="clear" w:color="auto" w:fill="FFFFFF"/>
          <w:lang w:val="en-US"/>
        </w:rPr>
        <w:t xml:space="preserve">and mechanisms </w:t>
      </w:r>
      <w:r w:rsidRPr="004D1DBC">
        <w:rPr>
          <w:rStyle w:val="normaltextrun"/>
          <w:color w:val="000000"/>
          <w:sz w:val="22"/>
          <w:szCs w:val="22"/>
          <w:shd w:val="clear" w:color="auto" w:fill="FFFFFF"/>
          <w:lang w:val="en-US"/>
        </w:rPr>
        <w:t>that foster equitable funding of health research for all genders, address</w:t>
      </w:r>
      <w:r>
        <w:rPr>
          <w:rStyle w:val="normaltextrun"/>
          <w:color w:val="000000"/>
          <w:sz w:val="22"/>
          <w:szCs w:val="22"/>
          <w:shd w:val="clear" w:color="auto" w:fill="FFFFFF"/>
          <w:lang w:val="en-US"/>
        </w:rPr>
        <w:t xml:space="preserve"> gender inequities in health and medical research, and provide structural support for women in interdisciplinary fields to conduct and publish research grounded in </w:t>
      </w:r>
      <w:r>
        <w:rPr>
          <w:rStyle w:val="eop"/>
          <w:sz w:val="22"/>
          <w:szCs w:val="22"/>
        </w:rPr>
        <w:t>the social model of health.</w:t>
      </w:r>
      <w:r>
        <w:rPr>
          <w:rStyle w:val="EndnoteReference"/>
          <w:sz w:val="22"/>
          <w:szCs w:val="22"/>
        </w:rPr>
        <w:endnoteReference w:id="11"/>
      </w:r>
    </w:p>
    <w:p w14:paraId="5F72B830" w14:textId="77777777" w:rsidR="00C2656A" w:rsidRPr="00EC34D9" w:rsidRDefault="00C2656A" w:rsidP="00C2656A">
      <w:pPr>
        <w:rPr>
          <w:rStyle w:val="eop"/>
        </w:rPr>
      </w:pPr>
    </w:p>
    <w:p w14:paraId="4F10F69C" w14:textId="77777777" w:rsidR="00C2656A" w:rsidRPr="00F87B54" w:rsidRDefault="00C2656A" w:rsidP="00C2656A">
      <w:pPr>
        <w:rPr>
          <w:rFonts w:asciiTheme="majorHAnsi" w:hAnsiTheme="majorHAnsi" w:cstheme="majorHAnsi"/>
          <w:sz w:val="22"/>
          <w:szCs w:val="22"/>
        </w:rPr>
      </w:pPr>
      <w:bookmarkStart w:id="5" w:name="_Hlk153438989"/>
      <w:r w:rsidRPr="00F87B54">
        <w:rPr>
          <w:rStyle w:val="eop"/>
          <w:rFonts w:asciiTheme="majorHAnsi" w:hAnsiTheme="majorHAnsi" w:cstheme="majorHAnsi"/>
          <w:sz w:val="22"/>
          <w:szCs w:val="22"/>
        </w:rPr>
        <w:lastRenderedPageBreak/>
        <w:t xml:space="preserve">National indicators are required to close data gaps, include more priority populations of women in health-related research and strengthen </w:t>
      </w:r>
      <w:r w:rsidRPr="00F87B54">
        <w:rPr>
          <w:rStyle w:val="eop"/>
          <w:rFonts w:asciiTheme="majorHAnsi" w:hAnsiTheme="majorHAnsi" w:cstheme="majorHAnsi"/>
          <w:color w:val="000000"/>
          <w:sz w:val="22"/>
          <w:szCs w:val="22"/>
          <w:shd w:val="clear" w:color="auto" w:fill="FFFFFF"/>
        </w:rPr>
        <w:t xml:space="preserve">the evidence base of healthcare areas that are poorly monitored, including </w:t>
      </w:r>
      <w:r w:rsidRPr="00F87B54">
        <w:rPr>
          <w:rFonts w:asciiTheme="majorHAnsi" w:hAnsiTheme="majorHAnsi" w:cstheme="majorHAnsi"/>
          <w:sz w:val="22"/>
          <w:szCs w:val="22"/>
        </w:rPr>
        <w:t xml:space="preserve">abortion and reproductive healthcare. This work would highlight existing inequities and serve as a useful starting place for the design of appropriate systemic responses.  </w:t>
      </w:r>
      <w:bookmarkEnd w:id="5"/>
    </w:p>
    <w:p w14:paraId="58D18B19" w14:textId="77777777" w:rsidR="00C2656A" w:rsidRPr="00B90695" w:rsidRDefault="00C2656A" w:rsidP="00C2656A">
      <w:pPr>
        <w:rPr>
          <w:sz w:val="22"/>
          <w:szCs w:val="22"/>
        </w:rPr>
      </w:pPr>
    </w:p>
    <w:p w14:paraId="52228C06" w14:textId="71E3BC7B" w:rsidR="00D93C2C" w:rsidRDefault="00C2656A" w:rsidP="00C2656A">
      <w:pPr>
        <w:rPr>
          <w:sz w:val="22"/>
          <w:szCs w:val="22"/>
        </w:rPr>
      </w:pPr>
      <w:r>
        <w:rPr>
          <w:sz w:val="22"/>
          <w:szCs w:val="22"/>
        </w:rPr>
        <w:t xml:space="preserve">Inclusive data collection standards </w:t>
      </w:r>
      <w:r w:rsidRPr="651FAA9F">
        <w:rPr>
          <w:sz w:val="22"/>
          <w:szCs w:val="22"/>
        </w:rPr>
        <w:t xml:space="preserve">are essential </w:t>
      </w:r>
      <w:r>
        <w:rPr>
          <w:sz w:val="22"/>
          <w:szCs w:val="22"/>
        </w:rPr>
        <w:t xml:space="preserve">in national health, medical and social research, such as for the </w:t>
      </w:r>
      <w:r w:rsidRPr="005B5ADB">
        <w:rPr>
          <w:sz w:val="22"/>
          <w:szCs w:val="22"/>
        </w:rPr>
        <w:t xml:space="preserve">Census data </w:t>
      </w:r>
      <w:r>
        <w:rPr>
          <w:sz w:val="22"/>
          <w:szCs w:val="22"/>
        </w:rPr>
        <w:t xml:space="preserve">to </w:t>
      </w:r>
      <w:r w:rsidRPr="005B5ADB">
        <w:rPr>
          <w:sz w:val="22"/>
          <w:szCs w:val="22"/>
        </w:rPr>
        <w:t>incorporate the Standard for Sex, Gender, Variations of Sex Characteristics and Sexual Orientation Variables, 2020 (</w:t>
      </w:r>
      <w:r>
        <w:rPr>
          <w:sz w:val="22"/>
          <w:szCs w:val="22"/>
        </w:rPr>
        <w:t>‘</w:t>
      </w:r>
      <w:r w:rsidRPr="005B5ADB">
        <w:rPr>
          <w:sz w:val="22"/>
          <w:szCs w:val="22"/>
        </w:rPr>
        <w:t>2020 Standard</w:t>
      </w:r>
      <w:r>
        <w:rPr>
          <w:sz w:val="22"/>
          <w:szCs w:val="22"/>
        </w:rPr>
        <w:t>’</w:t>
      </w:r>
      <w:r w:rsidRPr="005B5ADB">
        <w:rPr>
          <w:sz w:val="22"/>
          <w:szCs w:val="22"/>
        </w:rPr>
        <w:t>) in full</w:t>
      </w:r>
      <w:r>
        <w:rPr>
          <w:sz w:val="22"/>
          <w:szCs w:val="22"/>
        </w:rPr>
        <w:t>.</w:t>
      </w:r>
      <w:r>
        <w:rPr>
          <w:rStyle w:val="EndnoteReference"/>
          <w:sz w:val="22"/>
          <w:szCs w:val="22"/>
        </w:rPr>
        <w:endnoteReference w:id="12"/>
      </w:r>
      <w:r>
        <w:rPr>
          <w:sz w:val="22"/>
          <w:szCs w:val="22"/>
        </w:rPr>
        <w:t xml:space="preserve"> Doing so will provide more accurate population level data to</w:t>
      </w:r>
      <w:r w:rsidRPr="002F743F">
        <w:rPr>
          <w:sz w:val="22"/>
          <w:szCs w:val="22"/>
        </w:rPr>
        <w:t xml:space="preserve"> </w:t>
      </w:r>
      <w:r>
        <w:rPr>
          <w:sz w:val="22"/>
          <w:szCs w:val="22"/>
        </w:rPr>
        <w:t>help identify existing</w:t>
      </w:r>
      <w:r w:rsidRPr="002F743F">
        <w:rPr>
          <w:sz w:val="22"/>
          <w:szCs w:val="22"/>
        </w:rPr>
        <w:t xml:space="preserve"> health inequities and </w:t>
      </w:r>
      <w:r>
        <w:rPr>
          <w:sz w:val="22"/>
          <w:szCs w:val="22"/>
        </w:rPr>
        <w:t>strengthen the prevention system</w:t>
      </w:r>
      <w:r w:rsidRPr="002F743F">
        <w:rPr>
          <w:sz w:val="22"/>
          <w:szCs w:val="22"/>
        </w:rPr>
        <w:t xml:space="preserve"> accordingly.</w:t>
      </w:r>
    </w:p>
    <w:p w14:paraId="48177C93" w14:textId="77777777" w:rsidR="00302CFE" w:rsidRDefault="00302CFE">
      <w:pPr>
        <w:rPr>
          <w:rFonts w:ascii="Rubik" w:eastAsia="Rubik" w:hAnsi="Rubik" w:cs="Rubik"/>
          <w:color w:val="5A006F"/>
          <w:sz w:val="24"/>
          <w:szCs w:val="24"/>
        </w:rPr>
      </w:pPr>
      <w:bookmarkStart w:id="6" w:name="_x08bk2744mac" w:colFirst="0" w:colLast="0"/>
      <w:bookmarkStart w:id="7" w:name="_1r2q62wcngoy" w:colFirst="0" w:colLast="0"/>
      <w:bookmarkEnd w:id="6"/>
      <w:bookmarkEnd w:id="7"/>
    </w:p>
    <w:p w14:paraId="3C64A458" w14:textId="5CA42B18" w:rsidR="008F25C6" w:rsidRDefault="006A143E" w:rsidP="00302CFE">
      <w:pPr>
        <w:pStyle w:val="Heading3"/>
      </w:pPr>
      <w:r>
        <w:t>About us</w:t>
      </w:r>
    </w:p>
    <w:p w14:paraId="7C0193D7" w14:textId="362355B6" w:rsidR="008F25C6" w:rsidRPr="00664D0C" w:rsidRDefault="006A143E" w:rsidP="002A7500">
      <w:pPr>
        <w:rPr>
          <w:sz w:val="22"/>
          <w:szCs w:val="22"/>
        </w:rPr>
      </w:pPr>
      <w:r w:rsidRPr="00664D0C">
        <w:rPr>
          <w:sz w:val="22"/>
          <w:szCs w:val="22"/>
        </w:rPr>
        <w:t xml:space="preserve">Australian Women’s Health </w:t>
      </w:r>
      <w:r w:rsidR="002B5496" w:rsidRPr="00664D0C">
        <w:rPr>
          <w:sz w:val="22"/>
          <w:szCs w:val="22"/>
        </w:rPr>
        <w:t>Alliance</w:t>
      </w:r>
      <w:r w:rsidRPr="00664D0C">
        <w:rPr>
          <w:sz w:val="22"/>
          <w:szCs w:val="22"/>
        </w:rPr>
        <w:t xml:space="preserve"> provides a national voice on women’s health. </w:t>
      </w:r>
      <w:r w:rsidR="002B5496" w:rsidRPr="00664D0C">
        <w:rPr>
          <w:sz w:val="22"/>
          <w:szCs w:val="22"/>
        </w:rPr>
        <w:t>We highlight how gender shapes experiences of health and health care, recognising that women’s health is determined by social, cultural, environmental, and political factors.</w:t>
      </w:r>
    </w:p>
    <w:p w14:paraId="63919112" w14:textId="77777777" w:rsidR="008F25C6" w:rsidRPr="005F731C" w:rsidRDefault="008F25C6" w:rsidP="002A7500">
      <w:pPr>
        <w:rPr>
          <w:sz w:val="22"/>
          <w:szCs w:val="22"/>
        </w:rPr>
      </w:pPr>
    </w:p>
    <w:p w14:paraId="62774404" w14:textId="77777777" w:rsidR="008F25C6" w:rsidRPr="00664D0C" w:rsidRDefault="006A143E" w:rsidP="00302CFE">
      <w:pPr>
        <w:pStyle w:val="Heading3"/>
      </w:pPr>
      <w:bookmarkStart w:id="8" w:name="_o7z4ctmkhc0d" w:colFirst="0" w:colLast="0"/>
      <w:bookmarkEnd w:id="8"/>
      <w:r w:rsidRPr="00664D0C">
        <w:t>Contact us</w:t>
      </w:r>
    </w:p>
    <w:p w14:paraId="14793D8D" w14:textId="77777777" w:rsidR="002B5496" w:rsidRPr="005F731C" w:rsidRDefault="002B5496" w:rsidP="002A7500">
      <w:pPr>
        <w:rPr>
          <w:sz w:val="22"/>
          <w:szCs w:val="22"/>
        </w:rPr>
      </w:pPr>
      <w:r w:rsidRPr="005F731C">
        <w:rPr>
          <w:sz w:val="22"/>
          <w:szCs w:val="22"/>
        </w:rPr>
        <w:t>Enquiries:</w:t>
      </w:r>
      <w:r w:rsidRPr="005F731C">
        <w:rPr>
          <w:sz w:val="22"/>
          <w:szCs w:val="22"/>
        </w:rPr>
        <w:tab/>
      </w:r>
      <w:hyperlink r:id="rId11" w:history="1">
        <w:r w:rsidRPr="005F731C">
          <w:rPr>
            <w:rStyle w:val="Hyperlink"/>
            <w:sz w:val="22"/>
            <w:szCs w:val="22"/>
          </w:rPr>
          <w:t>Info@AustralianWomensHealth.org</w:t>
        </w:r>
      </w:hyperlink>
      <w:r w:rsidRPr="005F731C">
        <w:rPr>
          <w:sz w:val="22"/>
          <w:szCs w:val="22"/>
        </w:rPr>
        <w:t xml:space="preserve">    </w:t>
      </w:r>
    </w:p>
    <w:p w14:paraId="0A3AF383" w14:textId="77777777" w:rsidR="002B5496" w:rsidRPr="005F731C" w:rsidRDefault="002B5496" w:rsidP="002A7500">
      <w:pPr>
        <w:rPr>
          <w:sz w:val="22"/>
          <w:szCs w:val="22"/>
        </w:rPr>
      </w:pPr>
      <w:r w:rsidRPr="005F731C">
        <w:rPr>
          <w:sz w:val="22"/>
          <w:szCs w:val="22"/>
        </w:rPr>
        <w:t>Web:</w:t>
      </w:r>
      <w:r w:rsidRPr="005F731C">
        <w:rPr>
          <w:sz w:val="22"/>
          <w:szCs w:val="22"/>
        </w:rPr>
        <w:tab/>
      </w:r>
      <w:r w:rsidRPr="005F731C">
        <w:rPr>
          <w:sz w:val="22"/>
          <w:szCs w:val="22"/>
        </w:rPr>
        <w:tab/>
      </w:r>
      <w:hyperlink r:id="rId12" w:history="1">
        <w:r w:rsidRPr="005F731C">
          <w:rPr>
            <w:rStyle w:val="Hyperlink"/>
            <w:sz w:val="22"/>
            <w:szCs w:val="22"/>
          </w:rPr>
          <w:t>www.AustralianWomensHealth.org</w:t>
        </w:r>
      </w:hyperlink>
      <w:r w:rsidRPr="005F731C">
        <w:rPr>
          <w:sz w:val="22"/>
          <w:szCs w:val="22"/>
        </w:rPr>
        <w:t xml:space="preserve">   </w:t>
      </w:r>
    </w:p>
    <w:p w14:paraId="129C9F4A" w14:textId="77777777" w:rsidR="008F25C6" w:rsidRPr="005F731C" w:rsidRDefault="008F25C6" w:rsidP="002A7500">
      <w:pPr>
        <w:rPr>
          <w:sz w:val="22"/>
          <w:szCs w:val="22"/>
        </w:rPr>
      </w:pPr>
    </w:p>
    <w:p w14:paraId="1D97A44A" w14:textId="0C246A40" w:rsidR="008F25C6" w:rsidRPr="00664D0C" w:rsidRDefault="00D3424F" w:rsidP="00302CFE">
      <w:pPr>
        <w:pStyle w:val="Heading3"/>
      </w:pPr>
      <w:bookmarkStart w:id="9" w:name="_j43bgxhp4yc1" w:colFirst="0" w:colLast="0"/>
      <w:bookmarkEnd w:id="9"/>
      <w:r>
        <w:t>Suggested c</w:t>
      </w:r>
      <w:r w:rsidR="006A143E" w:rsidRPr="00664D0C">
        <w:t>itation</w:t>
      </w:r>
    </w:p>
    <w:p w14:paraId="1D5F0EF1" w14:textId="5BFEDA66" w:rsidR="00BB0A41" w:rsidRPr="00B90695" w:rsidRDefault="00B90695" w:rsidP="00B90695">
      <w:pPr>
        <w:pStyle w:val="Heading2"/>
        <w:spacing w:after="0"/>
        <w:rPr>
          <w:rFonts w:asciiTheme="majorHAnsi" w:hAnsiTheme="majorHAnsi" w:cstheme="majorHAnsi"/>
          <w:color w:val="auto"/>
          <w:sz w:val="22"/>
          <w:szCs w:val="22"/>
        </w:rPr>
      </w:pPr>
      <w:r w:rsidRPr="005F731C">
        <w:rPr>
          <w:rFonts w:asciiTheme="majorHAnsi" w:hAnsiTheme="majorHAnsi" w:cstheme="majorHAnsi"/>
          <w:color w:val="auto"/>
          <w:sz w:val="22"/>
          <w:szCs w:val="22"/>
        </w:rPr>
        <w:t xml:space="preserve">Australian Women’s Health Alliance, </w:t>
      </w:r>
      <w:r>
        <w:rPr>
          <w:rFonts w:asciiTheme="majorHAnsi" w:hAnsiTheme="majorHAnsi" w:cstheme="majorHAnsi"/>
          <w:i/>
          <w:iCs/>
          <w:color w:val="auto"/>
          <w:sz w:val="22"/>
          <w:szCs w:val="22"/>
        </w:rPr>
        <w:t>Policy Brief – S</w:t>
      </w:r>
      <w:r w:rsidRPr="00E0286A">
        <w:rPr>
          <w:rFonts w:asciiTheme="majorHAnsi" w:hAnsiTheme="majorHAnsi" w:cstheme="majorHAnsi"/>
          <w:i/>
          <w:iCs/>
          <w:color w:val="auto"/>
          <w:sz w:val="22"/>
          <w:szCs w:val="22"/>
        </w:rPr>
        <w:t xml:space="preserve">trengthening </w:t>
      </w:r>
      <w:r>
        <w:rPr>
          <w:rFonts w:asciiTheme="majorHAnsi" w:hAnsiTheme="majorHAnsi" w:cstheme="majorHAnsi"/>
          <w:i/>
          <w:iCs/>
          <w:color w:val="auto"/>
          <w:sz w:val="22"/>
          <w:szCs w:val="22"/>
        </w:rPr>
        <w:t>G</w:t>
      </w:r>
      <w:r w:rsidRPr="00E0286A">
        <w:rPr>
          <w:rFonts w:asciiTheme="majorHAnsi" w:hAnsiTheme="majorHAnsi" w:cstheme="majorHAnsi"/>
          <w:i/>
          <w:iCs/>
          <w:color w:val="auto"/>
          <w:sz w:val="22"/>
          <w:szCs w:val="22"/>
        </w:rPr>
        <w:t xml:space="preserve">ender </w:t>
      </w:r>
      <w:r>
        <w:rPr>
          <w:rFonts w:asciiTheme="majorHAnsi" w:hAnsiTheme="majorHAnsi" w:cstheme="majorHAnsi"/>
          <w:i/>
          <w:iCs/>
          <w:color w:val="auto"/>
          <w:sz w:val="22"/>
          <w:szCs w:val="22"/>
        </w:rPr>
        <w:t>E</w:t>
      </w:r>
      <w:r w:rsidRPr="00E0286A">
        <w:rPr>
          <w:rFonts w:asciiTheme="majorHAnsi" w:hAnsiTheme="majorHAnsi" w:cstheme="majorHAnsi"/>
          <w:i/>
          <w:iCs/>
          <w:color w:val="auto"/>
          <w:sz w:val="22"/>
          <w:szCs w:val="22"/>
        </w:rPr>
        <w:t xml:space="preserve">quity through </w:t>
      </w:r>
      <w:r>
        <w:rPr>
          <w:rFonts w:asciiTheme="majorHAnsi" w:hAnsiTheme="majorHAnsi" w:cstheme="majorHAnsi"/>
          <w:i/>
          <w:iCs/>
          <w:color w:val="auto"/>
          <w:sz w:val="22"/>
          <w:szCs w:val="22"/>
        </w:rPr>
        <w:t>R</w:t>
      </w:r>
      <w:r w:rsidRPr="00E0286A">
        <w:rPr>
          <w:rFonts w:asciiTheme="majorHAnsi" w:hAnsiTheme="majorHAnsi" w:cstheme="majorHAnsi"/>
          <w:i/>
          <w:iCs/>
          <w:color w:val="auto"/>
          <w:sz w:val="22"/>
          <w:szCs w:val="22"/>
        </w:rPr>
        <w:t xml:space="preserve">esearch and </w:t>
      </w:r>
      <w:r>
        <w:rPr>
          <w:rFonts w:asciiTheme="majorHAnsi" w:hAnsiTheme="majorHAnsi" w:cstheme="majorHAnsi"/>
          <w:i/>
          <w:iCs/>
          <w:color w:val="auto"/>
          <w:sz w:val="22"/>
          <w:szCs w:val="22"/>
        </w:rPr>
        <w:t>E</w:t>
      </w:r>
      <w:r w:rsidRPr="00E0286A">
        <w:rPr>
          <w:rFonts w:asciiTheme="majorHAnsi" w:hAnsiTheme="majorHAnsi" w:cstheme="majorHAnsi"/>
          <w:i/>
          <w:iCs/>
          <w:color w:val="auto"/>
          <w:sz w:val="22"/>
          <w:szCs w:val="22"/>
        </w:rPr>
        <w:t>vidence</w:t>
      </w:r>
      <w:r w:rsidRPr="005F731C">
        <w:rPr>
          <w:rFonts w:asciiTheme="majorHAnsi" w:hAnsiTheme="majorHAnsi" w:cstheme="majorHAnsi"/>
          <w:color w:val="auto"/>
          <w:sz w:val="22"/>
          <w:szCs w:val="22"/>
        </w:rPr>
        <w:t>, Australian Women’s Health Alliance</w:t>
      </w:r>
      <w:r>
        <w:rPr>
          <w:rFonts w:asciiTheme="majorHAnsi" w:hAnsiTheme="majorHAnsi" w:cstheme="majorHAnsi"/>
          <w:color w:val="auto"/>
          <w:sz w:val="22"/>
          <w:szCs w:val="22"/>
        </w:rPr>
        <w:t>,</w:t>
      </w:r>
      <w:r w:rsidRPr="005F731C">
        <w:rPr>
          <w:rFonts w:asciiTheme="majorHAnsi" w:hAnsiTheme="majorHAnsi" w:cstheme="majorHAnsi"/>
          <w:color w:val="auto"/>
          <w:sz w:val="22"/>
          <w:szCs w:val="22"/>
        </w:rPr>
        <w:t xml:space="preserve"> 202</w:t>
      </w:r>
      <w:r>
        <w:rPr>
          <w:rFonts w:asciiTheme="majorHAnsi" w:hAnsiTheme="majorHAnsi" w:cstheme="majorHAnsi"/>
          <w:color w:val="auto"/>
          <w:sz w:val="22"/>
          <w:szCs w:val="22"/>
        </w:rPr>
        <w:t>4</w:t>
      </w:r>
      <w:r w:rsidRPr="005F731C">
        <w:rPr>
          <w:rFonts w:asciiTheme="majorHAnsi" w:hAnsiTheme="majorHAnsi" w:cstheme="majorHAnsi"/>
          <w:color w:val="auto"/>
          <w:sz w:val="22"/>
          <w:szCs w:val="22"/>
        </w:rPr>
        <w:t>.</w:t>
      </w:r>
    </w:p>
    <w:p w14:paraId="30BDC2D2" w14:textId="77777777" w:rsidR="005F731C" w:rsidRPr="00413166" w:rsidRDefault="005F731C" w:rsidP="00413166">
      <w:pPr>
        <w:rPr>
          <w:iCs/>
          <w:sz w:val="22"/>
          <w:szCs w:val="22"/>
        </w:rPr>
      </w:pPr>
    </w:p>
    <w:p w14:paraId="28B029B9" w14:textId="206D54E8" w:rsidR="008F25C6" w:rsidRPr="005F731C" w:rsidRDefault="006A143E" w:rsidP="00413166">
      <w:pPr>
        <w:rPr>
          <w:i/>
          <w:sz w:val="22"/>
          <w:szCs w:val="22"/>
        </w:rPr>
      </w:pPr>
      <w:r w:rsidRPr="005F731C">
        <w:rPr>
          <w:i/>
          <w:sz w:val="22"/>
          <w:szCs w:val="22"/>
        </w:rPr>
        <w:t>We acknowledge the Traditional Custodians of the lands and waters on which we live and work.</w:t>
      </w:r>
    </w:p>
    <w:p w14:paraId="093D5C8D" w14:textId="77777777" w:rsidR="008F25C6" w:rsidRDefault="006A143E" w:rsidP="00413166">
      <w:pPr>
        <w:rPr>
          <w:rFonts w:ascii="Rubik" w:eastAsia="Rubik" w:hAnsi="Rubik" w:cs="Rubik"/>
          <w:color w:val="5A006F"/>
        </w:rPr>
      </w:pPr>
      <w:r w:rsidRPr="005F731C">
        <w:rPr>
          <w:i/>
          <w:sz w:val="22"/>
          <w:szCs w:val="22"/>
        </w:rPr>
        <w:t>We pay our respect to Elders past and present. Sovereignty has never been ceded.</w:t>
      </w:r>
    </w:p>
    <w:p w14:paraId="689CB80B" w14:textId="77777777" w:rsidR="003A3FFD" w:rsidRDefault="003A3FFD" w:rsidP="00767C4D">
      <w:pPr>
        <w:rPr>
          <w:sz w:val="22"/>
          <w:szCs w:val="22"/>
        </w:rPr>
        <w:sectPr w:rsidR="003A3FFD" w:rsidSect="00F40F25">
          <w:headerReference w:type="default" r:id="rId13"/>
          <w:footerReference w:type="default" r:id="rId14"/>
          <w:headerReference w:type="first" r:id="rId15"/>
          <w:footerReference w:type="first" r:id="rId16"/>
          <w:endnotePr>
            <w:numFmt w:val="decimal"/>
          </w:endnotePr>
          <w:pgSz w:w="11909" w:h="16834"/>
          <w:pgMar w:top="2127" w:right="1417" w:bottom="1417" w:left="1417" w:header="720" w:footer="720" w:gutter="0"/>
          <w:pgNumType w:start="1"/>
          <w:cols w:space="720"/>
          <w:titlePg/>
        </w:sectPr>
      </w:pPr>
    </w:p>
    <w:p w14:paraId="6C4E3CB3" w14:textId="77777777" w:rsidR="00FD513B" w:rsidRPr="00767C4D" w:rsidRDefault="00FD513B" w:rsidP="00767C4D">
      <w:pPr>
        <w:rPr>
          <w:sz w:val="22"/>
          <w:szCs w:val="22"/>
        </w:rPr>
      </w:pPr>
    </w:p>
    <w:sectPr w:rsidR="00FD513B" w:rsidRPr="00767C4D" w:rsidSect="00257890">
      <w:footerReference w:type="default" r:id="rId17"/>
      <w:endnotePr>
        <w:numFmt w:val="decimal"/>
      </w:endnotePr>
      <w:type w:val="continuous"/>
      <w:pgSz w:w="11909" w:h="16834"/>
      <w:pgMar w:top="212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43B7" w14:textId="77777777" w:rsidR="00F40F25" w:rsidRDefault="00F40F25">
      <w:pPr>
        <w:spacing w:line="240" w:lineRule="auto"/>
      </w:pPr>
      <w:r>
        <w:separator/>
      </w:r>
    </w:p>
  </w:endnote>
  <w:endnote w:type="continuationSeparator" w:id="0">
    <w:p w14:paraId="553D564F" w14:textId="77777777" w:rsidR="00F40F25" w:rsidRDefault="00F40F25">
      <w:pPr>
        <w:spacing w:line="240" w:lineRule="auto"/>
      </w:pPr>
      <w:r>
        <w:continuationSeparator/>
      </w:r>
    </w:p>
  </w:endnote>
  <w:endnote w:id="1">
    <w:p w14:paraId="7FFBCF3E" w14:textId="69DD2F14" w:rsidR="0067227B" w:rsidRPr="00B057C0" w:rsidRDefault="0067227B" w:rsidP="0067227B">
      <w:pPr>
        <w:pStyle w:val="EndnoteText"/>
        <w:rPr>
          <w:rFonts w:ascii="Calibri" w:hAnsi="Calibri" w:cs="Calibri"/>
        </w:rPr>
      </w:pPr>
      <w:r w:rsidRPr="00B057C0">
        <w:rPr>
          <w:rStyle w:val="EndnoteReference"/>
          <w:rFonts w:ascii="Calibri" w:hAnsi="Calibri" w:cs="Calibri"/>
        </w:rPr>
        <w:endnoteRef/>
      </w:r>
      <w:r w:rsidRPr="00B057C0">
        <w:rPr>
          <w:rFonts w:ascii="Calibri" w:hAnsi="Calibri" w:cs="Calibri"/>
        </w:rPr>
        <w:t xml:space="preserve"> Preventive health action considers the inequities that exist across Australia, including gender inequities, and promotes equitable access to health care that is culturally safe and tailored to diverse community needs. Action must focus on the external barriers that impact on health. Department of Health, </w:t>
      </w:r>
      <w:hyperlink r:id="rId1" w:history="1">
        <w:r w:rsidRPr="00B057C0">
          <w:rPr>
            <w:rStyle w:val="Hyperlink"/>
            <w:rFonts w:ascii="Calibri" w:hAnsi="Calibri" w:cs="Calibri"/>
            <w:i/>
            <w:iCs/>
          </w:rPr>
          <w:t>National Preventive Health Strategy 2021-2030</w:t>
        </w:r>
      </w:hyperlink>
      <w:r w:rsidRPr="00B057C0">
        <w:rPr>
          <w:rFonts w:ascii="Calibri" w:hAnsi="Calibri" w:cs="Calibri"/>
        </w:rPr>
        <w:t>, Commonwealth of Australia, 2021, p. 10</w:t>
      </w:r>
      <w:r w:rsidR="00BC2DCD">
        <w:rPr>
          <w:rFonts w:ascii="Calibri" w:hAnsi="Calibri" w:cs="Calibri"/>
        </w:rPr>
        <w:t>, accessed on 22 January 2024</w:t>
      </w:r>
      <w:r w:rsidRPr="00B057C0">
        <w:rPr>
          <w:rFonts w:ascii="Calibri" w:hAnsi="Calibri" w:cs="Calibri"/>
        </w:rPr>
        <w:t>.</w:t>
      </w:r>
    </w:p>
  </w:endnote>
  <w:endnote w:id="2">
    <w:p w14:paraId="7A4A836B" w14:textId="160C14A6" w:rsidR="0067227B" w:rsidRPr="00B057C0" w:rsidRDefault="0067227B" w:rsidP="0067227B">
      <w:pPr>
        <w:pStyle w:val="EndnoteText"/>
        <w:rPr>
          <w:rFonts w:ascii="Calibri" w:hAnsi="Calibri" w:cs="Calibri"/>
        </w:rPr>
      </w:pPr>
      <w:r w:rsidRPr="00B057C0">
        <w:rPr>
          <w:rStyle w:val="EndnoteReference"/>
          <w:rFonts w:ascii="Calibri" w:hAnsi="Calibri" w:cs="Calibri"/>
        </w:rPr>
        <w:endnoteRef/>
      </w:r>
      <w:r w:rsidRPr="00B057C0">
        <w:rPr>
          <w:rFonts w:ascii="Calibri" w:hAnsi="Calibri" w:cs="Calibri"/>
        </w:rPr>
        <w:t xml:space="preserve"> Department of the Prime Minister and Cabinet, </w:t>
      </w:r>
      <w:hyperlink r:id="rId2" w:history="1">
        <w:r w:rsidRPr="00B057C0">
          <w:rPr>
            <w:rStyle w:val="Hyperlink"/>
            <w:rFonts w:ascii="Calibri" w:hAnsi="Calibri" w:cs="Calibri"/>
            <w:i/>
            <w:iCs/>
          </w:rPr>
          <w:t>National Strategy to Achieve Gender Equality – Discussion Paper</w:t>
        </w:r>
      </w:hyperlink>
      <w:r w:rsidRPr="00B057C0">
        <w:rPr>
          <w:rFonts w:ascii="Calibri" w:hAnsi="Calibri" w:cs="Calibri"/>
        </w:rPr>
        <w:t>, Australian Government, 2023</w:t>
      </w:r>
      <w:r w:rsidR="00BC2DCD">
        <w:rPr>
          <w:rFonts w:ascii="Calibri" w:hAnsi="Calibri" w:cs="Calibri"/>
        </w:rPr>
        <w:t>, accessed on 22 January 2024</w:t>
      </w:r>
      <w:r w:rsidRPr="00B057C0">
        <w:rPr>
          <w:rFonts w:ascii="Calibri" w:hAnsi="Calibri" w:cs="Calibri"/>
        </w:rPr>
        <w:t xml:space="preserve">.  </w:t>
      </w:r>
    </w:p>
  </w:endnote>
  <w:endnote w:id="3">
    <w:p w14:paraId="2BA158F1" w14:textId="64B6D8C7" w:rsidR="00A72793" w:rsidRPr="00B057C0" w:rsidRDefault="00A72793" w:rsidP="00A72793">
      <w:pPr>
        <w:pStyle w:val="EndnoteText"/>
        <w:rPr>
          <w:rFonts w:ascii="Calibri" w:hAnsi="Calibri" w:cs="Calibri"/>
        </w:rPr>
      </w:pPr>
      <w:r w:rsidRPr="00B057C0">
        <w:rPr>
          <w:rStyle w:val="EndnoteReference"/>
          <w:rFonts w:ascii="Calibri" w:hAnsi="Calibri" w:cs="Calibri"/>
        </w:rPr>
        <w:endnoteRef/>
      </w:r>
      <w:r w:rsidRPr="00B057C0">
        <w:rPr>
          <w:rFonts w:ascii="Calibri" w:hAnsi="Calibri" w:cs="Calibri"/>
        </w:rPr>
        <w:t xml:space="preserve"> L Merone, K Tsey, D Russell, C Nagle, ‘</w:t>
      </w:r>
      <w:hyperlink r:id="rId3" w:history="1">
        <w:r w:rsidRPr="00BC2DCD">
          <w:rPr>
            <w:rStyle w:val="Hyperlink"/>
            <w:rFonts w:ascii="Calibri" w:hAnsi="Calibri" w:cs="Calibri"/>
          </w:rPr>
          <w:t>Sex and gender gaps in medicine and the androcentric history of medical research</w:t>
        </w:r>
      </w:hyperlink>
      <w:r w:rsidRPr="00B057C0">
        <w:rPr>
          <w:rFonts w:ascii="Calibri" w:hAnsi="Calibri" w:cs="Calibri"/>
        </w:rPr>
        <w:t xml:space="preserve">’, </w:t>
      </w:r>
      <w:r w:rsidRPr="00B057C0">
        <w:rPr>
          <w:rFonts w:ascii="Calibri" w:hAnsi="Calibri" w:cs="Calibri"/>
          <w:i/>
          <w:iCs/>
        </w:rPr>
        <w:t>Australian and New Zealand Journal of Public Health</w:t>
      </w:r>
      <w:r w:rsidRPr="00B057C0">
        <w:rPr>
          <w:rFonts w:ascii="Calibri" w:hAnsi="Calibri" w:cs="Calibri"/>
        </w:rPr>
        <w:t xml:space="preserve">, 2021, 45(5), pp 424-426, </w:t>
      </w:r>
      <w:r w:rsidRPr="00B057C0">
        <w:rPr>
          <w:rFonts w:ascii="Calibri" w:hAnsi="Calibri" w:cs="Calibri"/>
        </w:rPr>
        <w:t>doi: 10.1111/1753-6405.13139</w:t>
      </w:r>
      <w:r w:rsidR="00BC2DCD">
        <w:rPr>
          <w:rFonts w:ascii="Calibri" w:hAnsi="Calibri" w:cs="Calibri"/>
        </w:rPr>
        <w:t>, accessed on 22 January 2024</w:t>
      </w:r>
      <w:r w:rsidRPr="00B057C0">
        <w:rPr>
          <w:rFonts w:ascii="Calibri" w:hAnsi="Calibri" w:cs="Calibri"/>
        </w:rPr>
        <w:t>.</w:t>
      </w:r>
    </w:p>
  </w:endnote>
  <w:endnote w:id="4">
    <w:p w14:paraId="67DDDF6E" w14:textId="5047C7E5" w:rsidR="00A72793" w:rsidRPr="00B057C0" w:rsidRDefault="00A72793" w:rsidP="00A72793">
      <w:pPr>
        <w:pStyle w:val="EndnoteText"/>
        <w:rPr>
          <w:rFonts w:ascii="Calibri" w:hAnsi="Calibri" w:cs="Calibri"/>
        </w:rPr>
      </w:pPr>
      <w:r w:rsidRPr="00B057C0">
        <w:rPr>
          <w:rStyle w:val="EndnoteReference"/>
          <w:rFonts w:ascii="Calibri" w:hAnsi="Calibri" w:cs="Calibri"/>
        </w:rPr>
        <w:endnoteRef/>
      </w:r>
      <w:r w:rsidRPr="00B057C0">
        <w:rPr>
          <w:rFonts w:ascii="Calibri" w:hAnsi="Calibri" w:cs="Calibri"/>
        </w:rPr>
        <w:t xml:space="preserve"> L Merone, K Tsey, D Russel, C Nagle, ‘</w:t>
      </w:r>
      <w:hyperlink r:id="rId4" w:history="1">
        <w:r w:rsidRPr="00BC2DCD">
          <w:rPr>
            <w:rStyle w:val="Hyperlink"/>
            <w:rFonts w:ascii="Calibri" w:hAnsi="Calibri" w:cs="Calibri"/>
          </w:rPr>
          <w:t>Mind the Gap: Reporting and Analysis of Sex and Gender in Health Research in Australia, a Cross-Sectional Study</w:t>
        </w:r>
      </w:hyperlink>
      <w:r w:rsidRPr="00B057C0">
        <w:rPr>
          <w:rFonts w:ascii="Calibri" w:hAnsi="Calibri" w:cs="Calibri"/>
        </w:rPr>
        <w:t xml:space="preserve">’, </w:t>
      </w:r>
      <w:r w:rsidRPr="00B057C0">
        <w:rPr>
          <w:rFonts w:ascii="Calibri" w:hAnsi="Calibri" w:cs="Calibri"/>
          <w:i/>
          <w:iCs/>
        </w:rPr>
        <w:t>Women’s Health Reports</w:t>
      </w:r>
      <w:r w:rsidRPr="00B057C0">
        <w:rPr>
          <w:rFonts w:ascii="Calibri" w:hAnsi="Calibri" w:cs="Calibri"/>
        </w:rPr>
        <w:t xml:space="preserve">, 2022, </w:t>
      </w:r>
      <w:r w:rsidRPr="00B057C0">
        <w:rPr>
          <w:rFonts w:ascii="Calibri" w:hAnsi="Calibri" w:cs="Calibri"/>
          <w:color w:val="212121"/>
          <w:shd w:val="clear" w:color="auto" w:fill="FFFFFF"/>
        </w:rPr>
        <w:t xml:space="preserve">3(1), pp 759–767, </w:t>
      </w:r>
      <w:r w:rsidRPr="00B057C0">
        <w:rPr>
          <w:rStyle w:val="doi"/>
          <w:rFonts w:ascii="Calibri" w:hAnsi="Calibri" w:cs="Calibri"/>
          <w:color w:val="212121"/>
          <w:shd w:val="clear" w:color="auto" w:fill="FFFFFF"/>
        </w:rPr>
        <w:t xml:space="preserve">doi: </w:t>
      </w:r>
      <w:r w:rsidRPr="00B057C0">
        <w:rPr>
          <w:rStyle w:val="doi"/>
          <w:rFonts w:ascii="Calibri" w:hAnsi="Calibri" w:cs="Calibri"/>
          <w:color w:val="212121"/>
        </w:rPr>
        <w:t>10.1089/whr.2022.0033</w:t>
      </w:r>
      <w:r w:rsidR="00BC2DCD">
        <w:rPr>
          <w:rStyle w:val="doi"/>
          <w:rFonts w:ascii="Calibri" w:hAnsi="Calibri" w:cs="Calibri"/>
          <w:color w:val="212121"/>
        </w:rPr>
        <w:t xml:space="preserve">, </w:t>
      </w:r>
      <w:r w:rsidR="00BC2DCD">
        <w:rPr>
          <w:rFonts w:ascii="Calibri" w:hAnsi="Calibri" w:cs="Calibri"/>
        </w:rPr>
        <w:t>accessed on 22 January 2024</w:t>
      </w:r>
      <w:r w:rsidRPr="00B057C0">
        <w:rPr>
          <w:rStyle w:val="doi"/>
          <w:rFonts w:ascii="Calibri" w:hAnsi="Calibri" w:cs="Calibri"/>
          <w:color w:val="212121"/>
          <w:shd w:val="clear" w:color="auto" w:fill="FFFFFF"/>
        </w:rPr>
        <w:t>.</w:t>
      </w:r>
    </w:p>
  </w:endnote>
  <w:endnote w:id="5">
    <w:p w14:paraId="45D15C8C" w14:textId="3E2C7A0F" w:rsidR="00A72793" w:rsidRPr="00B057C0" w:rsidRDefault="00A72793" w:rsidP="00A72793">
      <w:pPr>
        <w:pStyle w:val="EndnoteText"/>
        <w:rPr>
          <w:rFonts w:ascii="Calibri" w:hAnsi="Calibri" w:cs="Calibri"/>
        </w:rPr>
      </w:pPr>
      <w:r w:rsidRPr="00B057C0">
        <w:rPr>
          <w:rStyle w:val="EndnoteReference"/>
          <w:rFonts w:ascii="Calibri" w:hAnsi="Calibri" w:cs="Calibri"/>
        </w:rPr>
        <w:endnoteRef/>
      </w:r>
      <w:r w:rsidRPr="00B057C0">
        <w:rPr>
          <w:rFonts w:ascii="Calibri" w:hAnsi="Calibri" w:cs="Calibri"/>
        </w:rPr>
        <w:t xml:space="preserve"> Department of the Prime Minister and Cabinet, </w:t>
      </w:r>
      <w:r w:rsidRPr="00B057C0">
        <w:rPr>
          <w:rFonts w:ascii="Calibri" w:hAnsi="Calibri" w:cs="Calibri"/>
          <w:i/>
          <w:iCs/>
        </w:rPr>
        <w:t>National Strategy to Achieve Gender Equality</w:t>
      </w:r>
      <w:r w:rsidR="00BC2DCD">
        <w:rPr>
          <w:rFonts w:ascii="Calibri" w:hAnsi="Calibri" w:cs="Calibri"/>
          <w:i/>
          <w:iCs/>
        </w:rPr>
        <w:t xml:space="preserve"> Discussion Paper</w:t>
      </w:r>
      <w:r w:rsidRPr="00B057C0">
        <w:rPr>
          <w:rFonts w:ascii="Calibri" w:hAnsi="Calibri" w:cs="Calibri"/>
        </w:rPr>
        <w:t xml:space="preserve">, p 14.  </w:t>
      </w:r>
    </w:p>
  </w:endnote>
  <w:endnote w:id="6">
    <w:p w14:paraId="0BD83BAF" w14:textId="13B20C4B" w:rsidR="00A72793" w:rsidRPr="00B057C0" w:rsidRDefault="00A72793" w:rsidP="00A72793">
      <w:pPr>
        <w:pStyle w:val="EndnoteText"/>
        <w:rPr>
          <w:rFonts w:ascii="Calibri" w:hAnsi="Calibri" w:cs="Calibri"/>
          <w:lang w:val="en-US"/>
        </w:rPr>
      </w:pPr>
      <w:r w:rsidRPr="00B057C0">
        <w:rPr>
          <w:rStyle w:val="EndnoteReference"/>
          <w:rFonts w:ascii="Calibri" w:hAnsi="Calibri" w:cs="Calibri"/>
        </w:rPr>
        <w:endnoteRef/>
      </w:r>
      <w:r w:rsidRPr="00B057C0">
        <w:rPr>
          <w:rFonts w:ascii="Calibri" w:hAnsi="Calibri" w:cs="Calibri"/>
        </w:rPr>
        <w:t xml:space="preserve"> </w:t>
      </w:r>
      <w:r w:rsidRPr="00B057C0">
        <w:rPr>
          <w:rFonts w:ascii="Calibri" w:hAnsi="Calibri" w:cs="Calibri"/>
          <w:lang w:val="en-US"/>
        </w:rPr>
        <w:t xml:space="preserve">For example, national datasets and research include </w:t>
      </w:r>
      <w:hyperlink r:id="rId5" w:history="1">
        <w:r w:rsidRPr="00B057C0">
          <w:rPr>
            <w:rStyle w:val="Hyperlink"/>
            <w:rFonts w:ascii="Calibri" w:hAnsi="Calibri" w:cs="Calibri"/>
            <w:i/>
            <w:iCs/>
          </w:rPr>
          <w:t>Maternity models of care in Australia, 2023</w:t>
        </w:r>
      </w:hyperlink>
      <w:r w:rsidRPr="00B057C0">
        <w:rPr>
          <w:rFonts w:ascii="Calibri" w:hAnsi="Calibri" w:cs="Calibri"/>
        </w:rPr>
        <w:t xml:space="preserve">, </w:t>
      </w:r>
      <w:hyperlink r:id="rId6" w:history="1">
        <w:r w:rsidRPr="00B057C0">
          <w:rPr>
            <w:rStyle w:val="Hyperlink"/>
            <w:rFonts w:ascii="Calibri" w:hAnsi="Calibri" w:cs="Calibri"/>
          </w:rPr>
          <w:t>National Core Maternity Indicators</w:t>
        </w:r>
      </w:hyperlink>
      <w:r w:rsidRPr="00B057C0">
        <w:rPr>
          <w:rFonts w:ascii="Calibri" w:hAnsi="Calibri" w:cs="Calibri"/>
        </w:rPr>
        <w:t xml:space="preserve">, </w:t>
      </w:r>
      <w:hyperlink r:id="rId7" w:history="1">
        <w:r w:rsidRPr="00B057C0">
          <w:rPr>
            <w:rStyle w:val="Hyperlink"/>
            <w:rFonts w:ascii="Calibri" w:hAnsi="Calibri" w:cs="Calibri"/>
            <w:i/>
            <w:iCs/>
          </w:rPr>
          <w:t>Australia's mothers and babies</w:t>
        </w:r>
      </w:hyperlink>
      <w:r w:rsidRPr="00B057C0">
        <w:rPr>
          <w:rFonts w:ascii="Calibri" w:hAnsi="Calibri" w:cs="Calibri"/>
        </w:rPr>
        <w:t xml:space="preserve"> and the </w:t>
      </w:r>
      <w:hyperlink r:id="rId8" w:history="1">
        <w:r w:rsidRPr="00B057C0">
          <w:rPr>
            <w:rStyle w:val="Hyperlink"/>
            <w:rFonts w:ascii="Calibri" w:hAnsi="Calibri" w:cs="Calibri"/>
            <w:i/>
            <w:iCs/>
            <w:lang w:val="en-GB"/>
          </w:rPr>
          <w:t>National Cervical Screening Program monitoring report 2023</w:t>
        </w:r>
      </w:hyperlink>
      <w:r w:rsidR="00BC2DCD">
        <w:rPr>
          <w:rFonts w:ascii="Calibri" w:hAnsi="Calibri" w:cs="Calibri"/>
        </w:rPr>
        <w:t>.</w:t>
      </w:r>
      <w:r w:rsidRPr="00B057C0">
        <w:rPr>
          <w:rFonts w:ascii="Calibri" w:hAnsi="Calibri" w:cs="Calibri"/>
        </w:rPr>
        <w:t xml:space="preserve"> </w:t>
      </w:r>
    </w:p>
  </w:endnote>
  <w:endnote w:id="7">
    <w:p w14:paraId="01764D5E" w14:textId="77777777" w:rsidR="00A72793" w:rsidRPr="00B057C0" w:rsidRDefault="00A72793" w:rsidP="00A72793">
      <w:pPr>
        <w:pStyle w:val="EndnoteText"/>
        <w:rPr>
          <w:rFonts w:ascii="Calibri" w:hAnsi="Calibri" w:cs="Calibri"/>
        </w:rPr>
      </w:pPr>
      <w:r w:rsidRPr="00B057C0">
        <w:rPr>
          <w:rStyle w:val="EndnoteReference"/>
          <w:rFonts w:ascii="Calibri" w:hAnsi="Calibri" w:cs="Calibri"/>
        </w:rPr>
        <w:endnoteRef/>
      </w:r>
      <w:r w:rsidRPr="00B057C0">
        <w:rPr>
          <w:rFonts w:ascii="Calibri" w:hAnsi="Calibri" w:cs="Calibri"/>
        </w:rPr>
        <w:t xml:space="preserve"> L Merone, et al., ‘Sex and gender gaps in medicine’.</w:t>
      </w:r>
    </w:p>
  </w:endnote>
  <w:endnote w:id="8">
    <w:p w14:paraId="2314AB53" w14:textId="21C6EB03" w:rsidR="0086648E" w:rsidRPr="00B057C0" w:rsidRDefault="0086648E" w:rsidP="0086648E">
      <w:pPr>
        <w:pStyle w:val="EndnoteText"/>
        <w:rPr>
          <w:rFonts w:ascii="Calibri" w:hAnsi="Calibri" w:cs="Calibri"/>
        </w:rPr>
      </w:pPr>
      <w:r w:rsidRPr="00B057C0">
        <w:rPr>
          <w:rStyle w:val="EndnoteReference"/>
          <w:rFonts w:ascii="Calibri" w:hAnsi="Calibri" w:cs="Calibri"/>
        </w:rPr>
        <w:endnoteRef/>
      </w:r>
      <w:r w:rsidRPr="00B057C0">
        <w:rPr>
          <w:rFonts w:ascii="Calibri" w:hAnsi="Calibri" w:cs="Calibri"/>
        </w:rPr>
        <w:t xml:space="preserve"> T Morgan, LA Williams, M Gott, ‘</w:t>
      </w:r>
      <w:hyperlink r:id="rId9" w:history="1">
        <w:r w:rsidRPr="00BC2DCD">
          <w:rPr>
            <w:rStyle w:val="Hyperlink"/>
            <w:rFonts w:ascii="Calibri" w:hAnsi="Calibri" w:cs="Calibri"/>
          </w:rPr>
          <w:t>A Feminist Quality Appraisal Tool: exposing gender bias and gender inequities in health research</w:t>
        </w:r>
      </w:hyperlink>
      <w:r w:rsidRPr="00B057C0">
        <w:rPr>
          <w:rFonts w:ascii="Calibri" w:hAnsi="Calibri" w:cs="Calibri"/>
        </w:rPr>
        <w:t xml:space="preserve">’, </w:t>
      </w:r>
      <w:r w:rsidRPr="00B057C0">
        <w:rPr>
          <w:rFonts w:ascii="Calibri" w:hAnsi="Calibri" w:cs="Calibri"/>
          <w:i/>
          <w:iCs/>
        </w:rPr>
        <w:t>Critical Public Health</w:t>
      </w:r>
      <w:r w:rsidRPr="00B057C0">
        <w:rPr>
          <w:rFonts w:ascii="Calibri" w:hAnsi="Calibri" w:cs="Calibri"/>
        </w:rPr>
        <w:t xml:space="preserve">, 2017, 27(2), pp 263-274, </w:t>
      </w:r>
      <w:r w:rsidRPr="00B057C0">
        <w:rPr>
          <w:rFonts w:ascii="Calibri" w:hAnsi="Calibri" w:cs="Calibri"/>
        </w:rPr>
        <w:t>doi: 10.1080/09581596.2016.1205182</w:t>
      </w:r>
      <w:r w:rsidR="005926DB">
        <w:rPr>
          <w:rFonts w:ascii="Calibri" w:hAnsi="Calibri" w:cs="Calibri"/>
        </w:rPr>
        <w:t>, accessed on 22 January 2024</w:t>
      </w:r>
      <w:r w:rsidRPr="00B057C0">
        <w:rPr>
          <w:rFonts w:ascii="Calibri" w:hAnsi="Calibri" w:cs="Calibri"/>
        </w:rPr>
        <w:t>.</w:t>
      </w:r>
    </w:p>
  </w:endnote>
  <w:endnote w:id="9">
    <w:p w14:paraId="024003D9" w14:textId="48259F94" w:rsidR="003107C3" w:rsidRPr="00B057C0" w:rsidRDefault="003107C3" w:rsidP="003107C3">
      <w:pPr>
        <w:pStyle w:val="EndnoteText"/>
        <w:rPr>
          <w:rFonts w:ascii="Calibri" w:hAnsi="Calibri" w:cs="Calibri"/>
          <w:lang w:val="en-US"/>
        </w:rPr>
      </w:pPr>
      <w:r w:rsidRPr="00B057C0">
        <w:rPr>
          <w:rStyle w:val="EndnoteReference"/>
          <w:rFonts w:ascii="Calibri" w:hAnsi="Calibri" w:cs="Calibri"/>
        </w:rPr>
        <w:endnoteRef/>
      </w:r>
      <w:r w:rsidRPr="00B057C0">
        <w:rPr>
          <w:rFonts w:ascii="Calibri" w:hAnsi="Calibri" w:cs="Calibri"/>
        </w:rPr>
        <w:t xml:space="preserve"> “Embedding the expertise of consumers, communities and health care professionals is critical to effective research and evaluation</w:t>
      </w:r>
      <w:r w:rsidRPr="00B057C0">
        <w:rPr>
          <w:rFonts w:ascii="Calibri" w:hAnsi="Calibri" w:cs="Calibri"/>
          <w:vertAlign w:val="superscript"/>
        </w:rPr>
        <w:t>238</w:t>
      </w:r>
      <w:r w:rsidRPr="00B057C0">
        <w:rPr>
          <w:rFonts w:ascii="Calibri" w:hAnsi="Calibri" w:cs="Calibri"/>
        </w:rPr>
        <w:t xml:space="preserve">. It ensures that research and evaluation is ethical, responsive and beneficial to the people it impacts, and reflective of local needs and priorities.” </w:t>
      </w:r>
      <w:r w:rsidRPr="00B057C0">
        <w:rPr>
          <w:rFonts w:ascii="Calibri" w:hAnsi="Calibri" w:cs="Calibri"/>
          <w:i/>
          <w:iCs/>
        </w:rPr>
        <w:t>National Preventive Health Strategy 2021-2030</w:t>
      </w:r>
      <w:r w:rsidRPr="00B057C0">
        <w:rPr>
          <w:rFonts w:ascii="Calibri" w:hAnsi="Calibri" w:cs="Calibri"/>
        </w:rPr>
        <w:t>, Commonwealth of Australia, 2021 p. 42</w:t>
      </w:r>
      <w:r w:rsidR="004A7089">
        <w:rPr>
          <w:rFonts w:ascii="Calibri" w:hAnsi="Calibri" w:cs="Calibri"/>
        </w:rPr>
        <w:t>.</w:t>
      </w:r>
    </w:p>
  </w:endnote>
  <w:endnote w:id="10">
    <w:p w14:paraId="0D7EF84E" w14:textId="7A952ADC" w:rsidR="00C2656A" w:rsidRPr="00B057C0" w:rsidRDefault="00C2656A" w:rsidP="00C2656A">
      <w:pPr>
        <w:pStyle w:val="EndnoteText"/>
        <w:rPr>
          <w:rFonts w:ascii="Calibri" w:hAnsi="Calibri" w:cs="Calibri"/>
          <w:lang w:val="en-US"/>
        </w:rPr>
      </w:pPr>
      <w:r w:rsidRPr="00B057C0">
        <w:rPr>
          <w:rStyle w:val="EndnoteReference"/>
          <w:rFonts w:ascii="Calibri" w:hAnsi="Calibri" w:cs="Calibri"/>
        </w:rPr>
        <w:endnoteRef/>
      </w:r>
      <w:r w:rsidRPr="00B057C0">
        <w:rPr>
          <w:rFonts w:ascii="Calibri" w:hAnsi="Calibri" w:cs="Calibri"/>
        </w:rPr>
        <w:t xml:space="preserve"> </w:t>
      </w:r>
      <w:r w:rsidRPr="00B057C0">
        <w:rPr>
          <w:rFonts w:ascii="Calibri" w:hAnsi="Calibri" w:cs="Calibri"/>
          <w:i/>
          <w:iCs/>
        </w:rPr>
        <w:t>National Preventive Health Strategy 2021-2030</w:t>
      </w:r>
      <w:r w:rsidRPr="00B057C0">
        <w:rPr>
          <w:rFonts w:ascii="Calibri" w:hAnsi="Calibri" w:cs="Calibri"/>
        </w:rPr>
        <w:t>, Commonwealth of Australia, 2021</w:t>
      </w:r>
      <w:r w:rsidR="008D2625">
        <w:rPr>
          <w:rFonts w:ascii="Calibri" w:hAnsi="Calibri" w:cs="Calibri"/>
        </w:rPr>
        <w:t>,</w:t>
      </w:r>
      <w:r w:rsidRPr="00B057C0">
        <w:rPr>
          <w:rFonts w:ascii="Calibri" w:hAnsi="Calibri" w:cs="Calibri"/>
        </w:rPr>
        <w:t xml:space="preserve"> p. 42.</w:t>
      </w:r>
    </w:p>
  </w:endnote>
  <w:endnote w:id="11">
    <w:p w14:paraId="5B087A03" w14:textId="57B68B3C" w:rsidR="00C2656A" w:rsidRPr="004A7089" w:rsidRDefault="00C2656A" w:rsidP="00C2656A">
      <w:pPr>
        <w:pStyle w:val="EndnoteText"/>
        <w:rPr>
          <w:rFonts w:ascii="Calibri" w:hAnsi="Calibri" w:cs="Calibri"/>
          <w:lang w:val="en-US"/>
        </w:rPr>
      </w:pPr>
      <w:r w:rsidRPr="00B057C0">
        <w:rPr>
          <w:rStyle w:val="EndnoteReference"/>
          <w:rFonts w:ascii="Calibri" w:hAnsi="Calibri" w:cs="Calibri"/>
        </w:rPr>
        <w:endnoteRef/>
      </w:r>
      <w:r w:rsidRPr="00B057C0">
        <w:rPr>
          <w:rFonts w:ascii="Calibri" w:hAnsi="Calibri" w:cs="Calibri"/>
        </w:rPr>
        <w:t xml:space="preserve"> </w:t>
      </w:r>
      <w:r w:rsidRPr="00B057C0">
        <w:rPr>
          <w:rFonts w:ascii="Calibri" w:hAnsi="Calibri" w:cs="Calibri"/>
          <w:lang w:val="en-US"/>
        </w:rPr>
        <w:t>For instance, the National Health and Medical Research Council acknowledges the systemic disadvantage experienced by women in the health and medical research sector and has established a new funding framework to address gender disparities in the Investigator Grant scheme</w:t>
      </w:r>
      <w:r w:rsidR="004514FF">
        <w:rPr>
          <w:rFonts w:ascii="Calibri" w:hAnsi="Calibri" w:cs="Calibri"/>
          <w:lang w:val="en-US"/>
        </w:rPr>
        <w:t>. See, A Kelso, ‘</w:t>
      </w:r>
      <w:hyperlink r:id="rId10" w:history="1">
        <w:r w:rsidRPr="00B057C0">
          <w:rPr>
            <w:rStyle w:val="Hyperlink"/>
            <w:rFonts w:ascii="Calibri" w:hAnsi="Calibri" w:cs="Calibri"/>
          </w:rPr>
          <w:t>Towards gender equity in Australian health and medical research funding</w:t>
        </w:r>
      </w:hyperlink>
      <w:r w:rsidR="004514FF" w:rsidRPr="004514FF">
        <w:rPr>
          <w:rStyle w:val="Hyperlink"/>
          <w:rFonts w:ascii="Calibri" w:hAnsi="Calibri" w:cs="Calibri"/>
          <w:color w:val="auto"/>
          <w:u w:val="none"/>
        </w:rPr>
        <w:t>’</w:t>
      </w:r>
      <w:r w:rsidR="004514FF">
        <w:rPr>
          <w:rStyle w:val="Hyperlink"/>
          <w:rFonts w:ascii="Calibri" w:hAnsi="Calibri" w:cs="Calibri"/>
          <w:color w:val="auto"/>
          <w:u w:val="none"/>
        </w:rPr>
        <w:t xml:space="preserve">, The Medical Journal of Australia, 2023, 218(2), pp 58-60, </w:t>
      </w:r>
      <w:r w:rsidR="004514FF">
        <w:rPr>
          <w:rStyle w:val="Hyperlink"/>
          <w:rFonts w:ascii="Calibri" w:hAnsi="Calibri" w:cs="Calibri"/>
          <w:color w:val="auto"/>
          <w:u w:val="none"/>
        </w:rPr>
        <w:t>doi:</w:t>
      </w:r>
      <w:r w:rsidR="004514FF" w:rsidRPr="004514FF">
        <w:rPr>
          <w:rStyle w:val="Hyperlink"/>
          <w:rFonts w:ascii="Calibri" w:hAnsi="Calibri" w:cs="Calibri"/>
          <w:color w:val="auto"/>
          <w:u w:val="none"/>
        </w:rPr>
        <w:t xml:space="preserve"> 10.5694/mja2.51767</w:t>
      </w:r>
      <w:r w:rsidR="005926DB">
        <w:rPr>
          <w:rStyle w:val="Hyperlink"/>
          <w:rFonts w:ascii="Calibri" w:hAnsi="Calibri" w:cs="Calibri"/>
          <w:color w:val="auto"/>
          <w:u w:val="none"/>
        </w:rPr>
        <w:t xml:space="preserve">, </w:t>
      </w:r>
      <w:r w:rsidR="005926DB">
        <w:rPr>
          <w:rFonts w:ascii="Calibri" w:hAnsi="Calibri" w:cs="Calibri"/>
        </w:rPr>
        <w:t>accessed on 22 January 2024</w:t>
      </w:r>
      <w:r w:rsidR="004514FF">
        <w:rPr>
          <w:rStyle w:val="Hyperlink"/>
          <w:rFonts w:ascii="Calibri" w:hAnsi="Calibri" w:cs="Calibri"/>
          <w:color w:val="auto"/>
          <w:u w:val="none"/>
        </w:rPr>
        <w:t>.</w:t>
      </w:r>
    </w:p>
  </w:endnote>
  <w:endnote w:id="12">
    <w:p w14:paraId="6F3DAF56" w14:textId="6345E14F" w:rsidR="00C2656A" w:rsidRDefault="00C2656A" w:rsidP="00C2656A">
      <w:pPr>
        <w:pStyle w:val="EndnoteText"/>
        <w:rPr>
          <w:rFonts w:ascii="Calibri" w:hAnsi="Calibri" w:cs="Calibri"/>
        </w:rPr>
      </w:pPr>
      <w:r w:rsidRPr="00BC1616">
        <w:rPr>
          <w:rStyle w:val="EndnoteReference"/>
          <w:rFonts w:ascii="Calibri" w:hAnsi="Calibri" w:cs="Calibri"/>
        </w:rPr>
        <w:endnoteRef/>
      </w:r>
      <w:r w:rsidRPr="00BC1616">
        <w:rPr>
          <w:rFonts w:ascii="Calibri" w:hAnsi="Calibri" w:cs="Calibri"/>
        </w:rPr>
        <w:t xml:space="preserve"> Australian Bureau of Statistics</w:t>
      </w:r>
      <w:r>
        <w:rPr>
          <w:rFonts w:ascii="Calibri" w:hAnsi="Calibri" w:cs="Calibri"/>
        </w:rPr>
        <w:t xml:space="preserve">, </w:t>
      </w:r>
      <w:hyperlink r:id="rId11" w:history="1">
        <w:r w:rsidRPr="00E87D6A">
          <w:rPr>
            <w:rStyle w:val="Hyperlink"/>
            <w:rFonts w:ascii="Calibri" w:hAnsi="Calibri" w:cs="Calibri"/>
            <w:i/>
            <w:iCs/>
          </w:rPr>
          <w:t>Standard for Sex, Gender, Variations of Sex Characteristics and Sexual Orientation Variables, 2020</w:t>
        </w:r>
      </w:hyperlink>
      <w:r>
        <w:rPr>
          <w:rFonts w:ascii="Calibri" w:hAnsi="Calibri" w:cs="Calibri"/>
        </w:rPr>
        <w:t>, Commonwealth of Australia, 2021</w:t>
      </w:r>
      <w:r w:rsidR="005926DB">
        <w:rPr>
          <w:rFonts w:ascii="Calibri" w:hAnsi="Calibri" w:cs="Calibri"/>
        </w:rPr>
        <w:t>, accessed on 22 January 2024</w:t>
      </w:r>
      <w:r>
        <w:rPr>
          <w:rFonts w:ascii="Calibri" w:hAnsi="Calibri" w:cs="Calibri"/>
        </w:rPr>
        <w:t>.</w:t>
      </w:r>
    </w:p>
    <w:p w14:paraId="1229FC45" w14:textId="77777777" w:rsidR="00767C4D" w:rsidRDefault="00767C4D" w:rsidP="00C2656A">
      <w:pPr>
        <w:pStyle w:val="EndnoteText"/>
        <w:rPr>
          <w:rFonts w:ascii="Calibri" w:hAnsi="Calibri" w:cs="Calibri"/>
        </w:rPr>
      </w:pPr>
    </w:p>
    <w:p w14:paraId="2751FDE4" w14:textId="77777777" w:rsidR="00767C4D" w:rsidRDefault="00767C4D" w:rsidP="00C2656A">
      <w:pPr>
        <w:pStyle w:val="EndnoteText"/>
        <w:rPr>
          <w:rFonts w:ascii="Calibri" w:hAnsi="Calibri" w:cs="Calibri"/>
        </w:rPr>
      </w:pPr>
    </w:p>
    <w:p w14:paraId="1B5B4014" w14:textId="1022967A" w:rsidR="00767C4D" w:rsidRPr="00B057C0" w:rsidRDefault="00767C4D" w:rsidP="00C2656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regular">
    <w:panose1 w:val="00000000000000000000"/>
    <w:charset w:val="00"/>
    <w:family w:val="roman"/>
    <w:notTrueType/>
    <w:pitch w:val="default"/>
  </w:font>
  <w:font w:name="Rubik">
    <w:altName w:val="Calibri"/>
    <w:panose1 w:val="00000000000000000000"/>
    <w:charset w:val="00"/>
    <w:family w:val="auto"/>
    <w:pitch w:val="variable"/>
    <w:sig w:usb0="A0002A6F" w:usb1="C000205B" w:usb2="00000000" w:usb3="00000000" w:csb0="000000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945" w14:textId="77777777" w:rsidR="008F25C6" w:rsidRDefault="006A143E">
    <w:pPr>
      <w:jc w:val="right"/>
      <w:rPr>
        <w:color w:val="000000"/>
      </w:rPr>
    </w:pPr>
    <w:r>
      <w:rPr>
        <w:noProof/>
      </w:rPr>
      <w:drawing>
        <wp:anchor distT="114300" distB="114300" distL="114300" distR="114300" simplePos="0" relativeHeight="251661312" behindDoc="0" locked="0" layoutInCell="1" hidden="0" allowOverlap="1" wp14:anchorId="69BB7D84" wp14:editId="2D021CEA">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4D5" w14:textId="77777777" w:rsidR="008F25C6" w:rsidRDefault="006A143E">
    <w:pPr>
      <w:jc w:val="right"/>
      <w:rPr>
        <w:color w:val="000000"/>
      </w:rPr>
    </w:pPr>
    <w:r>
      <w:rPr>
        <w:noProof/>
      </w:rPr>
      <w:drawing>
        <wp:anchor distT="114300" distB="114300" distL="114300" distR="114300" simplePos="0" relativeHeight="251662336" behindDoc="0" locked="0" layoutInCell="1" hidden="0" allowOverlap="1" wp14:anchorId="692E5726" wp14:editId="141E34F3">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9"/>
    </w:tblGrid>
    <w:tr w:rsidR="00257890" w14:paraId="0C207609" w14:textId="77777777" w:rsidTr="00257890">
      <w:tc>
        <w:tcPr>
          <w:tcW w:w="4645" w:type="dxa"/>
        </w:tcPr>
        <w:p w14:paraId="70C5B5E5" w14:textId="4F8F301B" w:rsidR="00257890" w:rsidRPr="00257890" w:rsidRDefault="00257890" w:rsidP="00257890">
          <w:pPr>
            <w:rPr>
              <w:sz w:val="22"/>
              <w:szCs w:val="22"/>
            </w:rPr>
          </w:pPr>
          <w:r w:rsidRPr="00767C4D">
            <w:rPr>
              <w:sz w:val="22"/>
              <w:szCs w:val="22"/>
            </w:rPr>
            <w:t>Last updated</w:t>
          </w:r>
          <w:r>
            <w:rPr>
              <w:sz w:val="22"/>
              <w:szCs w:val="22"/>
            </w:rPr>
            <w:t xml:space="preserve"> January 2024</w:t>
          </w:r>
        </w:p>
      </w:tc>
      <w:tc>
        <w:tcPr>
          <w:tcW w:w="4646" w:type="dxa"/>
        </w:tcPr>
        <w:p w14:paraId="6BE004AE" w14:textId="5C02E1D2" w:rsidR="00257890" w:rsidRDefault="00257890">
          <w:pPr>
            <w:jc w:val="right"/>
            <w:rPr>
              <w:color w:val="000000"/>
            </w:rPr>
          </w:pP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tc>
    </w:tr>
  </w:tbl>
  <w:p w14:paraId="55E897F1" w14:textId="6128243B" w:rsidR="00257890" w:rsidRDefault="00257890" w:rsidP="00257890">
    <w:pPr>
      <w:rPr>
        <w:color w:val="000000"/>
      </w:rPr>
    </w:pPr>
    <w:r>
      <w:rPr>
        <w:noProof/>
      </w:rPr>
      <w:drawing>
        <wp:anchor distT="114300" distB="114300" distL="114300" distR="114300" simplePos="0" relativeHeight="251662848" behindDoc="0" locked="0" layoutInCell="1" hidden="0" allowOverlap="1" wp14:anchorId="5719CD98" wp14:editId="13F12048">
          <wp:simplePos x="0" y="0"/>
          <wp:positionH relativeFrom="column">
            <wp:posOffset>-964565</wp:posOffset>
          </wp:positionH>
          <wp:positionV relativeFrom="paragraph">
            <wp:posOffset>523875</wp:posOffset>
          </wp:positionV>
          <wp:extent cx="7631430" cy="125730"/>
          <wp:effectExtent l="0" t="0" r="0" b="0"/>
          <wp:wrapNone/>
          <wp:docPr id="1288383383" name="Picture 12883833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930C" w14:textId="77777777" w:rsidR="00F40F25" w:rsidRDefault="00F40F25">
      <w:pPr>
        <w:spacing w:line="240" w:lineRule="auto"/>
      </w:pPr>
      <w:r>
        <w:separator/>
      </w:r>
    </w:p>
  </w:footnote>
  <w:footnote w:type="continuationSeparator" w:id="0">
    <w:p w14:paraId="30A20F04" w14:textId="77777777" w:rsidR="00F40F25" w:rsidRDefault="00F40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45E5" w14:textId="77777777" w:rsidR="008F25C6" w:rsidRDefault="006A143E">
    <w:r>
      <w:rPr>
        <w:noProof/>
      </w:rPr>
      <w:drawing>
        <wp:inline distT="0" distB="0" distL="0" distR="0" wp14:anchorId="14EC3042" wp14:editId="65113AA0">
          <wp:extent cx="533400" cy="466725"/>
          <wp:effectExtent l="0" t="0" r="0" b="9525"/>
          <wp:docPr id="1781817302" name="Picture 1781817302" descr="The Australian Women's Health Alliance logo with four graphic icons only, the first and second shapes are stacked on top of the third and fourth shap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four graphic icons only, the first and second shapes are stacked on top of the third and fourth shapes.">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3FF924A7"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3A6" w14:textId="4ADEA680" w:rsidR="008F25C6" w:rsidRDefault="006A143E" w:rsidP="1A1A1CC6">
    <w:pPr>
      <w:rPr>
        <w:color w:val="7030A0"/>
      </w:rPr>
    </w:pPr>
    <w:r>
      <w:rPr>
        <w:noProof/>
      </w:rPr>
      <w:drawing>
        <wp:anchor distT="114300" distB="114300" distL="114300" distR="114300" simplePos="0" relativeHeight="251659264" behindDoc="0" locked="0" layoutInCell="1" hidden="0" allowOverlap="1" wp14:anchorId="05AB22E6" wp14:editId="4E88CF11">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sidR="1A1A1CC6" w:rsidRPr="1A1A1CC6">
      <w:rPr>
        <w:color w:val="7030A0"/>
      </w:rPr>
      <w:t xml:space="preserve">             </w:t>
    </w:r>
  </w:p>
  <w:tbl>
    <w:tblPr>
      <w:tblStyle w:val="PlainTable4"/>
      <w:tblW w:w="0" w:type="auto"/>
      <w:tblLayout w:type="fixed"/>
      <w:tblLook w:val="06A0" w:firstRow="1" w:lastRow="0" w:firstColumn="1" w:lastColumn="0" w:noHBand="1" w:noVBand="1"/>
    </w:tblPr>
    <w:tblGrid>
      <w:gridCol w:w="4538"/>
    </w:tblGrid>
    <w:tr w:rsidR="000377AE" w14:paraId="07F37C55" w14:textId="77777777" w:rsidTr="1A1A1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Pr>
        <w:p w14:paraId="7DFB0522" w14:textId="0C086EF5" w:rsidR="000377AE" w:rsidRPr="004A7089" w:rsidRDefault="000377AE" w:rsidP="1A1A1CC6">
          <w:pPr>
            <w:rPr>
              <w:color w:val="7030A0"/>
            </w:rPr>
          </w:pPr>
          <w:r>
            <w:rPr>
              <w:noProof/>
            </w:rPr>
            <w:drawing>
              <wp:inline distT="0" distB="0" distL="0" distR="0" wp14:anchorId="408D8747" wp14:editId="698AE950">
                <wp:extent cx="2151426" cy="733425"/>
                <wp:effectExtent l="0" t="0" r="0" b="0"/>
                <wp:doc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2">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tc>
    </w:tr>
  </w:tbl>
  <w:p w14:paraId="46DC9A8E" w14:textId="6B4155D8" w:rsidR="1A1A1CC6" w:rsidRDefault="1A1A1CC6" w:rsidP="1A1A1CC6">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428"/>
    <w:multiLevelType w:val="hybridMultilevel"/>
    <w:tmpl w:val="82D6D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558864">
    <w:abstractNumId w:val="1"/>
  </w:num>
  <w:num w:numId="2" w16cid:durableId="139319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DE"/>
    <w:rsid w:val="000377AE"/>
    <w:rsid w:val="00083FC9"/>
    <w:rsid w:val="000D4F71"/>
    <w:rsid w:val="000E4EE5"/>
    <w:rsid w:val="000F59D1"/>
    <w:rsid w:val="00157B87"/>
    <w:rsid w:val="001A0EDE"/>
    <w:rsid w:val="001A4C07"/>
    <w:rsid w:val="001B09B1"/>
    <w:rsid w:val="00257890"/>
    <w:rsid w:val="002A7500"/>
    <w:rsid w:val="002B5496"/>
    <w:rsid w:val="002C04D1"/>
    <w:rsid w:val="002E0018"/>
    <w:rsid w:val="002F623B"/>
    <w:rsid w:val="00302CFE"/>
    <w:rsid w:val="003107C3"/>
    <w:rsid w:val="00325D78"/>
    <w:rsid w:val="00333FE0"/>
    <w:rsid w:val="00340B32"/>
    <w:rsid w:val="003478B6"/>
    <w:rsid w:val="00362F82"/>
    <w:rsid w:val="003A3FFD"/>
    <w:rsid w:val="003C02A2"/>
    <w:rsid w:val="00413166"/>
    <w:rsid w:val="00447BE7"/>
    <w:rsid w:val="004514FF"/>
    <w:rsid w:val="00454AA4"/>
    <w:rsid w:val="004A7089"/>
    <w:rsid w:val="00513DC9"/>
    <w:rsid w:val="00580736"/>
    <w:rsid w:val="005926DB"/>
    <w:rsid w:val="005F731C"/>
    <w:rsid w:val="00600D7F"/>
    <w:rsid w:val="00664D0C"/>
    <w:rsid w:val="0067227B"/>
    <w:rsid w:val="006A143E"/>
    <w:rsid w:val="00767C4D"/>
    <w:rsid w:val="00790CE3"/>
    <w:rsid w:val="00847A98"/>
    <w:rsid w:val="0086648E"/>
    <w:rsid w:val="00895289"/>
    <w:rsid w:val="008A00C7"/>
    <w:rsid w:val="008A79D0"/>
    <w:rsid w:val="008B2878"/>
    <w:rsid w:val="008D2625"/>
    <w:rsid w:val="008F25C6"/>
    <w:rsid w:val="00993286"/>
    <w:rsid w:val="009D2032"/>
    <w:rsid w:val="00A469E8"/>
    <w:rsid w:val="00A72793"/>
    <w:rsid w:val="00AA7E26"/>
    <w:rsid w:val="00AB6A6B"/>
    <w:rsid w:val="00B538CD"/>
    <w:rsid w:val="00B715FE"/>
    <w:rsid w:val="00B90695"/>
    <w:rsid w:val="00BB0A41"/>
    <w:rsid w:val="00BC2DCD"/>
    <w:rsid w:val="00BF72E2"/>
    <w:rsid w:val="00C078A2"/>
    <w:rsid w:val="00C2656A"/>
    <w:rsid w:val="00C440CB"/>
    <w:rsid w:val="00C4786D"/>
    <w:rsid w:val="00C524BF"/>
    <w:rsid w:val="00C754AA"/>
    <w:rsid w:val="00C7775B"/>
    <w:rsid w:val="00CB56F5"/>
    <w:rsid w:val="00CD4800"/>
    <w:rsid w:val="00D214DF"/>
    <w:rsid w:val="00D3424F"/>
    <w:rsid w:val="00D55C0A"/>
    <w:rsid w:val="00D725CF"/>
    <w:rsid w:val="00D93C2C"/>
    <w:rsid w:val="00DA1DC8"/>
    <w:rsid w:val="00DB3558"/>
    <w:rsid w:val="00E0589E"/>
    <w:rsid w:val="00E8111A"/>
    <w:rsid w:val="00EB337F"/>
    <w:rsid w:val="00EC3758"/>
    <w:rsid w:val="00F40F25"/>
    <w:rsid w:val="00F71EBB"/>
    <w:rsid w:val="00FA70D2"/>
    <w:rsid w:val="00FD355E"/>
    <w:rsid w:val="00FD513B"/>
    <w:rsid w:val="00FD5C10"/>
    <w:rsid w:val="0C5ED419"/>
    <w:rsid w:val="1450BDA1"/>
    <w:rsid w:val="1A1A1CC6"/>
    <w:rsid w:val="1FDFAEFA"/>
    <w:rsid w:val="3EFF4C5A"/>
    <w:rsid w:val="409B1CBB"/>
    <w:rsid w:val="4F1B3A1F"/>
    <w:rsid w:val="54F1DB20"/>
    <w:rsid w:val="6B50CEB1"/>
    <w:rsid w:val="6FE13D70"/>
    <w:rsid w:val="7299E082"/>
    <w:rsid w:val="75D18144"/>
    <w:rsid w:val="7A2420FF"/>
    <w:rsid w:val="7CFED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EEF79"/>
  <w15:docId w15:val="{DA42F0F4-82F5-4ACE-A37C-B9AF71F7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 w:type="character" w:customStyle="1" w:styleId="normaltextrun">
    <w:name w:val="normaltextrun"/>
    <w:basedOn w:val="DefaultParagraphFont"/>
    <w:rsid w:val="00A72793"/>
  </w:style>
  <w:style w:type="character" w:customStyle="1" w:styleId="doi">
    <w:name w:val="doi"/>
    <w:basedOn w:val="DefaultParagraphFont"/>
    <w:rsid w:val="00A72793"/>
  </w:style>
  <w:style w:type="character" w:customStyle="1" w:styleId="eop">
    <w:name w:val="eop"/>
    <w:basedOn w:val="DefaultParagraphFont"/>
    <w:rsid w:val="00C2656A"/>
  </w:style>
  <w:style w:type="paragraph" w:styleId="Revision">
    <w:name w:val="Revision"/>
    <w:hidden/>
    <w:uiPriority w:val="99"/>
    <w:semiHidden/>
    <w:rsid w:val="004A70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ralianWomensHealth.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stralianWomens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ihw.gov.au/reports/cancer-screening/ncsp-monitoring-2023/summary" TargetMode="External"/><Relationship Id="rId3" Type="http://schemas.openxmlformats.org/officeDocument/2006/relationships/hyperlink" Target="https://australianwomenshealth.org/resource/sex-and-gender-gaps-in-medicine-and-the-androcentric-history-of-medical-research/" TargetMode="External"/><Relationship Id="rId7" Type="http://schemas.openxmlformats.org/officeDocument/2006/relationships/hyperlink" Target="https://www.aihw.gov.au/reports/mothers-babies/australias-mothers-babies/contents/about" TargetMode="External"/><Relationship Id="rId2" Type="http://schemas.openxmlformats.org/officeDocument/2006/relationships/hyperlink" Target="https://www.pmc.gov.au/resources/national-strategy-achieve-gender-equality-discussion-paper" TargetMode="External"/><Relationship Id="rId1" Type="http://schemas.openxmlformats.org/officeDocument/2006/relationships/hyperlink" Target="https://australianwomenshealth.org/resource/national-preventive-health-strategy-2021-2030/" TargetMode="External"/><Relationship Id="rId6" Type="http://schemas.openxmlformats.org/officeDocument/2006/relationships/hyperlink" Target="https://www.aihw.gov.au/reports/mothers-babies/national-core-maternity-indicators/contents/about" TargetMode="External"/><Relationship Id="rId11" Type="http://schemas.openxmlformats.org/officeDocument/2006/relationships/hyperlink" Target="https://www.abs.gov.au/statistics/standards/standard-sex-gender-variations-sex-characteristics-and-sexual-orientation-variables/latest-release" TargetMode="External"/><Relationship Id="rId5" Type="http://schemas.openxmlformats.org/officeDocument/2006/relationships/hyperlink" Target="https://www.aihw.gov.au/reports/mothers-babies/maternity-models-of-care/contents/about" TargetMode="External"/><Relationship Id="rId10" Type="http://schemas.openxmlformats.org/officeDocument/2006/relationships/hyperlink" Target="https://www.mja.com.au/system/files/issues/218_02/mja251767.pdf" TargetMode="External"/><Relationship Id="rId4" Type="http://schemas.openxmlformats.org/officeDocument/2006/relationships/hyperlink" Target="https://www.ncbi.nlm.nih.gov/pmc/articles/PMC9518796/" TargetMode="External"/><Relationship Id="rId9" Type="http://schemas.openxmlformats.org/officeDocument/2006/relationships/hyperlink" Target="https://www.tandfonline.com/doi/full/10.1080/09581596.2016.12051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_Documen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4" ma:contentTypeDescription="Create a new document." ma:contentTypeScope="" ma:versionID="8ae806bd3aa973fc1a2dd7def0187981">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09155f61caf7c2a0474ef280c069331f"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SharedWithUsers xmlns="5b707c4a-f0af-4a30-ae8a-e74992196a0f">
      <UserInfo>
        <DisplayName/>
        <AccountId xsi:nil="true"/>
        <AccountType/>
      </UserInfo>
    </SharedWithUsers>
    <MediaLengthInSeconds xmlns="153f973e-18e3-4683-9db9-a8b30f12ddca" xsi:nil="true"/>
  </documentManagement>
</p:properties>
</file>

<file path=customXml/itemProps1.xml><?xml version="1.0" encoding="utf-8"?>
<ds:datastoreItem xmlns:ds="http://schemas.openxmlformats.org/officeDocument/2006/customXml" ds:itemID="{CDA187AD-0EDB-4B4C-AC27-3835DA922188}">
  <ds:schemaRefs>
    <ds:schemaRef ds:uri="http://schemas.microsoft.com/sharepoint/v3/contenttype/forms"/>
  </ds:schemaRefs>
</ds:datastoreItem>
</file>

<file path=customXml/itemProps2.xml><?xml version="1.0" encoding="utf-8"?>
<ds:datastoreItem xmlns:ds="http://schemas.openxmlformats.org/officeDocument/2006/customXml" ds:itemID="{37D2BD5F-78EC-49BD-B225-EA5467987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customXml/itemProps4.xml><?xml version="1.0" encoding="utf-8"?>
<ds:datastoreItem xmlns:ds="http://schemas.openxmlformats.org/officeDocument/2006/customXml" ds:itemID="{354A6787-EE38-4415-91C1-925AF946DD56}">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5b707c4a-f0af-4a30-ae8a-e74992196a0f"/>
    <ds:schemaRef ds:uri="153f973e-18e3-4683-9db9-a8b30f12ddca"/>
    <ds:schemaRef ds:uri="http://purl.org/dc/terms/"/>
    <ds:schemaRef ds:uri="http://purl.org/dc/elements/1.1/"/>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brief_Document Style Template</Template>
  <TotalTime>5</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Womens Health Alliance</dc:creator>
  <cp:keywords/>
  <dc:description/>
  <cp:lastModifiedBy>Sienna Aguilar</cp:lastModifiedBy>
  <cp:revision>3</cp:revision>
  <dcterms:created xsi:type="dcterms:W3CDTF">2024-01-22T06:32:00Z</dcterms:created>
  <dcterms:modified xsi:type="dcterms:W3CDTF">2024-01-23T05:19:00Z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