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52D1" w14:textId="431F0069" w:rsidR="00086393" w:rsidRDefault="00235D8B" w:rsidP="7FB9DBF3">
      <w:pPr>
        <w:keepNext/>
        <w:keepLines/>
        <w:pBdr>
          <w:top w:val="nil"/>
          <w:left w:val="nil"/>
          <w:bottom w:val="nil"/>
          <w:right w:val="nil"/>
          <w:between w:val="nil"/>
        </w:pBdr>
        <w:rPr>
          <w:rFonts w:ascii="Rubik" w:eastAsia="Rubik" w:hAnsi="Rubik" w:cs="Rubik"/>
          <w:color w:val="5A006F"/>
          <w:sz w:val="36"/>
          <w:szCs w:val="36"/>
        </w:rPr>
      </w:pPr>
      <w:r w:rsidRPr="00CB1039">
        <w:rPr>
          <w:rFonts w:ascii="Rubik" w:eastAsia="Rubik" w:hAnsi="Rubik" w:cs="Rubik"/>
          <w:color w:val="5A006F"/>
          <w:sz w:val="30"/>
          <w:szCs w:val="30"/>
        </w:rPr>
        <w:t xml:space="preserve">Policy </w:t>
      </w:r>
      <w:r w:rsidR="00E0714D" w:rsidRPr="00CB1039">
        <w:rPr>
          <w:rFonts w:ascii="Rubik" w:eastAsia="Rubik" w:hAnsi="Rubik" w:cs="Rubik"/>
          <w:color w:val="5A006F"/>
          <w:sz w:val="30"/>
          <w:szCs w:val="30"/>
        </w:rPr>
        <w:t>B</w:t>
      </w:r>
      <w:r w:rsidRPr="00CB1039">
        <w:rPr>
          <w:rFonts w:ascii="Rubik" w:eastAsia="Rubik" w:hAnsi="Rubik" w:cs="Rubik"/>
          <w:color w:val="5A006F"/>
          <w:sz w:val="30"/>
          <w:szCs w:val="30"/>
        </w:rPr>
        <w:t>rief</w:t>
      </w:r>
    </w:p>
    <w:p w14:paraId="2616DF4A" w14:textId="2C04923A" w:rsidR="00086393" w:rsidRPr="00CB1039" w:rsidRDefault="00235D8B" w:rsidP="007773FD">
      <w:pPr>
        <w:pStyle w:val="Heading2"/>
        <w:spacing w:after="0"/>
        <w:rPr>
          <w:rFonts w:ascii="Rubik" w:hAnsi="Rubik"/>
        </w:rPr>
      </w:pPr>
      <w:bookmarkStart w:id="0" w:name="_heading=h.gjdgxs" w:colFirst="0" w:colLast="0"/>
      <w:bookmarkEnd w:id="0"/>
      <w:r w:rsidRPr="00CB1039">
        <w:rPr>
          <w:rFonts w:ascii="Rubik" w:hAnsi="Rubik"/>
        </w:rPr>
        <w:t xml:space="preserve">Eliminating </w:t>
      </w:r>
      <w:r w:rsidR="007773FD" w:rsidRPr="00CB1039">
        <w:rPr>
          <w:rFonts w:ascii="Rubik" w:hAnsi="Rubik"/>
        </w:rPr>
        <w:t>G</w:t>
      </w:r>
      <w:r w:rsidRPr="00CB1039">
        <w:rPr>
          <w:rFonts w:ascii="Rubik" w:hAnsi="Rubik"/>
        </w:rPr>
        <w:t xml:space="preserve">endered </w:t>
      </w:r>
      <w:r w:rsidR="007773FD" w:rsidRPr="00CB1039">
        <w:rPr>
          <w:rFonts w:ascii="Rubik" w:hAnsi="Rubik"/>
        </w:rPr>
        <w:t>H</w:t>
      </w:r>
      <w:r w:rsidRPr="00CB1039">
        <w:rPr>
          <w:rFonts w:ascii="Rubik" w:hAnsi="Rubik"/>
        </w:rPr>
        <w:t xml:space="preserve">ealth </w:t>
      </w:r>
      <w:r w:rsidR="007773FD" w:rsidRPr="00CB1039">
        <w:rPr>
          <w:rFonts w:ascii="Rubik" w:hAnsi="Rubik"/>
        </w:rPr>
        <w:t>D</w:t>
      </w:r>
      <w:r w:rsidRPr="00CB1039">
        <w:rPr>
          <w:rFonts w:ascii="Rubik" w:hAnsi="Rubik"/>
        </w:rPr>
        <w:t>iscrimination</w:t>
      </w:r>
    </w:p>
    <w:p w14:paraId="5680D8AC" w14:textId="77777777" w:rsidR="00086393" w:rsidRPr="001361C0" w:rsidRDefault="00086393" w:rsidP="007773FD">
      <w:pPr>
        <w:rPr>
          <w:sz w:val="18"/>
          <w:szCs w:val="18"/>
        </w:rPr>
      </w:pPr>
    </w:p>
    <w:p w14:paraId="28052091" w14:textId="77777777" w:rsidR="00086393" w:rsidRPr="00CB1039" w:rsidRDefault="00235D8B" w:rsidP="007773FD">
      <w:pPr>
        <w:pStyle w:val="Heading3"/>
        <w:rPr>
          <w:rFonts w:ascii="Rubik" w:hAnsi="Rubik" w:cs="Rubik"/>
        </w:rPr>
      </w:pPr>
      <w:r w:rsidRPr="00CB1039">
        <w:rPr>
          <w:rFonts w:ascii="Rubik" w:hAnsi="Rubik" w:cs="Rubik"/>
        </w:rPr>
        <w:t>Key messages</w:t>
      </w:r>
    </w:p>
    <w:p w14:paraId="67BF2B99" w14:textId="77777777" w:rsidR="00086393" w:rsidRPr="005162C9" w:rsidRDefault="00235D8B" w:rsidP="005162C9">
      <w:pPr>
        <w:numPr>
          <w:ilvl w:val="0"/>
          <w:numId w:val="3"/>
        </w:numPr>
        <w:rPr>
          <w:color w:val="000000"/>
          <w:sz w:val="22"/>
          <w:szCs w:val="22"/>
        </w:rPr>
      </w:pPr>
      <w:bookmarkStart w:id="1" w:name="_heading=h.30j0zll"/>
      <w:bookmarkEnd w:id="1"/>
      <w:r w:rsidRPr="5CC59366">
        <w:rPr>
          <w:color w:val="000000" w:themeColor="text1"/>
          <w:sz w:val="22"/>
          <w:szCs w:val="22"/>
        </w:rPr>
        <w:t xml:space="preserve">Gendered discrimination is </w:t>
      </w:r>
      <w:r w:rsidRPr="5CC59366">
        <w:rPr>
          <w:sz w:val="22"/>
          <w:szCs w:val="22"/>
        </w:rPr>
        <w:t xml:space="preserve">a systemic issue </w:t>
      </w:r>
      <w:r w:rsidRPr="5CC59366">
        <w:rPr>
          <w:color w:val="000000" w:themeColor="text1"/>
          <w:sz w:val="22"/>
          <w:szCs w:val="22"/>
        </w:rPr>
        <w:t>within health care delivery and medical research. It occurs on both the interpersonal and institutional level.</w:t>
      </w:r>
    </w:p>
    <w:p w14:paraId="2BF86D04" w14:textId="77777777" w:rsidR="00086393" w:rsidRPr="005162C9" w:rsidRDefault="00235D8B" w:rsidP="005162C9">
      <w:pPr>
        <w:numPr>
          <w:ilvl w:val="0"/>
          <w:numId w:val="3"/>
        </w:numPr>
        <w:rPr>
          <w:color w:val="000000"/>
          <w:sz w:val="22"/>
          <w:szCs w:val="22"/>
        </w:rPr>
      </w:pPr>
      <w:r w:rsidRPr="005162C9">
        <w:rPr>
          <w:color w:val="000000"/>
          <w:sz w:val="22"/>
          <w:szCs w:val="22"/>
        </w:rPr>
        <w:t>G</w:t>
      </w:r>
      <w:r w:rsidRPr="000C5C8B">
        <w:rPr>
          <w:color w:val="000000"/>
          <w:sz w:val="22"/>
          <w:szCs w:val="22"/>
        </w:rPr>
        <w:t>endered health discrimination results in delayed access to care, misdiagnosis, and neglect. These experiences can contribute to poorer mental health outcomes and</w:t>
      </w:r>
      <w:r w:rsidRPr="005162C9">
        <w:rPr>
          <w:color w:val="000000"/>
          <w:sz w:val="22"/>
          <w:szCs w:val="22"/>
        </w:rPr>
        <w:t xml:space="preserve"> medical</w:t>
      </w:r>
      <w:r w:rsidRPr="000C5C8B">
        <w:rPr>
          <w:color w:val="000000"/>
          <w:sz w:val="22"/>
          <w:szCs w:val="22"/>
        </w:rPr>
        <w:t xml:space="preserve"> trauma</w:t>
      </w:r>
      <w:r w:rsidRPr="005162C9">
        <w:rPr>
          <w:color w:val="000000"/>
          <w:sz w:val="22"/>
          <w:szCs w:val="22"/>
        </w:rPr>
        <w:t>.</w:t>
      </w:r>
    </w:p>
    <w:p w14:paraId="747B0386" w14:textId="0F78D0EE" w:rsidR="00086393" w:rsidRPr="005162C9" w:rsidRDefault="00235D8B" w:rsidP="005162C9">
      <w:pPr>
        <w:numPr>
          <w:ilvl w:val="0"/>
          <w:numId w:val="3"/>
        </w:numPr>
        <w:rPr>
          <w:color w:val="000000"/>
          <w:sz w:val="22"/>
          <w:szCs w:val="22"/>
        </w:rPr>
      </w:pPr>
      <w:r w:rsidRPr="5CC59366">
        <w:rPr>
          <w:color w:val="000000" w:themeColor="text1"/>
          <w:sz w:val="22"/>
          <w:szCs w:val="22"/>
        </w:rPr>
        <w:t>Gendered health discrimination can expose women, particularly those who experience intersectional discrimination, to violence within overlapping service systems</w:t>
      </w:r>
      <w:r w:rsidR="00E24653" w:rsidRPr="5CC59366">
        <w:rPr>
          <w:color w:val="000000" w:themeColor="text1"/>
          <w:sz w:val="22"/>
          <w:szCs w:val="22"/>
        </w:rPr>
        <w:t>.</w:t>
      </w:r>
    </w:p>
    <w:p w14:paraId="2E431A0D" w14:textId="4B8A8F10" w:rsidR="00086393" w:rsidRPr="005162C9" w:rsidRDefault="00235D8B" w:rsidP="005162C9">
      <w:pPr>
        <w:numPr>
          <w:ilvl w:val="0"/>
          <w:numId w:val="3"/>
        </w:numPr>
        <w:rPr>
          <w:color w:val="000000"/>
          <w:sz w:val="22"/>
          <w:szCs w:val="22"/>
        </w:rPr>
      </w:pPr>
      <w:r w:rsidRPr="000C5C8B">
        <w:rPr>
          <w:color w:val="000000"/>
          <w:sz w:val="22"/>
          <w:szCs w:val="22"/>
        </w:rPr>
        <w:t>Gendered health discrimination is reinforce</w:t>
      </w:r>
      <w:r w:rsidRPr="005162C9">
        <w:rPr>
          <w:color w:val="000000"/>
          <w:sz w:val="22"/>
          <w:szCs w:val="22"/>
        </w:rPr>
        <w:t>d by</w:t>
      </w:r>
      <w:r w:rsidRPr="000C5C8B">
        <w:rPr>
          <w:color w:val="000000"/>
          <w:sz w:val="22"/>
          <w:szCs w:val="22"/>
        </w:rPr>
        <w:t xml:space="preserve"> </w:t>
      </w:r>
      <w:r w:rsidRPr="005162C9">
        <w:rPr>
          <w:color w:val="000000"/>
          <w:sz w:val="22"/>
          <w:szCs w:val="22"/>
        </w:rPr>
        <w:t xml:space="preserve">gender </w:t>
      </w:r>
      <w:r w:rsidRPr="000C5C8B">
        <w:rPr>
          <w:color w:val="000000"/>
          <w:sz w:val="22"/>
          <w:szCs w:val="22"/>
        </w:rPr>
        <w:t>hierarchies that</w:t>
      </w:r>
      <w:r w:rsidRPr="005162C9">
        <w:rPr>
          <w:color w:val="000000"/>
          <w:sz w:val="22"/>
          <w:szCs w:val="22"/>
        </w:rPr>
        <w:t xml:space="preserve"> result in</w:t>
      </w:r>
      <w:r w:rsidR="00267249" w:rsidRPr="005162C9">
        <w:rPr>
          <w:color w:val="000000"/>
          <w:sz w:val="22"/>
          <w:szCs w:val="22"/>
        </w:rPr>
        <w:t xml:space="preserve"> underfunding of women’s health and research, women’s exclusion from leadership and exploitation of feminised workforces</w:t>
      </w:r>
      <w:r w:rsidR="00E24653" w:rsidRPr="005162C9">
        <w:rPr>
          <w:color w:val="000000"/>
          <w:sz w:val="22"/>
          <w:szCs w:val="22"/>
        </w:rPr>
        <w:t>.</w:t>
      </w:r>
    </w:p>
    <w:p w14:paraId="5F4B2DA0" w14:textId="6B671593" w:rsidR="00086393" w:rsidRDefault="00235D8B" w:rsidP="005162C9">
      <w:pPr>
        <w:numPr>
          <w:ilvl w:val="0"/>
          <w:numId w:val="3"/>
        </w:numPr>
        <w:rPr>
          <w:color w:val="000000"/>
          <w:sz w:val="22"/>
          <w:szCs w:val="22"/>
        </w:rPr>
      </w:pPr>
      <w:r w:rsidRPr="005162C9">
        <w:rPr>
          <w:color w:val="000000"/>
          <w:sz w:val="22"/>
          <w:szCs w:val="22"/>
        </w:rPr>
        <w:t>Adhering to anti-discrimination practice and e</w:t>
      </w:r>
      <w:r w:rsidRPr="000C5C8B">
        <w:rPr>
          <w:color w:val="000000"/>
          <w:sz w:val="22"/>
          <w:szCs w:val="22"/>
        </w:rPr>
        <w:t xml:space="preserve">nsuring </w:t>
      </w:r>
      <w:r w:rsidRPr="005162C9">
        <w:rPr>
          <w:color w:val="000000"/>
          <w:sz w:val="22"/>
          <w:szCs w:val="22"/>
        </w:rPr>
        <w:t>all</w:t>
      </w:r>
      <w:r w:rsidRPr="000C5C8B">
        <w:rPr>
          <w:color w:val="000000"/>
          <w:sz w:val="22"/>
          <w:szCs w:val="22"/>
        </w:rPr>
        <w:t xml:space="preserve"> women and gender diverse people can access respectful, evidence-based, culturally responsive</w:t>
      </w:r>
      <w:r w:rsidR="00267249" w:rsidRPr="000C5C8B">
        <w:rPr>
          <w:color w:val="000000"/>
          <w:sz w:val="22"/>
          <w:szCs w:val="22"/>
        </w:rPr>
        <w:t xml:space="preserve"> and</w:t>
      </w:r>
      <w:r w:rsidRPr="000C5C8B">
        <w:rPr>
          <w:color w:val="000000"/>
          <w:sz w:val="22"/>
          <w:szCs w:val="22"/>
        </w:rPr>
        <w:t xml:space="preserve"> trauma health care is critical to preventive health</w:t>
      </w:r>
      <w:r w:rsidR="009E7337" w:rsidRPr="000C5C8B">
        <w:rPr>
          <w:color w:val="000000"/>
          <w:sz w:val="22"/>
          <w:szCs w:val="22"/>
        </w:rPr>
        <w:t>.</w:t>
      </w:r>
      <w:r w:rsidRPr="000C5C8B">
        <w:rPr>
          <w:color w:val="000000"/>
          <w:sz w:val="22"/>
          <w:szCs w:val="22"/>
        </w:rPr>
        <w:t xml:space="preserve"> </w:t>
      </w:r>
    </w:p>
    <w:p w14:paraId="7A881387" w14:textId="77777777" w:rsidR="005162C9" w:rsidRPr="0014698F" w:rsidRDefault="005162C9" w:rsidP="005162C9">
      <w:pPr>
        <w:rPr>
          <w:color w:val="000000"/>
        </w:rPr>
      </w:pPr>
    </w:p>
    <w:p w14:paraId="62224936" w14:textId="7AC40038" w:rsidR="00086393" w:rsidRPr="00CB1039" w:rsidRDefault="00235D8B" w:rsidP="007773FD">
      <w:pPr>
        <w:pStyle w:val="Heading3"/>
        <w:rPr>
          <w:rFonts w:ascii="Rubik" w:hAnsi="Rubik" w:cs="Rubik"/>
        </w:rPr>
      </w:pPr>
      <w:bookmarkStart w:id="2" w:name="_heading=h.1fob9te" w:colFirst="0" w:colLast="0"/>
      <w:bookmarkEnd w:id="2"/>
      <w:r w:rsidRPr="00CB1039">
        <w:rPr>
          <w:rFonts w:ascii="Rubik" w:hAnsi="Rubik" w:cs="Rubik"/>
        </w:rPr>
        <w:t xml:space="preserve">Purpose of this brief </w:t>
      </w:r>
    </w:p>
    <w:p w14:paraId="585F80A5" w14:textId="630091DE" w:rsidR="00086393" w:rsidRDefault="00235D8B" w:rsidP="007773FD">
      <w:pPr>
        <w:rPr>
          <w:sz w:val="22"/>
          <w:szCs w:val="22"/>
        </w:rPr>
      </w:pPr>
      <w:r>
        <w:rPr>
          <w:sz w:val="22"/>
          <w:szCs w:val="22"/>
        </w:rPr>
        <w:t>Australian Women’s Health Alliance works to articulate the policies and actions necessary to improve health outcomes for women. Th</w:t>
      </w:r>
      <w:r w:rsidR="005215D3">
        <w:rPr>
          <w:sz w:val="22"/>
          <w:szCs w:val="22"/>
        </w:rPr>
        <w:t>is</w:t>
      </w:r>
      <w:r>
        <w:rPr>
          <w:sz w:val="22"/>
          <w:szCs w:val="22"/>
        </w:rPr>
        <w:t xml:space="preserve"> brief </w:t>
      </w:r>
      <w:r w:rsidR="00C80C67">
        <w:rPr>
          <w:sz w:val="22"/>
          <w:szCs w:val="22"/>
        </w:rPr>
        <w:t>applies</w:t>
      </w:r>
      <w:r>
        <w:rPr>
          <w:sz w:val="22"/>
          <w:szCs w:val="22"/>
        </w:rPr>
        <w:t xml:space="preserve"> a gender</w:t>
      </w:r>
      <w:r w:rsidR="00B54024">
        <w:rPr>
          <w:sz w:val="22"/>
          <w:szCs w:val="22"/>
        </w:rPr>
        <w:t>ed</w:t>
      </w:r>
      <w:r>
        <w:rPr>
          <w:sz w:val="22"/>
          <w:szCs w:val="22"/>
        </w:rPr>
        <w:t xml:space="preserve"> lens to </w:t>
      </w:r>
      <w:r w:rsidR="0032639E">
        <w:rPr>
          <w:sz w:val="22"/>
          <w:szCs w:val="22"/>
        </w:rPr>
        <w:t xml:space="preserve">discrimination in </w:t>
      </w:r>
      <w:r>
        <w:rPr>
          <w:sz w:val="22"/>
          <w:szCs w:val="22"/>
        </w:rPr>
        <w:t xml:space="preserve">health care to inform policy, </w:t>
      </w:r>
      <w:proofErr w:type="gramStart"/>
      <w:r>
        <w:rPr>
          <w:sz w:val="22"/>
          <w:szCs w:val="22"/>
        </w:rPr>
        <w:t>strategy</w:t>
      </w:r>
      <w:proofErr w:type="gramEnd"/>
      <w:r>
        <w:rPr>
          <w:sz w:val="22"/>
          <w:szCs w:val="22"/>
        </w:rPr>
        <w:t xml:space="preserve"> and practice</w:t>
      </w:r>
      <w:r w:rsidR="00F91117">
        <w:rPr>
          <w:sz w:val="22"/>
          <w:szCs w:val="22"/>
        </w:rPr>
        <w:t>. It is</w:t>
      </w:r>
      <w:r>
        <w:rPr>
          <w:sz w:val="22"/>
          <w:szCs w:val="22"/>
        </w:rPr>
        <w:t xml:space="preserve"> applicable in all jurisdictions. </w:t>
      </w:r>
    </w:p>
    <w:p w14:paraId="62D72696" w14:textId="77777777" w:rsidR="00086393" w:rsidRDefault="00086393" w:rsidP="007773FD">
      <w:pPr>
        <w:rPr>
          <w:sz w:val="22"/>
          <w:szCs w:val="22"/>
        </w:rPr>
      </w:pPr>
    </w:p>
    <w:p w14:paraId="357F8167" w14:textId="5BABA28F" w:rsidR="007773FD" w:rsidRDefault="00235D8B" w:rsidP="007773FD">
      <w:pPr>
        <w:rPr>
          <w:sz w:val="22"/>
          <w:szCs w:val="22"/>
        </w:rPr>
      </w:pPr>
      <w:r>
        <w:rPr>
          <w:sz w:val="22"/>
          <w:szCs w:val="22"/>
        </w:rPr>
        <w:t xml:space="preserve">Gendered health discrimination </w:t>
      </w:r>
      <w:r w:rsidR="00F91117">
        <w:rPr>
          <w:sz w:val="22"/>
          <w:szCs w:val="22"/>
        </w:rPr>
        <w:t>has</w:t>
      </w:r>
      <w:r>
        <w:rPr>
          <w:sz w:val="22"/>
          <w:szCs w:val="22"/>
        </w:rPr>
        <w:t xml:space="preserve"> a profound effect on all aspects of health and wellbeing.</w:t>
      </w:r>
      <w:r w:rsidR="007773FD">
        <w:rPr>
          <w:sz w:val="22"/>
          <w:szCs w:val="22"/>
          <w:vertAlign w:val="superscript"/>
        </w:rPr>
        <w:endnoteReference w:id="1"/>
      </w:r>
      <w:r w:rsidR="007773FD">
        <w:rPr>
          <w:sz w:val="22"/>
          <w:szCs w:val="22"/>
        </w:rPr>
        <w:t xml:space="preserve"> Recognising gendered discrimination within the health care system and collecting evidence of the extent and impacts of this form of discrimination is key to its elimination. For the</w:t>
      </w:r>
      <w:r w:rsidR="007773FD">
        <w:rPr>
          <w:i/>
          <w:sz w:val="22"/>
          <w:szCs w:val="22"/>
        </w:rPr>
        <w:t xml:space="preserve"> </w:t>
      </w:r>
      <w:r w:rsidR="007773FD" w:rsidRPr="0039702E">
        <w:rPr>
          <w:i/>
          <w:sz w:val="22"/>
          <w:szCs w:val="22"/>
        </w:rPr>
        <w:t>National Preventive Health Strategy 2021-2030</w:t>
      </w:r>
      <w:r w:rsidR="007773FD">
        <w:rPr>
          <w:sz w:val="22"/>
          <w:szCs w:val="22"/>
        </w:rPr>
        <w:t xml:space="preserve"> (NPHS), the </w:t>
      </w:r>
      <w:r w:rsidR="007773FD" w:rsidRPr="0039702E">
        <w:rPr>
          <w:i/>
          <w:sz w:val="22"/>
          <w:szCs w:val="22"/>
        </w:rPr>
        <w:t>National Women’s Health Strategy 2020-2030</w:t>
      </w:r>
      <w:r w:rsidR="007773FD">
        <w:rPr>
          <w:sz w:val="22"/>
          <w:szCs w:val="22"/>
        </w:rPr>
        <w:t xml:space="preserve"> (NWHS) and related policies to make meaningful progress towards eliminating gendered health discrimination, policymakers must broaden their knowledge and evidence base of the systemic inequities faced by women and gender diverse people seeking health care.</w:t>
      </w:r>
      <w:r w:rsidR="003A78E7">
        <w:rPr>
          <w:sz w:val="22"/>
          <w:szCs w:val="22"/>
        </w:rPr>
        <w:t xml:space="preserve"> B</w:t>
      </w:r>
      <w:r w:rsidR="000C5C8B" w:rsidRPr="000C5C8B">
        <w:rPr>
          <w:sz w:val="22"/>
          <w:szCs w:val="22"/>
        </w:rPr>
        <w:t>uild</w:t>
      </w:r>
      <w:r w:rsidR="003A78E7">
        <w:rPr>
          <w:sz w:val="22"/>
          <w:szCs w:val="22"/>
        </w:rPr>
        <w:t>ing</w:t>
      </w:r>
      <w:r w:rsidR="000C5C8B" w:rsidRPr="000C5C8B">
        <w:rPr>
          <w:sz w:val="22"/>
          <w:szCs w:val="22"/>
        </w:rPr>
        <w:t xml:space="preserve"> a deeper understanding of how gendered discrimination operates in health care delivery and medical research</w:t>
      </w:r>
      <w:r w:rsidR="003A78E7">
        <w:rPr>
          <w:sz w:val="22"/>
          <w:szCs w:val="22"/>
        </w:rPr>
        <w:t xml:space="preserve"> can</w:t>
      </w:r>
      <w:r w:rsidR="000C5C8B" w:rsidRPr="000C5C8B">
        <w:rPr>
          <w:sz w:val="22"/>
          <w:szCs w:val="22"/>
        </w:rPr>
        <w:t xml:space="preserve"> inform implementation and strengthen capacity in the health system to provide more equitable care and work</w:t>
      </w:r>
      <w:r w:rsidR="000C5C8B">
        <w:rPr>
          <w:sz w:val="22"/>
          <w:szCs w:val="22"/>
        </w:rPr>
        <w:t xml:space="preserve"> </w:t>
      </w:r>
      <w:r w:rsidR="007773FD" w:rsidRPr="000C5C8B">
        <w:rPr>
          <w:sz w:val="22"/>
          <w:szCs w:val="22"/>
        </w:rPr>
        <w:t>conditions.</w:t>
      </w:r>
      <w:r w:rsidR="007773FD" w:rsidRPr="000C5C8B">
        <w:rPr>
          <w:sz w:val="22"/>
          <w:szCs w:val="22"/>
          <w:vertAlign w:val="superscript"/>
        </w:rPr>
        <w:endnoteReference w:id="2"/>
      </w:r>
    </w:p>
    <w:p w14:paraId="4476C9CC" w14:textId="77777777" w:rsidR="007773FD" w:rsidRDefault="007773FD" w:rsidP="000C5C8B">
      <w:bookmarkStart w:id="3" w:name="_heading=h.3znysh7" w:colFirst="0" w:colLast="0"/>
      <w:bookmarkEnd w:id="3"/>
    </w:p>
    <w:p w14:paraId="77941698" w14:textId="735058AE" w:rsidR="007773FD" w:rsidRPr="00CB1039" w:rsidRDefault="007773FD" w:rsidP="007773FD">
      <w:pPr>
        <w:pStyle w:val="Heading3"/>
        <w:rPr>
          <w:rFonts w:ascii="Rubik" w:hAnsi="Rubik" w:cs="Rubik"/>
        </w:rPr>
      </w:pPr>
      <w:r w:rsidRPr="00CB1039">
        <w:rPr>
          <w:rFonts w:ascii="Rubik" w:hAnsi="Rubik" w:cs="Rubik"/>
        </w:rPr>
        <w:t>Why put an intersectional gender</w:t>
      </w:r>
      <w:r w:rsidR="00C218C1" w:rsidRPr="00CB1039">
        <w:rPr>
          <w:rFonts w:ascii="Rubik" w:hAnsi="Rubik" w:cs="Rubik"/>
        </w:rPr>
        <w:t>ed</w:t>
      </w:r>
      <w:r w:rsidRPr="00CB1039">
        <w:rPr>
          <w:rFonts w:ascii="Rubik" w:hAnsi="Rubik" w:cs="Rubik"/>
        </w:rPr>
        <w:t xml:space="preserve"> lens on health discrimination?</w:t>
      </w:r>
    </w:p>
    <w:p w14:paraId="5910F061" w14:textId="6AB543E0" w:rsidR="007773FD" w:rsidRDefault="007773FD" w:rsidP="007773FD">
      <w:pPr>
        <w:rPr>
          <w:sz w:val="22"/>
          <w:szCs w:val="22"/>
        </w:rPr>
      </w:pPr>
      <w:r>
        <w:rPr>
          <w:sz w:val="22"/>
          <w:szCs w:val="22"/>
        </w:rPr>
        <w:t xml:space="preserve">Gender </w:t>
      </w:r>
      <w:r w:rsidR="00267249">
        <w:rPr>
          <w:sz w:val="22"/>
          <w:szCs w:val="22"/>
        </w:rPr>
        <w:t xml:space="preserve">is </w:t>
      </w:r>
      <w:r>
        <w:rPr>
          <w:sz w:val="22"/>
          <w:szCs w:val="22"/>
        </w:rPr>
        <w:t>a significant determinant of health, leading to different experiences and outcomes for women and gender diverse people.</w:t>
      </w:r>
      <w:r>
        <w:rPr>
          <w:sz w:val="22"/>
          <w:szCs w:val="22"/>
          <w:vertAlign w:val="superscript"/>
        </w:rPr>
        <w:endnoteReference w:id="3"/>
      </w:r>
      <w:r>
        <w:rPr>
          <w:sz w:val="22"/>
          <w:szCs w:val="22"/>
        </w:rPr>
        <w:t xml:space="preserve"> Growing evidence continues to expose the systemic nature of gendered discrimination within the health care system, </w:t>
      </w:r>
      <w:r w:rsidR="009C288E">
        <w:rPr>
          <w:sz w:val="22"/>
          <w:szCs w:val="22"/>
        </w:rPr>
        <w:t xml:space="preserve">revealing </w:t>
      </w:r>
      <w:r>
        <w:rPr>
          <w:sz w:val="22"/>
          <w:szCs w:val="22"/>
        </w:rPr>
        <w:t>why women often suffer poorer health outcomes.</w:t>
      </w:r>
      <w:r>
        <w:rPr>
          <w:sz w:val="22"/>
          <w:szCs w:val="22"/>
          <w:vertAlign w:val="superscript"/>
        </w:rPr>
        <w:endnoteReference w:id="4"/>
      </w:r>
      <w:r w:rsidR="00FA1DCE">
        <w:rPr>
          <w:sz w:val="22"/>
          <w:szCs w:val="22"/>
        </w:rPr>
        <w:t xml:space="preserve"> </w:t>
      </w:r>
      <w:r>
        <w:rPr>
          <w:sz w:val="22"/>
          <w:szCs w:val="22"/>
        </w:rPr>
        <w:t>Placing an intersectional gender lens on health discrimination recognise</w:t>
      </w:r>
      <w:r w:rsidR="00D71EDF">
        <w:rPr>
          <w:sz w:val="22"/>
          <w:szCs w:val="22"/>
        </w:rPr>
        <w:t>s</w:t>
      </w:r>
      <w:r>
        <w:rPr>
          <w:sz w:val="22"/>
          <w:szCs w:val="22"/>
        </w:rPr>
        <w:t xml:space="preserve"> how power and hierarchy manifest in health systems in ways that m</w:t>
      </w:r>
      <w:r w:rsidR="009C288E">
        <w:rPr>
          <w:sz w:val="22"/>
          <w:szCs w:val="22"/>
        </w:rPr>
        <w:t>ean</w:t>
      </w:r>
      <w:r>
        <w:rPr>
          <w:sz w:val="22"/>
          <w:szCs w:val="22"/>
        </w:rPr>
        <w:t xml:space="preserve"> some people </w:t>
      </w:r>
      <w:r w:rsidR="009C288E">
        <w:rPr>
          <w:sz w:val="22"/>
          <w:szCs w:val="22"/>
        </w:rPr>
        <w:t xml:space="preserve">are </w:t>
      </w:r>
      <w:r>
        <w:rPr>
          <w:sz w:val="22"/>
          <w:szCs w:val="22"/>
        </w:rPr>
        <w:t>more likely to gain benefit, be supported, and advanced, while others are more likely to be marginalised, disempowered or harmed.</w:t>
      </w:r>
      <w:r>
        <w:rPr>
          <w:sz w:val="22"/>
          <w:szCs w:val="22"/>
          <w:vertAlign w:val="superscript"/>
        </w:rPr>
        <w:endnoteReference w:id="5"/>
      </w:r>
      <w:r>
        <w:rPr>
          <w:sz w:val="22"/>
          <w:szCs w:val="22"/>
        </w:rPr>
        <w:t xml:space="preserve"> This lens can be used to understand the compounding discrimination </w:t>
      </w:r>
      <w:r>
        <w:rPr>
          <w:sz w:val="22"/>
          <w:szCs w:val="22"/>
        </w:rPr>
        <w:lastRenderedPageBreak/>
        <w:t>specific communities of women face within the health care system highlighting, for example, the specific forms of discrimination First Nations women with disabilit</w:t>
      </w:r>
      <w:r w:rsidR="00912D03">
        <w:rPr>
          <w:sz w:val="22"/>
          <w:szCs w:val="22"/>
        </w:rPr>
        <w:t>y</w:t>
      </w:r>
      <w:r>
        <w:rPr>
          <w:sz w:val="22"/>
          <w:szCs w:val="22"/>
        </w:rPr>
        <w:t xml:space="preserve"> face as a result of racism, sexism and ableism</w:t>
      </w:r>
      <w:r w:rsidR="00D11775">
        <w:rPr>
          <w:sz w:val="22"/>
          <w:szCs w:val="22"/>
        </w:rPr>
        <w:t>,</w:t>
      </w:r>
      <w:r>
        <w:rPr>
          <w:sz w:val="22"/>
          <w:szCs w:val="22"/>
          <w:vertAlign w:val="superscript"/>
        </w:rPr>
        <w:endnoteReference w:id="6"/>
      </w:r>
      <w:r>
        <w:rPr>
          <w:sz w:val="22"/>
          <w:szCs w:val="22"/>
        </w:rPr>
        <w:t xml:space="preserve"> as well as the interpersonal and institutional nature of gendered health discrimination.</w:t>
      </w:r>
      <w:r>
        <w:rPr>
          <w:sz w:val="22"/>
          <w:szCs w:val="22"/>
          <w:vertAlign w:val="superscript"/>
        </w:rPr>
        <w:endnoteReference w:id="7"/>
      </w:r>
    </w:p>
    <w:p w14:paraId="79E2AE59" w14:textId="77777777" w:rsidR="007773FD" w:rsidRPr="0014698F" w:rsidRDefault="007773FD" w:rsidP="007773FD"/>
    <w:p w14:paraId="084788DE" w14:textId="77777777" w:rsidR="007773FD" w:rsidRPr="00CB1039" w:rsidRDefault="007773FD" w:rsidP="007773FD">
      <w:pPr>
        <w:pStyle w:val="Heading3"/>
        <w:rPr>
          <w:rFonts w:ascii="Rubik" w:hAnsi="Rubik" w:cs="Rubik"/>
        </w:rPr>
      </w:pPr>
      <w:r w:rsidRPr="00CB1039">
        <w:rPr>
          <w:rFonts w:ascii="Rubik" w:hAnsi="Rubik" w:cs="Rubik"/>
        </w:rPr>
        <w:t xml:space="preserve">What does </w:t>
      </w:r>
      <w:proofErr w:type="gramStart"/>
      <w:r w:rsidRPr="00CB1039">
        <w:rPr>
          <w:rFonts w:ascii="Rubik" w:hAnsi="Rubik" w:cs="Rubik"/>
        </w:rPr>
        <w:t>gendered</w:t>
      </w:r>
      <w:proofErr w:type="gramEnd"/>
      <w:r w:rsidRPr="00CB1039">
        <w:rPr>
          <w:rFonts w:ascii="Rubik" w:hAnsi="Rubik" w:cs="Rubik"/>
        </w:rPr>
        <w:t xml:space="preserve"> health discrimination look like?</w:t>
      </w:r>
    </w:p>
    <w:p w14:paraId="3B5A5BEE" w14:textId="4CC64E4C" w:rsidR="007773FD" w:rsidRDefault="007773FD" w:rsidP="007773FD">
      <w:pPr>
        <w:rPr>
          <w:sz w:val="22"/>
          <w:szCs w:val="22"/>
        </w:rPr>
      </w:pPr>
      <w:r>
        <w:rPr>
          <w:sz w:val="22"/>
          <w:szCs w:val="22"/>
        </w:rPr>
        <w:t>Discrimination in health</w:t>
      </w:r>
      <w:r w:rsidRPr="5CC59366">
        <w:rPr>
          <w:sz w:val="22"/>
          <w:szCs w:val="22"/>
        </w:rPr>
        <w:t xml:space="preserve"> </w:t>
      </w:r>
      <w:r>
        <w:rPr>
          <w:sz w:val="22"/>
          <w:szCs w:val="22"/>
        </w:rPr>
        <w:t>care settings takes many forms and often involves denying an individual or group access to</w:t>
      </w:r>
      <w:r w:rsidR="00912D03">
        <w:rPr>
          <w:sz w:val="22"/>
          <w:szCs w:val="22"/>
        </w:rPr>
        <w:t xml:space="preserve"> </w:t>
      </w:r>
      <w:r w:rsidR="51C05A62">
        <w:rPr>
          <w:sz w:val="22"/>
          <w:szCs w:val="22"/>
        </w:rPr>
        <w:t xml:space="preserve">diagnoses, treatment or </w:t>
      </w:r>
      <w:r>
        <w:rPr>
          <w:sz w:val="22"/>
          <w:szCs w:val="22"/>
        </w:rPr>
        <w:t>services.</w:t>
      </w:r>
      <w:r>
        <w:rPr>
          <w:sz w:val="22"/>
          <w:szCs w:val="22"/>
          <w:vertAlign w:val="superscript"/>
        </w:rPr>
        <w:endnoteReference w:id="8"/>
      </w:r>
      <w:r>
        <w:rPr>
          <w:sz w:val="22"/>
          <w:szCs w:val="22"/>
        </w:rPr>
        <w:t xml:space="preserve"> </w:t>
      </w:r>
      <w:r w:rsidRPr="00814FF4">
        <w:rPr>
          <w:sz w:val="22"/>
          <w:szCs w:val="22"/>
        </w:rPr>
        <w:t>It also occur</w:t>
      </w:r>
      <w:r w:rsidR="00BF5E98" w:rsidRPr="00814FF4">
        <w:rPr>
          <w:sz w:val="22"/>
          <w:szCs w:val="22"/>
        </w:rPr>
        <w:t>s</w:t>
      </w:r>
      <w:r w:rsidRPr="00814FF4">
        <w:rPr>
          <w:sz w:val="22"/>
          <w:szCs w:val="22"/>
        </w:rPr>
        <w:t xml:space="preserve"> through denial of services that are only needed by certain </w:t>
      </w:r>
      <w:r w:rsidR="00814FF4">
        <w:rPr>
          <w:sz w:val="22"/>
          <w:szCs w:val="22"/>
        </w:rPr>
        <w:t>groups</w:t>
      </w:r>
      <w:r w:rsidRPr="00814FF4">
        <w:rPr>
          <w:sz w:val="22"/>
          <w:szCs w:val="22"/>
        </w:rPr>
        <w:t>.</w:t>
      </w:r>
      <w:r w:rsidRPr="00814FF4">
        <w:rPr>
          <w:sz w:val="22"/>
          <w:szCs w:val="22"/>
          <w:vertAlign w:val="superscript"/>
        </w:rPr>
        <w:endnoteReference w:id="9"/>
      </w:r>
      <w:r>
        <w:rPr>
          <w:sz w:val="22"/>
          <w:szCs w:val="22"/>
        </w:rPr>
        <w:t xml:space="preserve"> Restrictive gender norms and biases reinforced within health care systems frequently result in experiences of gendered health discrimination</w:t>
      </w:r>
      <w:r w:rsidR="00BF5E98">
        <w:rPr>
          <w:sz w:val="22"/>
          <w:szCs w:val="22"/>
        </w:rPr>
        <w:t>,</w:t>
      </w:r>
      <w:r>
        <w:rPr>
          <w:sz w:val="22"/>
          <w:szCs w:val="22"/>
          <w:vertAlign w:val="superscript"/>
        </w:rPr>
        <w:endnoteReference w:id="10"/>
      </w:r>
      <w:r>
        <w:rPr>
          <w:sz w:val="22"/>
          <w:szCs w:val="22"/>
        </w:rPr>
        <w:t xml:space="preserve"> with women being subject to</w:t>
      </w:r>
      <w:r w:rsidR="29B3641D">
        <w:rPr>
          <w:sz w:val="22"/>
          <w:szCs w:val="22"/>
        </w:rPr>
        <w:t>:</w:t>
      </w:r>
      <w:r>
        <w:rPr>
          <w:sz w:val="22"/>
          <w:szCs w:val="22"/>
        </w:rPr>
        <w:t xml:space="preserve"> </w:t>
      </w:r>
      <w:r w:rsidR="00D06CCB">
        <w:rPr>
          <w:sz w:val="22"/>
          <w:szCs w:val="22"/>
        </w:rPr>
        <w:t xml:space="preserve">delayed or </w:t>
      </w:r>
      <w:r w:rsidR="612E70BE">
        <w:rPr>
          <w:sz w:val="22"/>
          <w:szCs w:val="22"/>
        </w:rPr>
        <w:t xml:space="preserve">misdiagnoses, </w:t>
      </w:r>
      <w:r>
        <w:rPr>
          <w:sz w:val="22"/>
          <w:szCs w:val="22"/>
        </w:rPr>
        <w:t>dismissal of their pain and symptoms, physical and verbal abuse or violence, involuntary treatment, institutionalisation, breaches of bodily autonomy, breaches of confidentiality and/or denial of autonomous decision-making, and lack of free and informed consent.</w:t>
      </w:r>
      <w:r>
        <w:rPr>
          <w:sz w:val="22"/>
          <w:szCs w:val="22"/>
          <w:vertAlign w:val="superscript"/>
        </w:rPr>
        <w:endnoteReference w:id="11"/>
      </w:r>
      <w:r>
        <w:rPr>
          <w:sz w:val="22"/>
          <w:szCs w:val="22"/>
        </w:rPr>
        <w:t xml:space="preserve"> </w:t>
      </w:r>
    </w:p>
    <w:p w14:paraId="59450C22" w14:textId="77777777" w:rsidR="007773FD" w:rsidRDefault="007773FD" w:rsidP="007773FD">
      <w:pPr>
        <w:rPr>
          <w:sz w:val="22"/>
          <w:szCs w:val="22"/>
        </w:rPr>
      </w:pPr>
    </w:p>
    <w:p w14:paraId="1485848B" w14:textId="5054B0BF" w:rsidR="007773FD" w:rsidRDefault="007773FD" w:rsidP="007773FD">
      <w:pPr>
        <w:rPr>
          <w:sz w:val="22"/>
          <w:szCs w:val="22"/>
          <w:vertAlign w:val="superscript"/>
        </w:rPr>
      </w:pPr>
      <w:r>
        <w:rPr>
          <w:sz w:val="22"/>
          <w:szCs w:val="22"/>
        </w:rPr>
        <w:t xml:space="preserve">Gendered health discrimination on the interpersonal level </w:t>
      </w:r>
      <w:r>
        <w:rPr>
          <w:color w:val="000000"/>
          <w:sz w:val="22"/>
          <w:szCs w:val="22"/>
        </w:rPr>
        <w:t>can result in delayed access to care, misdiagnosis, and neglect</w:t>
      </w:r>
      <w:r>
        <w:rPr>
          <w:sz w:val="22"/>
          <w:szCs w:val="22"/>
        </w:rPr>
        <w:t xml:space="preserve">, </w:t>
      </w:r>
      <w:r>
        <w:rPr>
          <w:color w:val="000000"/>
          <w:sz w:val="22"/>
          <w:szCs w:val="22"/>
        </w:rPr>
        <w:t>and is linked to poorer mental health outcomes and</w:t>
      </w:r>
      <w:r>
        <w:rPr>
          <w:sz w:val="22"/>
          <w:szCs w:val="22"/>
        </w:rPr>
        <w:t xml:space="preserve"> experiences of medical </w:t>
      </w:r>
      <w:r>
        <w:rPr>
          <w:color w:val="000000"/>
          <w:sz w:val="22"/>
          <w:szCs w:val="22"/>
        </w:rPr>
        <w:t>traum</w:t>
      </w:r>
      <w:r>
        <w:rPr>
          <w:sz w:val="22"/>
          <w:szCs w:val="22"/>
        </w:rPr>
        <w:t>a. Medical trauma refers to the developmental, physical, existential, relational, occupational, emotional and spiritual impacts a person experiences in response to pain, injury, illness, medical procedures and discriminatory treatment within medical settings</w:t>
      </w:r>
      <w:r w:rsidR="009B5DB5">
        <w:rPr>
          <w:sz w:val="22"/>
          <w:szCs w:val="22"/>
        </w:rPr>
        <w:t>, such as obstetric violence</w:t>
      </w:r>
      <w:r>
        <w:rPr>
          <w:sz w:val="22"/>
          <w:szCs w:val="22"/>
        </w:rPr>
        <w:t>.</w:t>
      </w:r>
      <w:r>
        <w:rPr>
          <w:sz w:val="22"/>
          <w:szCs w:val="22"/>
          <w:vertAlign w:val="superscript"/>
        </w:rPr>
        <w:endnoteReference w:id="12"/>
      </w:r>
      <w:r>
        <w:rPr>
          <w:sz w:val="22"/>
          <w:szCs w:val="22"/>
        </w:rPr>
        <w:t xml:space="preserve"> Medical trauma can significantly impact women’s future interactions with services and dissuade health seeking behaviour.</w:t>
      </w:r>
      <w:r>
        <w:rPr>
          <w:sz w:val="22"/>
          <w:szCs w:val="22"/>
          <w:vertAlign w:val="superscript"/>
        </w:rPr>
        <w:endnoteReference w:id="13"/>
      </w:r>
      <w:r>
        <w:rPr>
          <w:sz w:val="22"/>
          <w:szCs w:val="22"/>
          <w:vertAlign w:val="superscript"/>
        </w:rPr>
        <w:t xml:space="preserve">  </w:t>
      </w:r>
      <w:r>
        <w:rPr>
          <w:color w:val="000000"/>
          <w:sz w:val="22"/>
          <w:szCs w:val="22"/>
        </w:rPr>
        <w:t>I</w:t>
      </w:r>
      <w:r>
        <w:rPr>
          <w:sz w:val="22"/>
          <w:szCs w:val="22"/>
        </w:rPr>
        <w:t>t can also expose women to violence within overlapping services, such as the family policing system, also known as the child removal/welfare system.</w:t>
      </w:r>
      <w:r>
        <w:rPr>
          <w:sz w:val="22"/>
          <w:szCs w:val="22"/>
          <w:vertAlign w:val="superscript"/>
        </w:rPr>
        <w:endnoteReference w:id="14"/>
      </w:r>
      <w:r>
        <w:rPr>
          <w:sz w:val="22"/>
          <w:szCs w:val="22"/>
        </w:rPr>
        <w:t xml:space="preserve"> </w:t>
      </w:r>
    </w:p>
    <w:p w14:paraId="613A7C1F" w14:textId="77777777" w:rsidR="007773FD" w:rsidRDefault="007773FD" w:rsidP="007773FD">
      <w:pPr>
        <w:pBdr>
          <w:top w:val="nil"/>
          <w:left w:val="nil"/>
          <w:bottom w:val="nil"/>
          <w:right w:val="nil"/>
          <w:between w:val="nil"/>
        </w:pBdr>
        <w:spacing w:line="240" w:lineRule="auto"/>
        <w:rPr>
          <w:sz w:val="22"/>
          <w:szCs w:val="22"/>
        </w:rPr>
      </w:pPr>
    </w:p>
    <w:p w14:paraId="1BB890DF" w14:textId="40315364" w:rsidR="00086393" w:rsidRDefault="007773FD" w:rsidP="5CC59366">
      <w:pPr>
        <w:pBdr>
          <w:top w:val="nil"/>
          <w:left w:val="nil"/>
          <w:bottom w:val="nil"/>
          <w:right w:val="nil"/>
          <w:between w:val="nil"/>
        </w:pBdr>
        <w:rPr>
          <w:sz w:val="22"/>
          <w:szCs w:val="22"/>
        </w:rPr>
      </w:pPr>
      <w:r>
        <w:rPr>
          <w:color w:val="000000"/>
          <w:sz w:val="22"/>
          <w:szCs w:val="22"/>
        </w:rPr>
        <w:t>Gendered health</w:t>
      </w:r>
      <w:r>
        <w:rPr>
          <w:sz w:val="22"/>
          <w:szCs w:val="22"/>
        </w:rPr>
        <w:t xml:space="preserve"> discrimination also occurs at the institutional level, with gender inequality deeply embedded within health</w:t>
      </w:r>
      <w:r w:rsidRPr="5CC59366">
        <w:rPr>
          <w:sz w:val="22"/>
          <w:szCs w:val="22"/>
        </w:rPr>
        <w:t xml:space="preserve"> </w:t>
      </w:r>
      <w:r>
        <w:rPr>
          <w:sz w:val="22"/>
          <w:szCs w:val="22"/>
        </w:rPr>
        <w:t>care systems and structures.</w:t>
      </w:r>
      <w:r>
        <w:rPr>
          <w:color w:val="000000"/>
          <w:sz w:val="22"/>
          <w:szCs w:val="22"/>
        </w:rPr>
        <w:t xml:space="preserve"> </w:t>
      </w:r>
      <w:r>
        <w:rPr>
          <w:sz w:val="22"/>
          <w:szCs w:val="22"/>
        </w:rPr>
        <w:t>This</w:t>
      </w:r>
      <w:r>
        <w:rPr>
          <w:color w:val="000000"/>
          <w:sz w:val="22"/>
          <w:szCs w:val="22"/>
        </w:rPr>
        <w:t xml:space="preserve"> c</w:t>
      </w:r>
      <w:r>
        <w:rPr>
          <w:sz w:val="22"/>
          <w:szCs w:val="22"/>
        </w:rPr>
        <w:t>ontributes to the exclusion of women from governance and leadership positions within health care systems,</w:t>
      </w:r>
      <w:r>
        <w:rPr>
          <w:sz w:val="22"/>
          <w:szCs w:val="22"/>
          <w:vertAlign w:val="superscript"/>
        </w:rPr>
        <w:endnoteReference w:id="15"/>
      </w:r>
      <w:r>
        <w:rPr>
          <w:sz w:val="22"/>
          <w:szCs w:val="22"/>
        </w:rPr>
        <w:t xml:space="preserve"> chronic underfunding of women’s health services and items under Medicare, gender hierarchies that see men secure a greater share of medical-research funding than women</w:t>
      </w:r>
      <w:r w:rsidR="0064089A">
        <w:rPr>
          <w:sz w:val="22"/>
          <w:szCs w:val="22"/>
        </w:rPr>
        <w:t>,</w:t>
      </w:r>
      <w:r>
        <w:rPr>
          <w:sz w:val="22"/>
          <w:szCs w:val="22"/>
          <w:vertAlign w:val="superscript"/>
        </w:rPr>
        <w:endnoteReference w:id="16"/>
      </w:r>
      <w:r>
        <w:rPr>
          <w:sz w:val="22"/>
          <w:szCs w:val="22"/>
        </w:rPr>
        <w:t xml:space="preserve"> </w:t>
      </w:r>
      <w:r w:rsidR="00235D8B">
        <w:rPr>
          <w:sz w:val="22"/>
          <w:szCs w:val="22"/>
        </w:rPr>
        <w:t xml:space="preserve">and undervaluing feminised workforces </w:t>
      </w:r>
      <w:r w:rsidR="00912D03">
        <w:rPr>
          <w:sz w:val="22"/>
          <w:szCs w:val="22"/>
        </w:rPr>
        <w:t xml:space="preserve">including </w:t>
      </w:r>
      <w:r w:rsidR="00235D8B">
        <w:rPr>
          <w:sz w:val="22"/>
          <w:szCs w:val="22"/>
        </w:rPr>
        <w:t xml:space="preserve">nurses, </w:t>
      </w:r>
      <w:proofErr w:type="gramStart"/>
      <w:r w:rsidR="00235D8B">
        <w:rPr>
          <w:sz w:val="22"/>
          <w:szCs w:val="22"/>
        </w:rPr>
        <w:t>midwives</w:t>
      </w:r>
      <w:proofErr w:type="gramEnd"/>
      <w:r w:rsidR="00235D8B">
        <w:rPr>
          <w:sz w:val="22"/>
          <w:szCs w:val="22"/>
        </w:rPr>
        <w:t xml:space="preserve"> and community health workers.</w:t>
      </w:r>
      <w:r w:rsidR="00F45374">
        <w:rPr>
          <w:rStyle w:val="EndnoteReference"/>
          <w:sz w:val="22"/>
          <w:szCs w:val="22"/>
        </w:rPr>
        <w:endnoteReference w:id="17"/>
      </w:r>
    </w:p>
    <w:p w14:paraId="129A8C2A" w14:textId="77777777" w:rsidR="00086393" w:rsidRDefault="00086393" w:rsidP="007773FD"/>
    <w:p w14:paraId="4DFFCFDE" w14:textId="77777777" w:rsidR="00086393" w:rsidRPr="00CB1039" w:rsidRDefault="00235D8B" w:rsidP="007773FD">
      <w:pPr>
        <w:pStyle w:val="Heading3"/>
        <w:rPr>
          <w:rFonts w:ascii="Rubik" w:hAnsi="Rubik" w:cs="Rubik"/>
        </w:rPr>
      </w:pPr>
      <w:bookmarkStart w:id="4" w:name="_heading=h.2et92p0" w:colFirst="0" w:colLast="0"/>
      <w:bookmarkEnd w:id="4"/>
      <w:r w:rsidRPr="00CB1039">
        <w:rPr>
          <w:rFonts w:ascii="Rubik" w:hAnsi="Rubik" w:cs="Rubik"/>
        </w:rPr>
        <w:t>What does this mean for health equity?</w:t>
      </w:r>
    </w:p>
    <w:p w14:paraId="69D662B8" w14:textId="6445E6AD" w:rsidR="00086393" w:rsidRDefault="00235D8B" w:rsidP="007773FD">
      <w:pPr>
        <w:rPr>
          <w:sz w:val="22"/>
          <w:szCs w:val="22"/>
        </w:rPr>
      </w:pPr>
      <w:r>
        <w:rPr>
          <w:sz w:val="22"/>
          <w:szCs w:val="22"/>
        </w:rPr>
        <w:t xml:space="preserve">Addressing gendered health discrimination through anti-discrimination practice is an important preventive measure to ensure health equity. Anti-discrimination practice is any action that enables self-determination and bodily autonomy in health. It includes access to universal health care services, accurate health information in </w:t>
      </w:r>
      <w:r w:rsidRPr="004C60D6">
        <w:rPr>
          <w:sz w:val="22"/>
          <w:szCs w:val="22"/>
        </w:rPr>
        <w:t>our</w:t>
      </w:r>
      <w:r>
        <w:rPr>
          <w:sz w:val="22"/>
          <w:szCs w:val="22"/>
        </w:rPr>
        <w:t xml:space="preserve"> own languages and formats, and ensuring that broader health research and knowledge sharing is accurate</w:t>
      </w:r>
      <w:r w:rsidR="000A52AF">
        <w:rPr>
          <w:sz w:val="22"/>
          <w:szCs w:val="22"/>
        </w:rPr>
        <w:t>,</w:t>
      </w:r>
      <w:r>
        <w:rPr>
          <w:sz w:val="22"/>
          <w:szCs w:val="22"/>
        </w:rPr>
        <w:t xml:space="preserve"> </w:t>
      </w:r>
      <w:proofErr w:type="gramStart"/>
      <w:r>
        <w:rPr>
          <w:sz w:val="22"/>
          <w:szCs w:val="22"/>
        </w:rPr>
        <w:t>accessible</w:t>
      </w:r>
      <w:proofErr w:type="gramEnd"/>
      <w:r w:rsidR="000A52AF">
        <w:rPr>
          <w:sz w:val="22"/>
          <w:szCs w:val="22"/>
        </w:rPr>
        <w:t xml:space="preserve"> and informed by lived experiences</w:t>
      </w:r>
      <w:r>
        <w:rPr>
          <w:sz w:val="22"/>
          <w:szCs w:val="22"/>
        </w:rPr>
        <w:t>.</w:t>
      </w:r>
    </w:p>
    <w:p w14:paraId="60961C56" w14:textId="77777777" w:rsidR="00086393" w:rsidRDefault="00086393" w:rsidP="007773FD">
      <w:pPr>
        <w:rPr>
          <w:sz w:val="22"/>
          <w:szCs w:val="22"/>
        </w:rPr>
      </w:pPr>
    </w:p>
    <w:p w14:paraId="2BB00F5F" w14:textId="44B8393C" w:rsidR="5CC59366" w:rsidRDefault="00235D8B" w:rsidP="5CC59366">
      <w:pPr>
        <w:rPr>
          <w:sz w:val="22"/>
          <w:szCs w:val="22"/>
        </w:rPr>
      </w:pPr>
      <w:r w:rsidRPr="5CC59366">
        <w:rPr>
          <w:sz w:val="22"/>
          <w:szCs w:val="22"/>
        </w:rPr>
        <w:t>For health care systems to become gender-responsive, health services and workers must adhere to anti-discrimination practice with the understanding that preventing gendered discrimination in health is just as important as preventing disease. Through taking seriously Australia’s obligations under</w:t>
      </w:r>
      <w:r w:rsidR="00F0183A">
        <w:rPr>
          <w:sz w:val="22"/>
          <w:szCs w:val="22"/>
        </w:rPr>
        <w:t xml:space="preserve"> </w:t>
      </w:r>
      <w:r w:rsidR="003464BE">
        <w:rPr>
          <w:sz w:val="22"/>
          <w:szCs w:val="22"/>
        </w:rPr>
        <w:t>conventions such as</w:t>
      </w:r>
      <w:r w:rsidRPr="5CC59366">
        <w:rPr>
          <w:sz w:val="22"/>
          <w:szCs w:val="22"/>
        </w:rPr>
        <w:t xml:space="preserve"> the Convention on the Elimination of All Forms of Discrimination Against Women (CEDAW)</w:t>
      </w:r>
      <w:r w:rsidR="2115B0ED" w:rsidRPr="5CC59366">
        <w:rPr>
          <w:sz w:val="22"/>
          <w:szCs w:val="22"/>
        </w:rPr>
        <w:t>,</w:t>
      </w:r>
      <w:r w:rsidRPr="5CC59366">
        <w:rPr>
          <w:sz w:val="22"/>
          <w:szCs w:val="22"/>
        </w:rPr>
        <w:t xml:space="preserve"> policymakers </w:t>
      </w:r>
      <w:r w:rsidR="00912D03" w:rsidRPr="5CC59366">
        <w:rPr>
          <w:sz w:val="22"/>
          <w:szCs w:val="22"/>
        </w:rPr>
        <w:t>can</w:t>
      </w:r>
      <w:r w:rsidRPr="5CC59366">
        <w:rPr>
          <w:sz w:val="22"/>
          <w:szCs w:val="22"/>
        </w:rPr>
        <w:t xml:space="preserve"> design health care systems capable of providing all women and </w:t>
      </w:r>
      <w:r w:rsidRPr="5CC59366">
        <w:rPr>
          <w:sz w:val="22"/>
          <w:szCs w:val="22"/>
        </w:rPr>
        <w:lastRenderedPageBreak/>
        <w:t>gender diverse people with access to respectful, evidence-based, culturally responsive, trauma-</w:t>
      </w:r>
      <w:proofErr w:type="gramStart"/>
      <w:r w:rsidRPr="5CC59366">
        <w:rPr>
          <w:sz w:val="22"/>
          <w:szCs w:val="22"/>
        </w:rPr>
        <w:t>informed</w:t>
      </w:r>
      <w:proofErr w:type="gramEnd"/>
      <w:r w:rsidRPr="5CC59366">
        <w:rPr>
          <w:sz w:val="22"/>
          <w:szCs w:val="22"/>
        </w:rPr>
        <w:t xml:space="preserve"> and non-judgmental health care, leading to safer and more equitable health outcomes.</w:t>
      </w:r>
    </w:p>
    <w:p w14:paraId="299E64A4" w14:textId="77777777" w:rsidR="001361C0" w:rsidRPr="009B5DB5" w:rsidRDefault="001361C0" w:rsidP="5CC59366"/>
    <w:p w14:paraId="539D89AD" w14:textId="48EF63C5" w:rsidR="00086393" w:rsidRPr="00CB1039" w:rsidRDefault="00235D8B" w:rsidP="007773FD">
      <w:pPr>
        <w:pStyle w:val="Heading3"/>
        <w:rPr>
          <w:rFonts w:ascii="Rubik" w:hAnsi="Rubik" w:cs="Rubik"/>
        </w:rPr>
      </w:pPr>
      <w:r w:rsidRPr="00CB1039">
        <w:rPr>
          <w:rFonts w:ascii="Rubik" w:hAnsi="Rubik" w:cs="Rubik"/>
        </w:rPr>
        <w:t>About us</w:t>
      </w:r>
    </w:p>
    <w:p w14:paraId="5DB79FC4" w14:textId="77777777" w:rsidR="00086393" w:rsidRDefault="00235D8B" w:rsidP="007773FD">
      <w:pPr>
        <w:rPr>
          <w:sz w:val="22"/>
          <w:szCs w:val="22"/>
        </w:rPr>
      </w:pPr>
      <w:r>
        <w:rPr>
          <w:sz w:val="22"/>
          <w:szCs w:val="22"/>
        </w:rPr>
        <w:t>Australian Women’s Health Alliance provides a national voice on women’s health. We highlight how gender shapes experiences of health and health care, recognising that women’s health is determined by social, cultural, environmental, and political factors.</w:t>
      </w:r>
    </w:p>
    <w:p w14:paraId="68790DF3" w14:textId="77777777" w:rsidR="00086393" w:rsidRPr="009B5DB5" w:rsidRDefault="00086393" w:rsidP="009B5DB5">
      <w:pPr>
        <w:spacing w:line="240" w:lineRule="auto"/>
      </w:pPr>
    </w:p>
    <w:p w14:paraId="071904C3" w14:textId="77777777" w:rsidR="00086393" w:rsidRPr="00CB1039" w:rsidRDefault="00235D8B" w:rsidP="007773FD">
      <w:pPr>
        <w:pStyle w:val="Heading3"/>
        <w:rPr>
          <w:rFonts w:ascii="Rubik" w:hAnsi="Rubik" w:cs="Rubik"/>
        </w:rPr>
      </w:pPr>
      <w:bookmarkStart w:id="5" w:name="_heading=h.3dy6vkm" w:colFirst="0" w:colLast="0"/>
      <w:bookmarkEnd w:id="5"/>
      <w:r w:rsidRPr="00CB1039">
        <w:rPr>
          <w:rFonts w:ascii="Rubik" w:hAnsi="Rubik" w:cs="Rubik"/>
        </w:rPr>
        <w:t xml:space="preserve">Contact </w:t>
      </w:r>
      <w:proofErr w:type="gramStart"/>
      <w:r w:rsidRPr="00CB1039">
        <w:rPr>
          <w:rFonts w:ascii="Rubik" w:hAnsi="Rubik" w:cs="Rubik"/>
        </w:rPr>
        <w:t>us</w:t>
      </w:r>
      <w:proofErr w:type="gramEnd"/>
    </w:p>
    <w:p w14:paraId="65D86C61" w14:textId="77777777" w:rsidR="00086393" w:rsidRDefault="00235D8B" w:rsidP="007773FD">
      <w:pPr>
        <w:rPr>
          <w:sz w:val="22"/>
          <w:szCs w:val="22"/>
        </w:rPr>
      </w:pPr>
      <w:r>
        <w:rPr>
          <w:sz w:val="22"/>
          <w:szCs w:val="22"/>
        </w:rPr>
        <w:t>Enquiries:</w:t>
      </w:r>
      <w:r>
        <w:rPr>
          <w:sz w:val="22"/>
          <w:szCs w:val="22"/>
        </w:rPr>
        <w:tab/>
      </w:r>
      <w:hyperlink r:id="rId12">
        <w:r>
          <w:rPr>
            <w:color w:val="0000FF"/>
            <w:sz w:val="22"/>
            <w:szCs w:val="22"/>
            <w:u w:val="single"/>
          </w:rPr>
          <w:t>Info@AustralianWomensHealth.org</w:t>
        </w:r>
      </w:hyperlink>
      <w:r>
        <w:rPr>
          <w:sz w:val="22"/>
          <w:szCs w:val="22"/>
        </w:rPr>
        <w:t xml:space="preserve">    </w:t>
      </w:r>
    </w:p>
    <w:p w14:paraId="3AC2A047" w14:textId="77777777" w:rsidR="00086393" w:rsidRDefault="00235D8B" w:rsidP="007773FD">
      <w:pPr>
        <w:rPr>
          <w:sz w:val="22"/>
          <w:szCs w:val="22"/>
        </w:rPr>
      </w:pPr>
      <w:r>
        <w:rPr>
          <w:sz w:val="22"/>
          <w:szCs w:val="22"/>
        </w:rPr>
        <w:t>Web:</w:t>
      </w:r>
      <w:r>
        <w:rPr>
          <w:sz w:val="22"/>
          <w:szCs w:val="22"/>
        </w:rPr>
        <w:tab/>
      </w:r>
      <w:r>
        <w:rPr>
          <w:sz w:val="22"/>
          <w:szCs w:val="22"/>
        </w:rPr>
        <w:tab/>
      </w:r>
      <w:hyperlink r:id="rId13">
        <w:r>
          <w:rPr>
            <w:color w:val="0000FF"/>
            <w:sz w:val="22"/>
            <w:szCs w:val="22"/>
            <w:u w:val="single"/>
          </w:rPr>
          <w:t>www.AustralianWomensHealth.org</w:t>
        </w:r>
      </w:hyperlink>
      <w:r>
        <w:rPr>
          <w:sz w:val="22"/>
          <w:szCs w:val="22"/>
        </w:rPr>
        <w:t xml:space="preserve">   </w:t>
      </w:r>
    </w:p>
    <w:p w14:paraId="578B91DE" w14:textId="77777777" w:rsidR="00086393" w:rsidRPr="009B5DB5" w:rsidRDefault="00086393" w:rsidP="007773FD"/>
    <w:p w14:paraId="2067D5D4" w14:textId="77777777" w:rsidR="00086393" w:rsidRPr="00CB1039" w:rsidRDefault="00235D8B" w:rsidP="007773FD">
      <w:pPr>
        <w:pStyle w:val="Heading3"/>
        <w:rPr>
          <w:rFonts w:ascii="Rubik" w:hAnsi="Rubik" w:cs="Rubik"/>
        </w:rPr>
      </w:pPr>
      <w:bookmarkStart w:id="6" w:name="_heading=h.1t3h5sf" w:colFirst="0" w:colLast="0"/>
      <w:bookmarkEnd w:id="6"/>
      <w:r w:rsidRPr="00CB1039">
        <w:rPr>
          <w:rFonts w:ascii="Rubik" w:hAnsi="Rubik" w:cs="Rubik"/>
        </w:rPr>
        <w:t xml:space="preserve">Suggested </w:t>
      </w:r>
      <w:proofErr w:type="gramStart"/>
      <w:r w:rsidRPr="00CB1039">
        <w:rPr>
          <w:rFonts w:ascii="Rubik" w:hAnsi="Rubik" w:cs="Rubik"/>
        </w:rPr>
        <w:t>citation</w:t>
      </w:r>
      <w:proofErr w:type="gramEnd"/>
    </w:p>
    <w:p w14:paraId="4A82FA3C" w14:textId="07D00C26" w:rsidR="00086393" w:rsidRPr="00AB07BE" w:rsidRDefault="00235D8B" w:rsidP="00AB07BE">
      <w:pPr>
        <w:rPr>
          <w:sz w:val="22"/>
          <w:szCs w:val="22"/>
        </w:rPr>
      </w:pPr>
      <w:r w:rsidRPr="00AB07BE">
        <w:rPr>
          <w:sz w:val="22"/>
          <w:szCs w:val="22"/>
        </w:rPr>
        <w:t xml:space="preserve">Australian Women’s Health Alliance, </w:t>
      </w:r>
      <w:r w:rsidRPr="00AB07BE">
        <w:rPr>
          <w:i/>
          <w:sz w:val="22"/>
          <w:szCs w:val="22"/>
        </w:rPr>
        <w:t xml:space="preserve">Policy </w:t>
      </w:r>
      <w:r w:rsidR="00912D03" w:rsidRPr="00AB07BE">
        <w:rPr>
          <w:i/>
          <w:sz w:val="22"/>
          <w:szCs w:val="22"/>
        </w:rPr>
        <w:t>B</w:t>
      </w:r>
      <w:r w:rsidRPr="00AB07BE">
        <w:rPr>
          <w:i/>
          <w:sz w:val="22"/>
          <w:szCs w:val="22"/>
        </w:rPr>
        <w:t xml:space="preserve">rief – Eliminating </w:t>
      </w:r>
      <w:r w:rsidR="00BF5E98" w:rsidRPr="00AB07BE">
        <w:rPr>
          <w:i/>
          <w:sz w:val="22"/>
          <w:szCs w:val="22"/>
        </w:rPr>
        <w:t>G</w:t>
      </w:r>
      <w:r w:rsidRPr="00AB07BE">
        <w:rPr>
          <w:i/>
          <w:sz w:val="22"/>
          <w:szCs w:val="22"/>
        </w:rPr>
        <w:t xml:space="preserve">endered </w:t>
      </w:r>
      <w:r w:rsidR="00BF5E98" w:rsidRPr="00AB07BE">
        <w:rPr>
          <w:i/>
          <w:sz w:val="22"/>
          <w:szCs w:val="22"/>
        </w:rPr>
        <w:t>H</w:t>
      </w:r>
      <w:r w:rsidRPr="00AB07BE">
        <w:rPr>
          <w:i/>
          <w:sz w:val="22"/>
          <w:szCs w:val="22"/>
        </w:rPr>
        <w:t xml:space="preserve">ealth </w:t>
      </w:r>
      <w:r w:rsidR="00BF5E98" w:rsidRPr="00AB07BE">
        <w:rPr>
          <w:i/>
          <w:sz w:val="22"/>
          <w:szCs w:val="22"/>
        </w:rPr>
        <w:t>D</w:t>
      </w:r>
      <w:r w:rsidRPr="00AB07BE">
        <w:rPr>
          <w:i/>
          <w:sz w:val="22"/>
          <w:szCs w:val="22"/>
        </w:rPr>
        <w:t>iscrimination</w:t>
      </w:r>
      <w:r w:rsidRPr="00AB07BE">
        <w:rPr>
          <w:sz w:val="22"/>
          <w:szCs w:val="22"/>
        </w:rPr>
        <w:t>, Australian Women’s Health Alliance 202</w:t>
      </w:r>
      <w:r w:rsidR="00DD195F" w:rsidRPr="00AB07BE">
        <w:rPr>
          <w:sz w:val="22"/>
          <w:szCs w:val="22"/>
        </w:rPr>
        <w:t>4</w:t>
      </w:r>
      <w:r w:rsidRPr="00AB07BE">
        <w:rPr>
          <w:sz w:val="22"/>
          <w:szCs w:val="22"/>
        </w:rPr>
        <w:t>.</w:t>
      </w:r>
    </w:p>
    <w:p w14:paraId="1DC6AFEF" w14:textId="77777777" w:rsidR="00086393" w:rsidRDefault="00086393" w:rsidP="009B5DB5">
      <w:pPr>
        <w:spacing w:line="240" w:lineRule="auto"/>
      </w:pPr>
    </w:p>
    <w:p w14:paraId="50C4D3AB" w14:textId="77777777" w:rsidR="00086393" w:rsidRDefault="00235D8B" w:rsidP="007773FD">
      <w:pPr>
        <w:rPr>
          <w:i/>
          <w:sz w:val="22"/>
          <w:szCs w:val="22"/>
        </w:rPr>
      </w:pPr>
      <w:r>
        <w:rPr>
          <w:i/>
          <w:sz w:val="22"/>
          <w:szCs w:val="22"/>
        </w:rPr>
        <w:t>We acknowledge the Traditional Custodians of the lands and waters on which we live and work.</w:t>
      </w:r>
    </w:p>
    <w:p w14:paraId="749C084A" w14:textId="6531C8D4" w:rsidR="00BE6648" w:rsidRPr="009B5DB5" w:rsidRDefault="00235D8B" w:rsidP="009B5DB5">
      <w:pPr>
        <w:rPr>
          <w:i/>
          <w:sz w:val="22"/>
          <w:szCs w:val="22"/>
        </w:rPr>
      </w:pPr>
      <w:r>
        <w:rPr>
          <w:i/>
          <w:sz w:val="22"/>
          <w:szCs w:val="22"/>
        </w:rPr>
        <w:t>We pay our respect to Elders past and present. Sovereignty has never been ceded.</w:t>
      </w:r>
    </w:p>
    <w:p w14:paraId="02E01856" w14:textId="77777777" w:rsidR="009B5DB5" w:rsidRPr="009B5DB5" w:rsidRDefault="009B5DB5" w:rsidP="009B5DB5">
      <w:pPr>
        <w:spacing w:line="240" w:lineRule="auto"/>
      </w:pPr>
    </w:p>
    <w:p w14:paraId="43F89985" w14:textId="45D476D8" w:rsidR="00CB68A9" w:rsidRPr="009B5DB5" w:rsidRDefault="00C863D4" w:rsidP="009B5DB5">
      <w:pPr>
        <w:spacing w:line="240" w:lineRule="auto"/>
      </w:pPr>
      <w:r w:rsidRPr="009B5DB5">
        <w:t>Last updated: February 2024</w:t>
      </w:r>
    </w:p>
    <w:sectPr w:rsidR="00CB68A9" w:rsidRPr="009B5DB5">
      <w:headerReference w:type="default" r:id="rId14"/>
      <w:footerReference w:type="default" r:id="rId15"/>
      <w:headerReference w:type="first" r:id="rId16"/>
      <w:footerReference w:type="first" r:id="rId17"/>
      <w:endnotePr>
        <w:numFmt w:val="decimal"/>
      </w:endnotePr>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157B" w14:textId="77777777" w:rsidR="00846D84" w:rsidRDefault="00846D84">
      <w:pPr>
        <w:spacing w:line="240" w:lineRule="auto"/>
      </w:pPr>
      <w:r>
        <w:separator/>
      </w:r>
    </w:p>
  </w:endnote>
  <w:endnote w:type="continuationSeparator" w:id="0">
    <w:p w14:paraId="5BD3B8DF" w14:textId="77777777" w:rsidR="00846D84" w:rsidRDefault="00846D84">
      <w:pPr>
        <w:spacing w:line="240" w:lineRule="auto"/>
      </w:pPr>
      <w:r>
        <w:continuationSeparator/>
      </w:r>
    </w:p>
  </w:endnote>
  <w:endnote w:id="1">
    <w:p w14:paraId="45909008" w14:textId="09212032" w:rsidR="007773FD" w:rsidRDefault="007773FD">
      <w:pPr>
        <w:spacing w:line="240" w:lineRule="auto"/>
      </w:pPr>
      <w:r>
        <w:rPr>
          <w:rStyle w:val="EndnoteReference"/>
        </w:rPr>
        <w:endnoteRef/>
      </w:r>
      <w:r>
        <w:t xml:space="preserve"> Department of Health, </w:t>
      </w:r>
      <w:hyperlink r:id="rId1">
        <w:r>
          <w:rPr>
            <w:i/>
            <w:color w:val="1155CC"/>
            <w:u w:val="single"/>
          </w:rPr>
          <w:t>National Women’s Health Strategy 2020-2030</w:t>
        </w:r>
      </w:hyperlink>
      <w:r>
        <w:t xml:space="preserve">, </w:t>
      </w:r>
      <w:r w:rsidR="002A2BFC">
        <w:t>Australian Government</w:t>
      </w:r>
      <w:r>
        <w:t>, 2018</w:t>
      </w:r>
      <w:r w:rsidR="005C31DF">
        <w:t>.</w:t>
      </w:r>
    </w:p>
  </w:endnote>
  <w:endnote w:id="2">
    <w:p w14:paraId="55F26EF4" w14:textId="0C578B5B" w:rsidR="007773FD" w:rsidRDefault="007773FD">
      <w:pPr>
        <w:pBdr>
          <w:top w:val="nil"/>
          <w:left w:val="nil"/>
          <w:bottom w:val="nil"/>
          <w:right w:val="nil"/>
          <w:between w:val="nil"/>
        </w:pBdr>
        <w:spacing w:line="240" w:lineRule="auto"/>
        <w:rPr>
          <w:color w:val="000000"/>
        </w:rPr>
      </w:pPr>
      <w:r>
        <w:rPr>
          <w:rStyle w:val="EndnoteReference"/>
        </w:rPr>
        <w:endnoteRef/>
      </w:r>
      <w:r>
        <w:rPr>
          <w:color w:val="000000"/>
        </w:rPr>
        <w:t xml:space="preserve"> A </w:t>
      </w:r>
      <w:proofErr w:type="spellStart"/>
      <w:r>
        <w:rPr>
          <w:color w:val="000000"/>
        </w:rPr>
        <w:t>Samulowitz</w:t>
      </w:r>
      <w:proofErr w:type="spellEnd"/>
      <w:r>
        <w:rPr>
          <w:color w:val="000000"/>
        </w:rPr>
        <w:t xml:space="preserve">, I </w:t>
      </w:r>
      <w:proofErr w:type="spellStart"/>
      <w:r>
        <w:rPr>
          <w:color w:val="000000"/>
        </w:rPr>
        <w:t>Gremyr</w:t>
      </w:r>
      <w:proofErr w:type="spellEnd"/>
      <w:r>
        <w:rPr>
          <w:color w:val="000000"/>
        </w:rPr>
        <w:t>, E Eriksson</w:t>
      </w:r>
      <w:r>
        <w:t xml:space="preserve"> </w:t>
      </w:r>
      <w:r w:rsidR="00BF5E98">
        <w:t>and</w:t>
      </w:r>
      <w:r>
        <w:t xml:space="preserve"> G </w:t>
      </w:r>
      <w:r>
        <w:rPr>
          <w:color w:val="000000"/>
        </w:rPr>
        <w:t>Hensing</w:t>
      </w:r>
      <w:r>
        <w:t xml:space="preserve">, </w:t>
      </w:r>
      <w:r w:rsidR="002A2BFC">
        <w:t>‘</w:t>
      </w:r>
      <w:hyperlink r:id="rId2" w:anchor=":~:text=Awareness%20about%20gendered%20norms%20is,all%20patients%2C%20men%20and%20women">
        <w:r w:rsidR="0039702E" w:rsidRPr="0039702E">
          <w:rPr>
            <w:color w:val="1155CC"/>
            <w:u w:val="single"/>
          </w:rPr>
          <w:t>"</w:t>
        </w:r>
        <w:r w:rsidRPr="005153F0">
          <w:rPr>
            <w:color w:val="1155CC"/>
            <w:u w:val="single"/>
          </w:rPr>
          <w:t>Brave Men" and "Emotional Women</w:t>
        </w:r>
        <w:r w:rsidR="0039702E" w:rsidRPr="0039702E">
          <w:rPr>
            <w:color w:val="1155CC"/>
            <w:u w:val="single"/>
          </w:rPr>
          <w:t>"</w:t>
        </w:r>
        <w:r w:rsidRPr="005153F0">
          <w:rPr>
            <w:color w:val="1155CC"/>
            <w:u w:val="single"/>
          </w:rPr>
          <w:t>: A Theory-Guided Literature Review on Gender Bias in Health Care and Gendered Norms towards Patients with Chronic Pain</w:t>
        </w:r>
      </w:hyperlink>
      <w:r w:rsidR="002A2BFC">
        <w:rPr>
          <w:color w:val="1155CC"/>
          <w:u w:val="single"/>
        </w:rPr>
        <w:t>’</w:t>
      </w:r>
      <w:r>
        <w:t xml:space="preserve">, </w:t>
      </w:r>
      <w:r w:rsidRPr="005153F0">
        <w:rPr>
          <w:i/>
          <w:iCs/>
        </w:rPr>
        <w:t>Pain Research and Management</w:t>
      </w:r>
      <w:r>
        <w:t>, 2018,</w:t>
      </w:r>
      <w:r w:rsidR="002A2BFC">
        <w:t xml:space="preserve"> </w:t>
      </w:r>
      <w:r w:rsidR="002A2BFC" w:rsidRPr="005153F0">
        <w:rPr>
          <w:rFonts w:asciiTheme="majorHAnsi" w:hAnsiTheme="majorHAnsi" w:cstheme="majorHAnsi"/>
          <w:color w:val="212121"/>
          <w:shd w:val="clear" w:color="auto" w:fill="FFFFFF"/>
        </w:rPr>
        <w:t>25;2018:6358624</w:t>
      </w:r>
      <w:r>
        <w:t>.</w:t>
      </w:r>
    </w:p>
  </w:endnote>
  <w:endnote w:id="3">
    <w:p w14:paraId="50975DA2" w14:textId="6547D042" w:rsidR="007773FD" w:rsidRDefault="007773FD">
      <w:pPr>
        <w:pBdr>
          <w:top w:val="nil"/>
          <w:left w:val="nil"/>
          <w:bottom w:val="nil"/>
          <w:right w:val="nil"/>
          <w:between w:val="nil"/>
        </w:pBdr>
        <w:spacing w:line="240" w:lineRule="auto"/>
        <w:rPr>
          <w:color w:val="000000"/>
        </w:rPr>
      </w:pPr>
      <w:r>
        <w:rPr>
          <w:rStyle w:val="EndnoteReference"/>
        </w:rPr>
        <w:endnoteRef/>
      </w:r>
      <w:r>
        <w:rPr>
          <w:color w:val="000000"/>
        </w:rPr>
        <w:t xml:space="preserve"> </w:t>
      </w:r>
      <w:r>
        <w:t xml:space="preserve">Department of the Prime Minister and Cabinet, </w:t>
      </w:r>
      <w:hyperlink r:id="rId3">
        <w:r>
          <w:rPr>
            <w:i/>
            <w:color w:val="1155CC"/>
            <w:u w:val="single"/>
          </w:rPr>
          <w:t>National Strategy to Achieve Gender Equality: Discussion Paper</w:t>
        </w:r>
      </w:hyperlink>
      <w:r>
        <w:t xml:space="preserve">, </w:t>
      </w:r>
      <w:r w:rsidR="002A2BFC">
        <w:t xml:space="preserve">Australian Government, </w:t>
      </w:r>
      <w:r>
        <w:t>2023.</w:t>
      </w:r>
    </w:p>
  </w:endnote>
  <w:endnote w:id="4">
    <w:p w14:paraId="59EFE545" w14:textId="5A99762B" w:rsidR="007773FD" w:rsidRDefault="007773FD">
      <w:pPr>
        <w:pBdr>
          <w:top w:val="nil"/>
          <w:left w:val="nil"/>
          <w:bottom w:val="nil"/>
          <w:right w:val="nil"/>
          <w:between w:val="nil"/>
        </w:pBdr>
        <w:spacing w:line="240" w:lineRule="auto"/>
        <w:rPr>
          <w:color w:val="000000"/>
        </w:rPr>
      </w:pPr>
      <w:r>
        <w:rPr>
          <w:rStyle w:val="EndnoteReference"/>
        </w:rPr>
        <w:endnoteRef/>
      </w:r>
      <w:r>
        <w:rPr>
          <w:color w:val="000000"/>
        </w:rPr>
        <w:t xml:space="preserve"> Department of Health and Aged Care, </w:t>
      </w:r>
      <w:hyperlink r:id="rId4">
        <w:r>
          <w:rPr>
            <w:i/>
            <w:color w:val="1155CC"/>
            <w:u w:val="single"/>
          </w:rPr>
          <w:t>National Women</w:t>
        </w:r>
      </w:hyperlink>
      <w:hyperlink r:id="rId5">
        <w:r>
          <w:rPr>
            <w:i/>
            <w:color w:val="1155CC"/>
            <w:u w:val="single"/>
          </w:rPr>
          <w:t>’s Health Advisory Council</w:t>
        </w:r>
      </w:hyperlink>
      <w:r>
        <w:t>, Australia</w:t>
      </w:r>
      <w:r w:rsidR="002A2BFC">
        <w:t>n Government</w:t>
      </w:r>
      <w:r>
        <w:t xml:space="preserve">, 2023. </w:t>
      </w:r>
    </w:p>
  </w:endnote>
  <w:endnote w:id="5">
    <w:p w14:paraId="633B649A" w14:textId="13756D7D" w:rsidR="007773FD" w:rsidRDefault="007773FD">
      <w:pPr>
        <w:pBdr>
          <w:top w:val="nil"/>
          <w:left w:val="nil"/>
          <w:bottom w:val="nil"/>
          <w:right w:val="nil"/>
          <w:between w:val="nil"/>
        </w:pBdr>
        <w:spacing w:line="240" w:lineRule="auto"/>
        <w:rPr>
          <w:color w:val="000000"/>
        </w:rPr>
      </w:pPr>
      <w:r>
        <w:rPr>
          <w:rStyle w:val="EndnoteReference"/>
        </w:rPr>
        <w:endnoteRef/>
      </w:r>
      <w:r>
        <w:rPr>
          <w:color w:val="000000"/>
        </w:rPr>
        <w:t xml:space="preserve"> K Hay, L McDougal, V Percival, S Henry, J Klugman, H Wurie, J Raven, F Shabalala, R Fielding-Miller, A Dey, N </w:t>
      </w:r>
      <w:proofErr w:type="spellStart"/>
      <w:r>
        <w:rPr>
          <w:color w:val="000000"/>
        </w:rPr>
        <w:t>Dehingia</w:t>
      </w:r>
      <w:proofErr w:type="spellEnd"/>
      <w:r>
        <w:rPr>
          <w:color w:val="000000"/>
        </w:rPr>
        <w:t xml:space="preserve">, R Morgan, Y </w:t>
      </w:r>
      <w:proofErr w:type="spellStart"/>
      <w:r>
        <w:rPr>
          <w:color w:val="000000"/>
        </w:rPr>
        <w:t>Atmavilas</w:t>
      </w:r>
      <w:proofErr w:type="spellEnd"/>
      <w:r>
        <w:rPr>
          <w:color w:val="000000"/>
        </w:rPr>
        <w:t xml:space="preserve">, N </w:t>
      </w:r>
      <w:proofErr w:type="spellStart"/>
      <w:r>
        <w:rPr>
          <w:color w:val="000000"/>
        </w:rPr>
        <w:t>Saggurti</w:t>
      </w:r>
      <w:proofErr w:type="spellEnd"/>
      <w:r>
        <w:rPr>
          <w:color w:val="000000"/>
        </w:rPr>
        <w:t>, J Yore, E Blokhina, R Huque, E Barasa, N Bhan, C Kharel, JG Silverman</w:t>
      </w:r>
      <w:r w:rsidR="002A2BFC">
        <w:rPr>
          <w:color w:val="000000"/>
        </w:rPr>
        <w:t xml:space="preserve">, </w:t>
      </w:r>
      <w:r>
        <w:rPr>
          <w:color w:val="000000"/>
        </w:rPr>
        <w:t>A Raj</w:t>
      </w:r>
      <w:r w:rsidR="002A2BFC">
        <w:t>,</w:t>
      </w:r>
      <w:r>
        <w:t xml:space="preserve"> Gender Equality, Norms, and Health Steering Committee, </w:t>
      </w:r>
      <w:r w:rsidR="002A2BFC">
        <w:t>‘</w:t>
      </w:r>
      <w:hyperlink r:id="rId6">
        <w:r w:rsidRPr="005153F0">
          <w:rPr>
            <w:color w:val="1155CC"/>
            <w:u w:val="single"/>
          </w:rPr>
          <w:t>Disrupting gender norms in health systems: making the case for change</w:t>
        </w:r>
      </w:hyperlink>
      <w:r w:rsidR="002A2BFC" w:rsidRPr="00E0714D">
        <w:t>’</w:t>
      </w:r>
      <w:r>
        <w:rPr>
          <w:i/>
        </w:rPr>
        <w:t xml:space="preserve">, </w:t>
      </w:r>
      <w:r w:rsidRPr="005153F0">
        <w:rPr>
          <w:i/>
          <w:iCs/>
        </w:rPr>
        <w:t>Lancet</w:t>
      </w:r>
      <w:r>
        <w:t>, 2019,</w:t>
      </w:r>
      <w:r w:rsidR="002A2BFC">
        <w:t xml:space="preserve"> </w:t>
      </w:r>
      <w:hyperlink r:id="rId7" w:tgtFrame="_blank" w:history="1">
        <w:r w:rsidR="002A2BFC" w:rsidRPr="005153F0">
          <w:rPr>
            <w:rStyle w:val="Hyperlink"/>
            <w:rFonts w:asciiTheme="majorHAnsi" w:hAnsiTheme="majorHAnsi" w:cstheme="majorHAnsi"/>
            <w:color w:val="auto"/>
            <w:u w:val="none"/>
            <w:shd w:val="clear" w:color="auto" w:fill="FFFFFF"/>
          </w:rPr>
          <w:t>393(10190): pp 2535–2549.</w:t>
        </w:r>
      </w:hyperlink>
      <w:r>
        <w:t xml:space="preserve"> </w:t>
      </w:r>
    </w:p>
  </w:endnote>
  <w:endnote w:id="6">
    <w:p w14:paraId="788F4E4B" w14:textId="5E0B9E0A" w:rsidR="007773FD" w:rsidRDefault="007773FD">
      <w:pPr>
        <w:pBdr>
          <w:top w:val="nil"/>
          <w:left w:val="nil"/>
          <w:bottom w:val="nil"/>
          <w:right w:val="nil"/>
          <w:between w:val="nil"/>
        </w:pBdr>
        <w:spacing w:line="240" w:lineRule="auto"/>
      </w:pPr>
      <w:r>
        <w:rPr>
          <w:rStyle w:val="EndnoteReference"/>
        </w:rPr>
        <w:endnoteRef/>
      </w:r>
      <w:r>
        <w:rPr>
          <w:color w:val="000000"/>
        </w:rPr>
        <w:t xml:space="preserve"> Women With Disabilities A</w:t>
      </w:r>
      <w:r>
        <w:t xml:space="preserve">ustralia, </w:t>
      </w:r>
      <w:hyperlink r:id="rId8">
        <w:r>
          <w:rPr>
            <w:i/>
            <w:color w:val="1155CC"/>
            <w:u w:val="single"/>
          </w:rPr>
          <w:t>Towards Reproductive Justice for young women, girls, feminine identifying, and non-binary people with disability (</w:t>
        </w:r>
        <w:proofErr w:type="spellStart"/>
        <w:r>
          <w:rPr>
            <w:i/>
            <w:color w:val="1155CC"/>
            <w:u w:val="single"/>
          </w:rPr>
          <w:t>YWGwD</w:t>
        </w:r>
        <w:proofErr w:type="spellEnd"/>
        <w:r>
          <w:rPr>
            <w:i/>
            <w:color w:val="1155CC"/>
            <w:u w:val="single"/>
          </w:rPr>
          <w:t xml:space="preserve">): Report from the </w:t>
        </w:r>
        <w:proofErr w:type="spellStart"/>
        <w:r>
          <w:rPr>
            <w:i/>
            <w:color w:val="1155CC"/>
            <w:u w:val="single"/>
          </w:rPr>
          <w:t>YWGwD</w:t>
        </w:r>
        <w:proofErr w:type="spellEnd"/>
        <w:r>
          <w:rPr>
            <w:i/>
            <w:color w:val="1155CC"/>
            <w:u w:val="single"/>
          </w:rPr>
          <w:t xml:space="preserve"> National Survey</w:t>
        </w:r>
      </w:hyperlink>
      <w:r>
        <w:rPr>
          <w:i/>
        </w:rPr>
        <w:t xml:space="preserve">, </w:t>
      </w:r>
      <w:r w:rsidR="00AB07BE">
        <w:t>WWDA</w:t>
      </w:r>
      <w:r>
        <w:t>, 2022.</w:t>
      </w:r>
    </w:p>
  </w:endnote>
  <w:endnote w:id="7">
    <w:p w14:paraId="2CBB9818" w14:textId="787FBD05" w:rsidR="007773FD" w:rsidRDefault="007773FD">
      <w:pPr>
        <w:pBdr>
          <w:top w:val="nil"/>
          <w:left w:val="nil"/>
          <w:bottom w:val="nil"/>
          <w:right w:val="nil"/>
          <w:between w:val="nil"/>
        </w:pBdr>
        <w:spacing w:line="240" w:lineRule="auto"/>
      </w:pPr>
      <w:r>
        <w:rPr>
          <w:rStyle w:val="EndnoteReference"/>
        </w:rPr>
        <w:endnoteRef/>
      </w:r>
      <w:r>
        <w:rPr>
          <w:color w:val="000000"/>
        </w:rPr>
        <w:t xml:space="preserve"> </w:t>
      </w:r>
      <w:r>
        <w:t xml:space="preserve">Department of Health, </w:t>
      </w:r>
      <w:hyperlink r:id="rId9">
        <w:r>
          <w:rPr>
            <w:i/>
            <w:color w:val="1155CC"/>
            <w:u w:val="single"/>
          </w:rPr>
          <w:t>National Women’s Health Strategy 2020-2030</w:t>
        </w:r>
      </w:hyperlink>
      <w:r w:rsidR="001428B5">
        <w:t>.</w:t>
      </w:r>
    </w:p>
  </w:endnote>
  <w:endnote w:id="8">
    <w:p w14:paraId="33C6AC82" w14:textId="63247B04" w:rsidR="007773FD" w:rsidRDefault="007773FD">
      <w:pPr>
        <w:spacing w:line="240" w:lineRule="auto"/>
      </w:pPr>
      <w:r>
        <w:rPr>
          <w:rStyle w:val="EndnoteReference"/>
        </w:rPr>
        <w:endnoteRef/>
      </w:r>
      <w:r>
        <w:t xml:space="preserve"> WHO, UNAIDS, ILO, IOM, OHCHR, UNDP, UNESCO, UNFPA, UNHCR, UNICEF, UNWOMEN, WFP,</w:t>
      </w:r>
      <w:r w:rsidR="00E0714D">
        <w:t xml:space="preserve"> </w:t>
      </w:r>
      <w:hyperlink r:id="rId10" w:history="1">
        <w:r w:rsidR="006C4F2B" w:rsidRPr="006C4F2B">
          <w:rPr>
            <w:i/>
            <w:color w:val="1155CC"/>
            <w:u w:val="single"/>
          </w:rPr>
          <w:t>Joint United Nations Statement on Ending Discrimination in Health Care Settings</w:t>
        </w:r>
      </w:hyperlink>
      <w:r w:rsidR="00E0714D">
        <w:t>,</w:t>
      </w:r>
      <w:r>
        <w:t xml:space="preserve"> United Nations, 2017</w:t>
      </w:r>
      <w:r w:rsidR="008F411C">
        <w:t>.</w:t>
      </w:r>
    </w:p>
  </w:endnote>
  <w:endnote w:id="9">
    <w:p w14:paraId="67D4BE42" w14:textId="2107D685" w:rsidR="007773FD" w:rsidRDefault="007773FD">
      <w:pPr>
        <w:spacing w:line="240" w:lineRule="auto"/>
      </w:pPr>
      <w:r>
        <w:rPr>
          <w:rStyle w:val="EndnoteReference"/>
        </w:rPr>
        <w:endnoteRef/>
      </w:r>
      <w:r w:rsidR="00E51505">
        <w:t xml:space="preserve"> WHO, UNAIDS et al., </w:t>
      </w:r>
      <w:hyperlink r:id="rId11" w:history="1">
        <w:r w:rsidR="006C4F2B" w:rsidRPr="006C4F2B">
          <w:rPr>
            <w:i/>
            <w:color w:val="1155CC"/>
            <w:u w:val="single"/>
          </w:rPr>
          <w:t>Joint United Nations Statement</w:t>
        </w:r>
      </w:hyperlink>
      <w:r w:rsidR="006C4F2B">
        <w:t>.</w:t>
      </w:r>
    </w:p>
  </w:endnote>
  <w:endnote w:id="10">
    <w:p w14:paraId="6793CB4E" w14:textId="640F8500" w:rsidR="007773FD" w:rsidRDefault="007773FD">
      <w:pPr>
        <w:spacing w:line="240" w:lineRule="auto"/>
      </w:pPr>
      <w:r>
        <w:rPr>
          <w:rStyle w:val="EndnoteReference"/>
        </w:rPr>
        <w:endnoteRef/>
      </w:r>
      <w:r>
        <w:t xml:space="preserve"> A </w:t>
      </w:r>
      <w:proofErr w:type="spellStart"/>
      <w:r>
        <w:t>Samulowitz</w:t>
      </w:r>
      <w:proofErr w:type="spellEnd"/>
      <w:r>
        <w:t xml:space="preserve">, I </w:t>
      </w:r>
      <w:proofErr w:type="spellStart"/>
      <w:r>
        <w:t>Gremyr</w:t>
      </w:r>
      <w:proofErr w:type="spellEnd"/>
      <w:r>
        <w:t xml:space="preserve">, </w:t>
      </w:r>
      <w:r w:rsidR="00E51505">
        <w:t>et al.</w:t>
      </w:r>
      <w:r w:rsidR="00E51505" w:rsidRPr="00180121">
        <w:t>, ‘</w:t>
      </w:r>
      <w:hyperlink r:id="rId12" w:anchor=":~:text=Awareness%20about%20gendered%20norms%20is,all%20patients%2C%20men%20and%20women">
        <w:r w:rsidR="0039702E" w:rsidRPr="0039702E">
          <w:rPr>
            <w:color w:val="1155CC"/>
            <w:u w:val="single"/>
          </w:rPr>
          <w:t>"</w:t>
        </w:r>
        <w:r w:rsidRPr="005153F0">
          <w:rPr>
            <w:color w:val="1155CC"/>
            <w:u w:val="single"/>
          </w:rPr>
          <w:t>Brave Men" and "Emotional Women"</w:t>
        </w:r>
        <w:r w:rsidR="005153F0" w:rsidRPr="005153F0">
          <w:t>’</w:t>
        </w:r>
        <w:r w:rsidR="005153F0">
          <w:t>,</w:t>
        </w:r>
        <w:r w:rsidR="00E51505" w:rsidRPr="005153F0" w:rsidDel="00E51505">
          <w:rPr>
            <w:color w:val="1155CC"/>
          </w:rPr>
          <w:t xml:space="preserve"> </w:t>
        </w:r>
      </w:hyperlink>
      <w:r>
        <w:t>2018.</w:t>
      </w:r>
    </w:p>
  </w:endnote>
  <w:endnote w:id="11">
    <w:p w14:paraId="2BEB6DAB" w14:textId="32BA08BA" w:rsidR="007773FD" w:rsidRDefault="007773FD">
      <w:pPr>
        <w:spacing w:line="240" w:lineRule="auto"/>
      </w:pPr>
      <w:r>
        <w:rPr>
          <w:rStyle w:val="EndnoteReference"/>
        </w:rPr>
        <w:endnoteRef/>
      </w:r>
      <w:r>
        <w:t xml:space="preserve"> </w:t>
      </w:r>
      <w:r w:rsidR="00E51505">
        <w:t xml:space="preserve">WHO, UNAIDS et al., </w:t>
      </w:r>
      <w:hyperlink r:id="rId13" w:history="1">
        <w:r w:rsidR="006C4F2B" w:rsidRPr="006C4F2B">
          <w:rPr>
            <w:i/>
            <w:color w:val="1155CC"/>
            <w:u w:val="single"/>
          </w:rPr>
          <w:t>Joint United Nations Statement</w:t>
        </w:r>
      </w:hyperlink>
      <w:r w:rsidR="006C4F2B">
        <w:t>.</w:t>
      </w:r>
    </w:p>
  </w:endnote>
  <w:endnote w:id="12">
    <w:p w14:paraId="01DAF60B" w14:textId="64CA3855" w:rsidR="007773FD" w:rsidRDefault="007773FD">
      <w:pPr>
        <w:spacing w:line="240" w:lineRule="auto"/>
      </w:pPr>
      <w:r>
        <w:rPr>
          <w:rStyle w:val="EndnoteReference"/>
        </w:rPr>
        <w:endnoteRef/>
      </w:r>
      <w:r>
        <w:t xml:space="preserve"> </w:t>
      </w:r>
      <w:r w:rsidR="00E51505">
        <w:t>M Flaum Hall and S Hall,</w:t>
      </w:r>
      <w:r>
        <w:t xml:space="preserve"> </w:t>
      </w:r>
      <w:r w:rsidR="00E51505">
        <w:t>‘</w:t>
      </w:r>
      <w:hyperlink r:id="rId14">
        <w:r w:rsidRPr="005153F0">
          <w:rPr>
            <w:color w:val="1155CC"/>
            <w:u w:val="single"/>
          </w:rPr>
          <w:t>When Treatment Becomes Trauma: Defining, Preventing, and Transforming Medical Trauma</w:t>
        </w:r>
      </w:hyperlink>
      <w:r w:rsidR="00E51505" w:rsidRPr="00605ADD">
        <w:t>’</w:t>
      </w:r>
      <w:r>
        <w:t xml:space="preserve">, </w:t>
      </w:r>
      <w:r w:rsidRPr="005153F0">
        <w:rPr>
          <w:i/>
          <w:iCs/>
        </w:rPr>
        <w:t>VISTAS Online</w:t>
      </w:r>
      <w:r>
        <w:t xml:space="preserve">, 2013. </w:t>
      </w:r>
    </w:p>
  </w:endnote>
  <w:endnote w:id="13">
    <w:p w14:paraId="481DAAF5" w14:textId="561F3F82" w:rsidR="007773FD" w:rsidRDefault="007773FD">
      <w:pPr>
        <w:spacing w:line="240" w:lineRule="auto"/>
      </w:pPr>
      <w:r>
        <w:rPr>
          <w:rStyle w:val="EndnoteReference"/>
        </w:rPr>
        <w:endnoteRef/>
      </w:r>
      <w:r>
        <w:t xml:space="preserve"> B Alba, </w:t>
      </w:r>
      <w:hyperlink r:id="rId15">
        <w:r>
          <w:rPr>
            <w:i/>
            <w:color w:val="1155CC"/>
            <w:u w:val="single"/>
          </w:rPr>
          <w:t>Everyday sexism &amp; women's mental health</w:t>
        </w:r>
      </w:hyperlink>
      <w:r>
        <w:t>, La Trobe University, 2019.</w:t>
      </w:r>
    </w:p>
  </w:endnote>
  <w:endnote w:id="14">
    <w:p w14:paraId="3534643B" w14:textId="7F78CE5C" w:rsidR="007773FD" w:rsidRDefault="007773FD">
      <w:pPr>
        <w:spacing w:line="240" w:lineRule="auto"/>
      </w:pPr>
      <w:r>
        <w:rPr>
          <w:rStyle w:val="EndnoteReference"/>
        </w:rPr>
        <w:endnoteRef/>
      </w:r>
      <w:r>
        <w:t xml:space="preserve"> V Turnbull-Roberts, </w:t>
      </w:r>
      <w:r w:rsidR="00605ADD" w:rsidRPr="00605ADD">
        <w:t>‘</w:t>
      </w:r>
      <w:hyperlink r:id="rId16">
        <w:r w:rsidRPr="00605ADD">
          <w:rPr>
            <w:color w:val="1155CC"/>
            <w:u w:val="single"/>
          </w:rPr>
          <w:t>I was 10 years old when I was taken from my home. The stolen generations never ended</w:t>
        </w:r>
      </w:hyperlink>
      <w:r w:rsidR="00605ADD" w:rsidRPr="00605ADD">
        <w:t>’,</w:t>
      </w:r>
      <w:r>
        <w:t xml:space="preserve"> </w:t>
      </w:r>
      <w:r w:rsidRPr="005153F0">
        <w:rPr>
          <w:i/>
          <w:iCs/>
        </w:rPr>
        <w:t>The Guardian</w:t>
      </w:r>
      <w:r>
        <w:t xml:space="preserve">, </w:t>
      </w:r>
      <w:r w:rsidR="00AF0723">
        <w:t xml:space="preserve">12 February </w:t>
      </w:r>
      <w:r>
        <w:t xml:space="preserve">2023. </w:t>
      </w:r>
    </w:p>
  </w:endnote>
  <w:endnote w:id="15">
    <w:p w14:paraId="35F5F324" w14:textId="72B33150" w:rsidR="007773FD" w:rsidRDefault="007773FD">
      <w:pPr>
        <w:spacing w:line="240" w:lineRule="auto"/>
      </w:pPr>
      <w:r>
        <w:rPr>
          <w:rStyle w:val="EndnoteReference"/>
        </w:rPr>
        <w:endnoteRef/>
      </w:r>
      <w:r>
        <w:t xml:space="preserve"> K Hay,</w:t>
      </w:r>
      <w:r w:rsidR="004644E2">
        <w:t xml:space="preserve"> </w:t>
      </w:r>
      <w:r>
        <w:t>L McDougal,</w:t>
      </w:r>
      <w:r w:rsidR="004644E2">
        <w:t xml:space="preserve"> et al., ‘</w:t>
      </w:r>
      <w:hyperlink r:id="rId17">
        <w:r w:rsidRPr="005153F0">
          <w:rPr>
            <w:color w:val="1155CC"/>
            <w:u w:val="single"/>
          </w:rPr>
          <w:t>Disrupting gender norms in health systems: making the case for change</w:t>
        </w:r>
      </w:hyperlink>
      <w:r w:rsidR="004644E2">
        <w:rPr>
          <w:color w:val="1155CC"/>
          <w:u w:val="single"/>
        </w:rPr>
        <w:t>’</w:t>
      </w:r>
      <w:r w:rsidR="004644E2" w:rsidRPr="005153F0">
        <w:rPr>
          <w:color w:val="1155CC"/>
        </w:rPr>
        <w:t>.</w:t>
      </w:r>
    </w:p>
  </w:endnote>
  <w:endnote w:id="16">
    <w:p w14:paraId="377D7F66" w14:textId="790ABDAC" w:rsidR="007773FD" w:rsidRDefault="007773FD">
      <w:pPr>
        <w:spacing w:line="240" w:lineRule="auto"/>
      </w:pPr>
      <w:r>
        <w:rPr>
          <w:rStyle w:val="EndnoteReference"/>
        </w:rPr>
        <w:endnoteRef/>
      </w:r>
      <w:r>
        <w:t xml:space="preserve"> H Else, </w:t>
      </w:r>
      <w:r w:rsidR="004644E2">
        <w:t>‘</w:t>
      </w:r>
      <w:hyperlink r:id="rId18">
        <w:r w:rsidRPr="005153F0">
          <w:rPr>
            <w:color w:val="1155CC"/>
            <w:u w:val="single"/>
          </w:rPr>
          <w:t>Outcry as men win outsize share of Australian medical-research funding</w:t>
        </w:r>
      </w:hyperlink>
      <w:r w:rsidR="004644E2">
        <w:rPr>
          <w:color w:val="1155CC"/>
          <w:u w:val="single"/>
        </w:rPr>
        <w:t>’</w:t>
      </w:r>
      <w:r>
        <w:t xml:space="preserve">, </w:t>
      </w:r>
      <w:r w:rsidRPr="005153F0">
        <w:rPr>
          <w:i/>
          <w:iCs/>
        </w:rPr>
        <w:t>Nature</w:t>
      </w:r>
      <w:r>
        <w:t>, 2021</w:t>
      </w:r>
      <w:r w:rsidR="00AF0723">
        <w:t>.</w:t>
      </w:r>
    </w:p>
  </w:endnote>
  <w:endnote w:id="17">
    <w:p w14:paraId="17F88B06" w14:textId="59E14C58" w:rsidR="00F45374" w:rsidRPr="001361EC" w:rsidRDefault="00F45374">
      <w:pPr>
        <w:pStyle w:val="EndnoteText"/>
        <w:rPr>
          <w:rFonts w:ascii="Calibri" w:hAnsi="Calibri" w:cs="Calibri"/>
        </w:rPr>
      </w:pPr>
      <w:r w:rsidRPr="001361EC">
        <w:rPr>
          <w:rStyle w:val="EndnoteReference"/>
          <w:rFonts w:ascii="Calibri" w:hAnsi="Calibri" w:cs="Calibri"/>
        </w:rPr>
        <w:endnoteRef/>
      </w:r>
      <w:r w:rsidRPr="001361EC">
        <w:rPr>
          <w:rFonts w:ascii="Calibri" w:hAnsi="Calibri" w:cs="Calibri"/>
        </w:rPr>
        <w:t xml:space="preserve"> </w:t>
      </w:r>
      <w:r w:rsidR="00123262">
        <w:rPr>
          <w:rFonts w:ascii="Calibri" w:hAnsi="Calibri" w:cs="Calibri"/>
        </w:rPr>
        <w:t>W</w:t>
      </w:r>
      <w:r w:rsidR="00605ADD">
        <w:rPr>
          <w:rFonts w:ascii="Calibri" w:hAnsi="Calibri" w:cs="Calibri"/>
        </w:rPr>
        <w:t xml:space="preserve">orld </w:t>
      </w:r>
      <w:r w:rsidR="00123262">
        <w:rPr>
          <w:rFonts w:ascii="Calibri" w:hAnsi="Calibri" w:cs="Calibri"/>
        </w:rPr>
        <w:t>H</w:t>
      </w:r>
      <w:r w:rsidR="00605ADD">
        <w:rPr>
          <w:rFonts w:ascii="Calibri" w:hAnsi="Calibri" w:cs="Calibri"/>
        </w:rPr>
        <w:t xml:space="preserve">ealth </w:t>
      </w:r>
      <w:r w:rsidR="00123262">
        <w:rPr>
          <w:rFonts w:ascii="Calibri" w:hAnsi="Calibri" w:cs="Calibri"/>
        </w:rPr>
        <w:t>O</w:t>
      </w:r>
      <w:r w:rsidR="00605ADD">
        <w:rPr>
          <w:rFonts w:ascii="Calibri" w:hAnsi="Calibri" w:cs="Calibri"/>
        </w:rPr>
        <w:t>rganization</w:t>
      </w:r>
      <w:r w:rsidR="001361EC" w:rsidRPr="001361EC">
        <w:rPr>
          <w:rFonts w:ascii="Calibri" w:hAnsi="Calibri" w:cs="Calibri"/>
        </w:rPr>
        <w:t>,</w:t>
      </w:r>
      <w:r w:rsidR="001361EC">
        <w:rPr>
          <w:rFonts w:ascii="Calibri" w:hAnsi="Calibri" w:cs="Calibri"/>
        </w:rPr>
        <w:t xml:space="preserve"> ‘</w:t>
      </w:r>
      <w:hyperlink r:id="rId19" w:history="1">
        <w:r w:rsidR="00123262">
          <w:rPr>
            <w:rFonts w:ascii="Calibri" w:eastAsia="Calibri" w:hAnsi="Calibri" w:cs="Calibri"/>
            <w:color w:val="1155CC"/>
            <w:u w:val="single"/>
            <w:lang w:val="en-GB" w:eastAsia="en-AU"/>
          </w:rPr>
          <w:t>De</w:t>
        </w:r>
        <w:r w:rsidR="008F635D" w:rsidRPr="00123262">
          <w:rPr>
            <w:rFonts w:ascii="Calibri" w:eastAsia="Calibri" w:hAnsi="Calibri" w:cs="Calibri"/>
            <w:color w:val="1155CC"/>
            <w:u w:val="single"/>
            <w:lang w:val="en-GB" w:eastAsia="en-AU"/>
          </w:rPr>
          <w:t>livered By Women, Led By Men: A Gender and Equity Analysis Of the Global Health and Social Workforce</w:t>
        </w:r>
      </w:hyperlink>
      <w:r w:rsidR="0039702E">
        <w:rPr>
          <w:rFonts w:ascii="Calibri" w:eastAsia="Calibri" w:hAnsi="Calibri" w:cs="Calibri"/>
          <w:color w:val="1155CC"/>
          <w:u w:val="single"/>
          <w:lang w:val="en-GB" w:eastAsia="en-AU"/>
        </w:rPr>
        <w:t>’</w:t>
      </w:r>
      <w:r w:rsidR="008F635D" w:rsidRPr="008F635D">
        <w:rPr>
          <w:rFonts w:ascii="Calibri" w:hAnsi="Calibri" w:cs="Calibri"/>
        </w:rPr>
        <w:t>,</w:t>
      </w:r>
      <w:r w:rsidR="00123262">
        <w:rPr>
          <w:rFonts w:ascii="Calibri" w:hAnsi="Calibri" w:cs="Calibri"/>
        </w:rPr>
        <w:t xml:space="preserve"> </w:t>
      </w:r>
      <w:r w:rsidR="008F635D" w:rsidRPr="00123262">
        <w:rPr>
          <w:rFonts w:ascii="Calibri" w:hAnsi="Calibri" w:cs="Calibri"/>
          <w:i/>
          <w:iCs/>
        </w:rPr>
        <w:t>Human Resources for Health Observer Series No. 24</w:t>
      </w:r>
      <w:r w:rsidR="008F635D" w:rsidRPr="008F635D">
        <w:rPr>
          <w:rFonts w:ascii="Calibri" w:hAnsi="Calibri" w:cs="Calibri"/>
        </w:rPr>
        <w:t>, 2019</w:t>
      </w:r>
      <w:r w:rsidR="00123262">
        <w:rPr>
          <w:rFonts w:ascii="Calibri" w:hAnsi="Calibri" w:cs="Calibr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ubik regular">
    <w:altName w:val="Cambria"/>
    <w:panose1 w:val="00000000000000000000"/>
    <w:charset w:val="00"/>
    <w:family w:val="roman"/>
    <w:notTrueType/>
    <w:pitch w:val="default"/>
  </w:font>
  <w:font w:name="Rubik">
    <w:altName w:val="Calibri"/>
    <w:charset w:val="00"/>
    <w:family w:val="auto"/>
    <w:pitch w:val="variable"/>
    <w:sig w:usb0="A0002A6F" w:usb1="C000205B" w:usb2="00000000" w:usb3="00000000" w:csb0="000000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C48F" w14:textId="77777777" w:rsidR="00086393" w:rsidRDefault="00235D8B">
    <w:pPr>
      <w:jc w:val="right"/>
      <w:rPr>
        <w:color w:val="000000"/>
      </w:rPr>
    </w:pPr>
    <w:r>
      <w:rPr>
        <w:color w:val="000000"/>
      </w:rPr>
      <w:fldChar w:fldCharType="begin"/>
    </w:r>
    <w:r>
      <w:rPr>
        <w:color w:val="000000"/>
      </w:rPr>
      <w:instrText>PAGE</w:instrText>
    </w:r>
    <w:r>
      <w:rPr>
        <w:color w:val="000000"/>
      </w:rPr>
      <w:fldChar w:fldCharType="separate"/>
    </w:r>
    <w:r w:rsidR="005E562F">
      <w:rPr>
        <w:noProof/>
        <w:color w:val="000000"/>
      </w:rPr>
      <w:t>2</w:t>
    </w:r>
    <w:r>
      <w:rPr>
        <w:color w:val="000000"/>
      </w:rPr>
      <w:fldChar w:fldCharType="end"/>
    </w:r>
    <w:r>
      <w:rPr>
        <w:noProof/>
      </w:rPr>
      <w:drawing>
        <wp:anchor distT="114300" distB="114300" distL="114300" distR="114300" simplePos="0" relativeHeight="251659264" behindDoc="0" locked="0" layoutInCell="1" hidden="0" allowOverlap="1" wp14:anchorId="25B18083" wp14:editId="259BDAB0">
          <wp:simplePos x="0" y="0"/>
          <wp:positionH relativeFrom="column">
            <wp:posOffset>-964564</wp:posOffset>
          </wp:positionH>
          <wp:positionV relativeFrom="paragraph">
            <wp:posOffset>523875</wp:posOffset>
          </wp:positionV>
          <wp:extent cx="7631430" cy="125730"/>
          <wp:effectExtent l="0" t="0" r="0" b="0"/>
          <wp:wrapNone/>
          <wp:docPr id="18771793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1430" cy="12573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1566" w14:textId="77777777" w:rsidR="00086393" w:rsidRDefault="00235D8B">
    <w:pPr>
      <w:jc w:val="right"/>
      <w:rPr>
        <w:color w:val="000000"/>
      </w:rPr>
    </w:pPr>
    <w:r>
      <w:rPr>
        <w:color w:val="000000"/>
      </w:rPr>
      <w:fldChar w:fldCharType="begin"/>
    </w:r>
    <w:r>
      <w:rPr>
        <w:color w:val="000000"/>
      </w:rPr>
      <w:instrText>PAGE</w:instrText>
    </w:r>
    <w:r>
      <w:rPr>
        <w:color w:val="000000"/>
      </w:rPr>
      <w:fldChar w:fldCharType="separate"/>
    </w:r>
    <w:r w:rsidR="005E562F">
      <w:rPr>
        <w:noProof/>
        <w:color w:val="000000"/>
      </w:rPr>
      <w:t>1</w:t>
    </w:r>
    <w:r>
      <w:rPr>
        <w:color w:val="000000"/>
      </w:rPr>
      <w:fldChar w:fldCharType="end"/>
    </w:r>
    <w:r>
      <w:rPr>
        <w:noProof/>
      </w:rPr>
      <w:drawing>
        <wp:anchor distT="114300" distB="114300" distL="114300" distR="114300" simplePos="0" relativeHeight="251660288" behindDoc="0" locked="0" layoutInCell="1" hidden="0" allowOverlap="1" wp14:anchorId="779C4BB9" wp14:editId="4211F27D">
          <wp:simplePos x="0" y="0"/>
          <wp:positionH relativeFrom="column">
            <wp:posOffset>-896619</wp:posOffset>
          </wp:positionH>
          <wp:positionV relativeFrom="paragraph">
            <wp:posOffset>521969</wp:posOffset>
          </wp:positionV>
          <wp:extent cx="7632000" cy="133200"/>
          <wp:effectExtent l="0" t="0" r="0" b="0"/>
          <wp:wrapNone/>
          <wp:docPr id="18771793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32000" cy="133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BF4D" w14:textId="77777777" w:rsidR="00846D84" w:rsidRDefault="00846D84">
      <w:pPr>
        <w:spacing w:line="240" w:lineRule="auto"/>
      </w:pPr>
      <w:r>
        <w:separator/>
      </w:r>
    </w:p>
  </w:footnote>
  <w:footnote w:type="continuationSeparator" w:id="0">
    <w:p w14:paraId="4D2C9946" w14:textId="77777777" w:rsidR="00846D84" w:rsidRDefault="00846D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8191" w14:textId="77777777" w:rsidR="00086393" w:rsidRDefault="00235D8B">
    <w:r>
      <w:rPr>
        <w:noProof/>
      </w:rPr>
      <w:drawing>
        <wp:inline distT="0" distB="0" distL="0" distR="0" wp14:anchorId="05ED97CD" wp14:editId="06E54C6C">
          <wp:extent cx="533400" cy="466725"/>
          <wp:effectExtent l="0" t="0" r="0" b="0"/>
          <wp:docPr id="1877179322" name="image3.png" descr="The Australian Women's Health Alliance logo with four graphic icons only, the first and second shapes are stacked on top of the third and fourth shapes."/>
          <wp:cNvGraphicFramePr/>
          <a:graphic xmlns:a="http://schemas.openxmlformats.org/drawingml/2006/main">
            <a:graphicData uri="http://schemas.openxmlformats.org/drawingml/2006/picture">
              <pic:pic xmlns:pic="http://schemas.openxmlformats.org/drawingml/2006/picture">
                <pic:nvPicPr>
                  <pic:cNvPr id="0" name="image3.png" descr="The Australian Women's Health Alliance logo with four graphic icons only, the first and second shapes are stacked on top of the third and fourth shapes."/>
                  <pic:cNvPicPr preferRelativeResize="0"/>
                </pic:nvPicPr>
                <pic:blipFill>
                  <a:blip r:embed="rId1"/>
                  <a:srcRect r="67058"/>
                  <a:stretch>
                    <a:fillRect/>
                  </a:stretch>
                </pic:blipFill>
                <pic:spPr>
                  <a:xfrm>
                    <a:off x="0" y="0"/>
                    <a:ext cx="533400" cy="466725"/>
                  </a:xfrm>
                  <a:prstGeom prst="rect">
                    <a:avLst/>
                  </a:prstGeom>
                  <a:ln/>
                </pic:spPr>
              </pic:pic>
            </a:graphicData>
          </a:graphic>
        </wp:inline>
      </w:drawing>
    </w:r>
  </w:p>
  <w:p w14:paraId="3902490E" w14:textId="77777777" w:rsidR="00086393" w:rsidRDefault="00086393"/>
  <w:p w14:paraId="7F781DE2" w14:textId="77777777" w:rsidR="00CB68A9" w:rsidRDefault="00CB68A9" w:rsidP="001141AC">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CC34" w14:textId="77777777" w:rsidR="00086393" w:rsidRDefault="00235D8B">
    <w:pPr>
      <w:rPr>
        <w:color w:val="7030A0"/>
      </w:rPr>
    </w:pPr>
    <w:r>
      <w:rPr>
        <w:noProof/>
      </w:rPr>
      <w:drawing>
        <wp:anchor distT="114300" distB="114300" distL="114300" distR="114300" simplePos="0" relativeHeight="251658240" behindDoc="0" locked="0" layoutInCell="1" hidden="0" allowOverlap="1" wp14:anchorId="67215525" wp14:editId="04CC6A06">
          <wp:simplePos x="0" y="0"/>
          <wp:positionH relativeFrom="page">
            <wp:posOffset>-1423</wp:posOffset>
          </wp:positionH>
          <wp:positionV relativeFrom="page">
            <wp:posOffset>-6984</wp:posOffset>
          </wp:positionV>
          <wp:extent cx="7938000" cy="46800"/>
          <wp:effectExtent l="0" t="0" r="0" b="0"/>
          <wp:wrapNone/>
          <wp:docPr id="18771793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38000" cy="46800"/>
                  </a:xfrm>
                  <a:prstGeom prst="rect">
                    <a:avLst/>
                  </a:prstGeom>
                  <a:ln/>
                </pic:spPr>
              </pic:pic>
            </a:graphicData>
          </a:graphic>
        </wp:anchor>
      </w:drawing>
    </w:r>
    <w:r>
      <w:rPr>
        <w:color w:val="7030A0"/>
      </w:rPr>
      <w:t xml:space="preserve">             </w:t>
    </w:r>
  </w:p>
  <w:tbl>
    <w:tblPr>
      <w:tblStyle w:val="1"/>
      <w:tblW w:w="4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4538"/>
    </w:tblGrid>
    <w:tr w:rsidR="00086393" w14:paraId="59203680" w14:textId="77777777" w:rsidTr="00E0714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8" w:type="dxa"/>
          <w:tcBorders>
            <w:top w:val="nil"/>
            <w:left w:val="nil"/>
            <w:bottom w:val="nil"/>
            <w:right w:val="nil"/>
          </w:tcBorders>
        </w:tcPr>
        <w:p w14:paraId="431A0AE1" w14:textId="39038FCC" w:rsidR="00086393" w:rsidRPr="00702CDB" w:rsidRDefault="00235D8B">
          <w:pPr>
            <w:rPr>
              <w:color w:val="7030A0"/>
            </w:rPr>
          </w:pPr>
          <w:r>
            <w:rPr>
              <w:noProof/>
            </w:rPr>
            <w:drawing>
              <wp:inline distT="0" distB="0" distL="0" distR="0" wp14:anchorId="310C2C24" wp14:editId="3B063141">
                <wp:extent cx="2151426" cy="733425"/>
                <wp:effectExtent l="0" t="0" r="0" b="0"/>
                <wp:docPr id="1877179323" name="image4.png" descr="The Australian Women’s Health Alliance logo, which consists of a graphic of four different coloured geometric shapes, with the first and second shapes stacked on top of the third and fourth shapes. To the right of graphic is the text “Australian Women’s Health Alliance”. "/>
                <wp:cNvGraphicFramePr/>
                <a:graphic xmlns:a="http://schemas.openxmlformats.org/drawingml/2006/main">
                  <a:graphicData uri="http://schemas.openxmlformats.org/drawingml/2006/picture">
                    <pic:pic xmlns:pic="http://schemas.openxmlformats.org/drawingml/2006/picture">
                      <pic:nvPicPr>
                        <pic:cNvPr id="0" name="image4.png" descr="The Australian Women’s Health Alliance logo, which consists of a graphic of four different coloured geometric shapes, with the first and second shapes stacked on top of the third and fourth shapes. To the right of graphic is the text “Australian Women’s Health Alliance”. "/>
                        <pic:cNvPicPr preferRelativeResize="0"/>
                      </pic:nvPicPr>
                      <pic:blipFill>
                        <a:blip r:embed="rId2"/>
                        <a:srcRect r="54005"/>
                        <a:stretch>
                          <a:fillRect/>
                        </a:stretch>
                      </pic:blipFill>
                      <pic:spPr>
                        <a:xfrm>
                          <a:off x="0" y="0"/>
                          <a:ext cx="2151426" cy="733425"/>
                        </a:xfrm>
                        <a:prstGeom prst="rect">
                          <a:avLst/>
                        </a:prstGeom>
                        <a:ln/>
                      </pic:spPr>
                    </pic:pic>
                  </a:graphicData>
                </a:graphic>
              </wp:inline>
            </w:drawing>
          </w:r>
        </w:p>
      </w:tc>
    </w:tr>
  </w:tbl>
  <w:p w14:paraId="43D7A165" w14:textId="77777777" w:rsidR="00086393" w:rsidRDefault="00086393">
    <w:pPr>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84A"/>
    <w:multiLevelType w:val="multilevel"/>
    <w:tmpl w:val="F09C4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537CB"/>
    <w:multiLevelType w:val="hybridMultilevel"/>
    <w:tmpl w:val="6AF48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220671"/>
    <w:multiLevelType w:val="hybridMultilevel"/>
    <w:tmpl w:val="7D36E4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26855265">
    <w:abstractNumId w:val="0"/>
  </w:num>
  <w:num w:numId="2" w16cid:durableId="1941529205">
    <w:abstractNumId w:val="2"/>
  </w:num>
  <w:num w:numId="3" w16cid:durableId="701517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393"/>
    <w:rsid w:val="00086393"/>
    <w:rsid w:val="000A52AF"/>
    <w:rsid w:val="000C5C8B"/>
    <w:rsid w:val="000D13D8"/>
    <w:rsid w:val="001141AC"/>
    <w:rsid w:val="00123262"/>
    <w:rsid w:val="001361C0"/>
    <w:rsid w:val="001361EC"/>
    <w:rsid w:val="001379CB"/>
    <w:rsid w:val="00137EB4"/>
    <w:rsid w:val="001428B5"/>
    <w:rsid w:val="0014698F"/>
    <w:rsid w:val="00154786"/>
    <w:rsid w:val="00180121"/>
    <w:rsid w:val="00186A38"/>
    <w:rsid w:val="001C2FCE"/>
    <w:rsid w:val="001F3CA0"/>
    <w:rsid w:val="00200355"/>
    <w:rsid w:val="00235D8B"/>
    <w:rsid w:val="00267249"/>
    <w:rsid w:val="002A2BFC"/>
    <w:rsid w:val="00307B3C"/>
    <w:rsid w:val="00311360"/>
    <w:rsid w:val="0032639E"/>
    <w:rsid w:val="003464BE"/>
    <w:rsid w:val="0039702E"/>
    <w:rsid w:val="003A78E7"/>
    <w:rsid w:val="003E2EEE"/>
    <w:rsid w:val="0045085C"/>
    <w:rsid w:val="0045297D"/>
    <w:rsid w:val="004644E2"/>
    <w:rsid w:val="004A5636"/>
    <w:rsid w:val="004C60D6"/>
    <w:rsid w:val="004D669C"/>
    <w:rsid w:val="005040C8"/>
    <w:rsid w:val="005153F0"/>
    <w:rsid w:val="005162C9"/>
    <w:rsid w:val="005215D3"/>
    <w:rsid w:val="005C31DF"/>
    <w:rsid w:val="005E562F"/>
    <w:rsid w:val="00605ADD"/>
    <w:rsid w:val="0061671F"/>
    <w:rsid w:val="0064089A"/>
    <w:rsid w:val="00695143"/>
    <w:rsid w:val="006C47B4"/>
    <w:rsid w:val="006C4F2B"/>
    <w:rsid w:val="006F043E"/>
    <w:rsid w:val="00702CDB"/>
    <w:rsid w:val="00740704"/>
    <w:rsid w:val="0074518F"/>
    <w:rsid w:val="007773FD"/>
    <w:rsid w:val="007A300D"/>
    <w:rsid w:val="007D3F8B"/>
    <w:rsid w:val="00802893"/>
    <w:rsid w:val="00814FF4"/>
    <w:rsid w:val="00846D84"/>
    <w:rsid w:val="008F411C"/>
    <w:rsid w:val="008F635D"/>
    <w:rsid w:val="00912D03"/>
    <w:rsid w:val="00965D0C"/>
    <w:rsid w:val="00986AAE"/>
    <w:rsid w:val="00998288"/>
    <w:rsid w:val="009A0E6B"/>
    <w:rsid w:val="009A3A8D"/>
    <w:rsid w:val="009B5DB5"/>
    <w:rsid w:val="009C288E"/>
    <w:rsid w:val="009E7337"/>
    <w:rsid w:val="00A0133C"/>
    <w:rsid w:val="00A14FC7"/>
    <w:rsid w:val="00A163E3"/>
    <w:rsid w:val="00AA3784"/>
    <w:rsid w:val="00AA6984"/>
    <w:rsid w:val="00AB07BE"/>
    <w:rsid w:val="00AD1709"/>
    <w:rsid w:val="00AF0723"/>
    <w:rsid w:val="00B2288C"/>
    <w:rsid w:val="00B54024"/>
    <w:rsid w:val="00B57F94"/>
    <w:rsid w:val="00BE6648"/>
    <w:rsid w:val="00BF5E98"/>
    <w:rsid w:val="00C218C1"/>
    <w:rsid w:val="00C80C67"/>
    <w:rsid w:val="00C863D4"/>
    <w:rsid w:val="00CB1039"/>
    <w:rsid w:val="00CB68A9"/>
    <w:rsid w:val="00CE128F"/>
    <w:rsid w:val="00D06CCB"/>
    <w:rsid w:val="00D11775"/>
    <w:rsid w:val="00D71EDF"/>
    <w:rsid w:val="00DD195F"/>
    <w:rsid w:val="00DE0D67"/>
    <w:rsid w:val="00E0714D"/>
    <w:rsid w:val="00E24653"/>
    <w:rsid w:val="00E51505"/>
    <w:rsid w:val="00EA2403"/>
    <w:rsid w:val="00EC7237"/>
    <w:rsid w:val="00ED727E"/>
    <w:rsid w:val="00EE07F3"/>
    <w:rsid w:val="00F0183A"/>
    <w:rsid w:val="00F45374"/>
    <w:rsid w:val="00F75333"/>
    <w:rsid w:val="00F91117"/>
    <w:rsid w:val="00F9781F"/>
    <w:rsid w:val="00FA1DCE"/>
    <w:rsid w:val="14488425"/>
    <w:rsid w:val="2115B0ED"/>
    <w:rsid w:val="26051A63"/>
    <w:rsid w:val="29B3641D"/>
    <w:rsid w:val="4FC13AB1"/>
    <w:rsid w:val="51105F6E"/>
    <w:rsid w:val="51C05A62"/>
    <w:rsid w:val="5953FFBA"/>
    <w:rsid w:val="5CC59366"/>
    <w:rsid w:val="612E70BE"/>
    <w:rsid w:val="7D61E1C5"/>
    <w:rsid w:val="7FB9D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2F8D"/>
  <w15:docId w15:val="{92AC3898-10F7-434B-B830-C0AE1233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7AE"/>
    <w:pPr>
      <w:keepNext/>
      <w:keepLines/>
      <w:outlineLvl w:val="0"/>
    </w:pPr>
    <w:rPr>
      <w:rFonts w:ascii="Rubik regular" w:eastAsia="Rubik" w:hAnsi="Rubik regular" w:cs="Rubik"/>
      <w:color w:val="5A006F"/>
      <w:sz w:val="36"/>
      <w:szCs w:val="36"/>
    </w:rPr>
  </w:style>
  <w:style w:type="paragraph" w:styleId="Heading2">
    <w:name w:val="heading 2"/>
    <w:basedOn w:val="Normal"/>
    <w:next w:val="Normal"/>
    <w:link w:val="Heading2Char"/>
    <w:uiPriority w:val="9"/>
    <w:unhideWhenUsed/>
    <w:qFormat/>
    <w:rsid w:val="000377AE"/>
    <w:pPr>
      <w:keepNext/>
      <w:keepLines/>
      <w:spacing w:after="320"/>
      <w:outlineLvl w:val="1"/>
    </w:pPr>
    <w:rPr>
      <w:rFonts w:ascii="Rubik regular" w:eastAsia="Rubik" w:hAnsi="Rubik regular" w:cs="Rubik"/>
      <w:color w:val="5A006F"/>
      <w:sz w:val="30"/>
      <w:szCs w:val="30"/>
    </w:rPr>
  </w:style>
  <w:style w:type="paragraph" w:styleId="Heading3">
    <w:name w:val="heading 3"/>
    <w:basedOn w:val="Normal"/>
    <w:next w:val="Normal"/>
    <w:uiPriority w:val="9"/>
    <w:unhideWhenUsed/>
    <w:qFormat/>
    <w:rsid w:val="00302CFE"/>
    <w:pPr>
      <w:keepNext/>
      <w:keepLines/>
      <w:outlineLvl w:val="2"/>
    </w:pPr>
    <w:rPr>
      <w:rFonts w:ascii="Rubik regular" w:hAnsi="Rubik regular"/>
      <w:color w:val="6F1A8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paragraph" w:styleId="EndnoteText">
    <w:name w:val="endnote text"/>
    <w:basedOn w:val="Normal"/>
    <w:link w:val="EndnoteTextChar"/>
    <w:uiPriority w:val="99"/>
    <w:unhideWhenUsed/>
    <w:rsid w:val="001A0EDE"/>
    <w:pPr>
      <w:spacing w:line="240" w:lineRule="auto"/>
    </w:pPr>
    <w:rPr>
      <w:rFonts w:asciiTheme="minorHAnsi" w:eastAsia="Times New Roman" w:hAnsiTheme="minorHAnsi" w:cs="Times New Roman"/>
      <w:lang w:val="en-AU" w:eastAsia="en-US"/>
    </w:rPr>
  </w:style>
  <w:style w:type="character" w:customStyle="1" w:styleId="EndnoteTextChar">
    <w:name w:val="Endnote Text Char"/>
    <w:basedOn w:val="DefaultParagraphFont"/>
    <w:link w:val="EndnoteText"/>
    <w:uiPriority w:val="99"/>
    <w:rsid w:val="001A0EDE"/>
    <w:rPr>
      <w:rFonts w:asciiTheme="minorHAnsi" w:eastAsia="Times New Roman" w:hAnsiTheme="minorHAnsi" w:cs="Times New Roman"/>
      <w:lang w:val="en-AU" w:eastAsia="en-US"/>
    </w:rPr>
  </w:style>
  <w:style w:type="character" w:styleId="EndnoteReference">
    <w:name w:val="endnote reference"/>
    <w:basedOn w:val="DefaultParagraphFont"/>
    <w:uiPriority w:val="99"/>
    <w:semiHidden/>
    <w:unhideWhenUsed/>
    <w:rsid w:val="001A0EDE"/>
    <w:rPr>
      <w:vertAlign w:val="superscript"/>
    </w:rPr>
  </w:style>
  <w:style w:type="character" w:customStyle="1" w:styleId="Heading2Char">
    <w:name w:val="Heading 2 Char"/>
    <w:basedOn w:val="DefaultParagraphFont"/>
    <w:link w:val="Heading2"/>
    <w:uiPriority w:val="9"/>
    <w:rsid w:val="000377AE"/>
    <w:rPr>
      <w:rFonts w:ascii="Rubik regular" w:eastAsia="Rubik" w:hAnsi="Rubik regular" w:cs="Rubik"/>
      <w:color w:val="5A006F"/>
      <w:sz w:val="30"/>
      <w:szCs w:val="30"/>
    </w:rPr>
  </w:style>
  <w:style w:type="character" w:styleId="FollowedHyperlink">
    <w:name w:val="FollowedHyperlink"/>
    <w:basedOn w:val="DefaultParagraphFont"/>
    <w:uiPriority w:val="99"/>
    <w:semiHidden/>
    <w:unhideWhenUsed/>
    <w:rsid w:val="00D3424F"/>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1"/>
    <w:link w:val="Style1Char"/>
    <w:rsid w:val="000377AE"/>
  </w:style>
  <w:style w:type="character" w:customStyle="1" w:styleId="Heading1Char">
    <w:name w:val="Heading 1 Char"/>
    <w:basedOn w:val="DefaultParagraphFont"/>
    <w:link w:val="Heading1"/>
    <w:uiPriority w:val="9"/>
    <w:rsid w:val="000377AE"/>
    <w:rPr>
      <w:rFonts w:ascii="Rubik regular" w:eastAsia="Rubik" w:hAnsi="Rubik regular" w:cs="Rubik"/>
      <w:color w:val="5A006F"/>
      <w:sz w:val="36"/>
      <w:szCs w:val="36"/>
    </w:rPr>
  </w:style>
  <w:style w:type="character" w:customStyle="1" w:styleId="Style1Char">
    <w:name w:val="Style1 Char"/>
    <w:basedOn w:val="Heading1Char"/>
    <w:link w:val="Style1"/>
    <w:rsid w:val="000377AE"/>
    <w:rPr>
      <w:rFonts w:ascii="Rubik regular" w:eastAsia="Rubik" w:hAnsi="Rubik regular" w:cs="Rubik"/>
      <w:color w:val="5A006F"/>
      <w:sz w:val="36"/>
      <w:szCs w:val="36"/>
    </w:rPr>
  </w:style>
  <w:style w:type="paragraph" w:styleId="NormalWeb">
    <w:name w:val="Normal (Web)"/>
    <w:basedOn w:val="Normal"/>
    <w:uiPriority w:val="99"/>
    <w:semiHidden/>
    <w:unhideWhenUsed/>
    <w:rsid w:val="00CE21EF"/>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FootnoteText">
    <w:name w:val="footnote text"/>
    <w:basedOn w:val="Normal"/>
    <w:link w:val="FootnoteTextChar"/>
    <w:uiPriority w:val="99"/>
    <w:semiHidden/>
    <w:unhideWhenUsed/>
    <w:rsid w:val="00835E8A"/>
    <w:pPr>
      <w:spacing w:line="240" w:lineRule="auto"/>
    </w:pPr>
  </w:style>
  <w:style w:type="character" w:customStyle="1" w:styleId="FootnoteTextChar">
    <w:name w:val="Footnote Text Char"/>
    <w:basedOn w:val="DefaultParagraphFont"/>
    <w:link w:val="FootnoteText"/>
    <w:uiPriority w:val="99"/>
    <w:semiHidden/>
    <w:rsid w:val="00835E8A"/>
  </w:style>
  <w:style w:type="character" w:styleId="FootnoteReference">
    <w:name w:val="footnote reference"/>
    <w:basedOn w:val="DefaultParagraphFont"/>
    <w:uiPriority w:val="99"/>
    <w:semiHidden/>
    <w:unhideWhenUsed/>
    <w:rsid w:val="00835E8A"/>
    <w:rPr>
      <w:vertAlign w:val="superscript"/>
    </w:rPr>
  </w:style>
  <w:style w:type="table" w:customStyle="1" w:styleId="1">
    <w:name w:val="1"/>
    <w:basedOn w:val="TableNormal"/>
    <w:pPr>
      <w:spacing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235D8B"/>
    <w:rPr>
      <w:sz w:val="16"/>
      <w:szCs w:val="16"/>
    </w:rPr>
  </w:style>
  <w:style w:type="paragraph" w:styleId="CommentText">
    <w:name w:val="annotation text"/>
    <w:basedOn w:val="Normal"/>
    <w:link w:val="CommentTextChar"/>
    <w:uiPriority w:val="99"/>
    <w:unhideWhenUsed/>
    <w:rsid w:val="00235D8B"/>
    <w:pPr>
      <w:spacing w:line="240" w:lineRule="auto"/>
    </w:pPr>
  </w:style>
  <w:style w:type="character" w:customStyle="1" w:styleId="CommentTextChar">
    <w:name w:val="Comment Text Char"/>
    <w:basedOn w:val="DefaultParagraphFont"/>
    <w:link w:val="CommentText"/>
    <w:uiPriority w:val="99"/>
    <w:rsid w:val="00235D8B"/>
  </w:style>
  <w:style w:type="paragraph" w:styleId="CommentSubject">
    <w:name w:val="annotation subject"/>
    <w:basedOn w:val="CommentText"/>
    <w:next w:val="CommentText"/>
    <w:link w:val="CommentSubjectChar"/>
    <w:uiPriority w:val="99"/>
    <w:semiHidden/>
    <w:unhideWhenUsed/>
    <w:rsid w:val="00235D8B"/>
    <w:rPr>
      <w:b/>
      <w:bCs/>
    </w:rPr>
  </w:style>
  <w:style w:type="character" w:customStyle="1" w:styleId="CommentSubjectChar">
    <w:name w:val="Comment Subject Char"/>
    <w:basedOn w:val="CommentTextChar"/>
    <w:link w:val="CommentSubject"/>
    <w:uiPriority w:val="99"/>
    <w:semiHidden/>
    <w:rsid w:val="00235D8B"/>
    <w:rPr>
      <w:b/>
      <w:bCs/>
    </w:rPr>
  </w:style>
  <w:style w:type="paragraph" w:styleId="Revision">
    <w:name w:val="Revision"/>
    <w:hidden/>
    <w:uiPriority w:val="99"/>
    <w:semiHidden/>
    <w:rsid w:val="00BF5E98"/>
    <w:pPr>
      <w:spacing w:line="240" w:lineRule="auto"/>
    </w:pPr>
  </w:style>
  <w:style w:type="character" w:styleId="Mention">
    <w:name w:val="Mention"/>
    <w:basedOn w:val="DefaultParagraphFont"/>
    <w:uiPriority w:val="99"/>
    <w:unhideWhenUsed/>
    <w:rsid w:val="00965D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ustralianwomenshealt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AustralianWomensHealt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wwda.org.au/wp-content/uploads/2022/11/Towards-Reproductive-Justice-for-young-women-girls-feminine-identifying-and-non-binary-people-with-disability-YWGwD.pdf" TargetMode="External"/><Relationship Id="rId13" Type="http://schemas.openxmlformats.org/officeDocument/2006/relationships/hyperlink" Target="https://www.ohchr.org/sites/default/files/Documents/Issues/ESCR/InterAgencyStatementDiscriminationHealthCare.pdf" TargetMode="External"/><Relationship Id="rId18" Type="http://schemas.openxmlformats.org/officeDocument/2006/relationships/hyperlink" Target="https://www.nature.com/articles/d41586-021-03536-w" TargetMode="External"/><Relationship Id="rId3" Type="http://schemas.openxmlformats.org/officeDocument/2006/relationships/hyperlink" Target="https://www.pmc.gov.au/sites/default/files/resource/download/national-strategy-gender-equality-discussion-paper_0.pdf" TargetMode="External"/><Relationship Id="rId7" Type="http://schemas.openxmlformats.org/officeDocument/2006/relationships/hyperlink" Target="https://www.ncbi.nlm.nih.gov/entrez/eutils/elink.fcgi?dbfrom=pubmed&amp;retmode=ref&amp;cmd=prlinks&amp;id=31155270" TargetMode="External"/><Relationship Id="rId12" Type="http://schemas.openxmlformats.org/officeDocument/2006/relationships/hyperlink" Target="https://www.ncbi.nlm.nih.gov/pmc/articles/PMC5845507/" TargetMode="External"/><Relationship Id="rId17" Type="http://schemas.openxmlformats.org/officeDocument/2006/relationships/hyperlink" Target="https://www.ncbi.nlm.nih.gov/pmc/articles/PMC7233290/" TargetMode="External"/><Relationship Id="rId2" Type="http://schemas.openxmlformats.org/officeDocument/2006/relationships/hyperlink" Target="https://www.ncbi.nlm.nih.gov/pmc/articles/PMC5845507/" TargetMode="External"/><Relationship Id="rId16" Type="http://schemas.openxmlformats.org/officeDocument/2006/relationships/hyperlink" Target="https://www.theguardian.com/commentisfree/2023/feb/12/i-was-10-years-old-when-i-was-taken-from-my-home-the-stolen-generations-never-ended" TargetMode="External"/><Relationship Id="rId1" Type="http://schemas.openxmlformats.org/officeDocument/2006/relationships/hyperlink" Target="https://www.health.gov.au/sites/default/files/documents/2021/05/national-women-s-health-strategy-2020-2030_0.pdf" TargetMode="External"/><Relationship Id="rId6" Type="http://schemas.openxmlformats.org/officeDocument/2006/relationships/hyperlink" Target="https://www.ncbi.nlm.nih.gov/pmc/articles/PMC7233290/" TargetMode="External"/><Relationship Id="rId11" Type="http://schemas.openxmlformats.org/officeDocument/2006/relationships/hyperlink" Target="https://www.ohchr.org/sites/default/files/Documents/Issues/ESCR/InterAgencyStatementDiscriminationHealthCare.pdf" TargetMode="External"/><Relationship Id="rId5" Type="http://schemas.openxmlformats.org/officeDocument/2006/relationships/hyperlink" Target="https://www.health.gov.au/womens-health-advisory-council" TargetMode="External"/><Relationship Id="rId15" Type="http://schemas.openxmlformats.org/officeDocument/2006/relationships/hyperlink" Target="https://www.latrobe.edu.au/news/articles/2019/opinion/everyday-sexism-and-womens-mental-health" TargetMode="External"/><Relationship Id="rId10" Type="http://schemas.openxmlformats.org/officeDocument/2006/relationships/hyperlink" Target="https://www.ohchr.org/sites/default/files/Documents/Issues/ESCR/InterAgencyStatementDiscriminationHealthCare.pdf" TargetMode="External"/><Relationship Id="rId19" Type="http://schemas.openxmlformats.org/officeDocument/2006/relationships/hyperlink" Target="https://cdn.who.int/media/docs/default-source/health-workforce/delivered-by-women-led-by-men.pdf?sfvrsn=94be9959_2" TargetMode="External"/><Relationship Id="rId4" Type="http://schemas.openxmlformats.org/officeDocument/2006/relationships/hyperlink" Target="https://www.health.gov.au/womens-health-advisory-council" TargetMode="External"/><Relationship Id="rId9" Type="http://schemas.openxmlformats.org/officeDocument/2006/relationships/hyperlink" Target="https://www.health.gov.au/sites/default/files/documents/2021/05/national-women-s-health-strategy-2020-2030_0.pdf" TargetMode="External"/><Relationship Id="rId14" Type="http://schemas.openxmlformats.org/officeDocument/2006/relationships/hyperlink" Target="https://www.researchgate.net/profile/Scott-Hall-4/publication/315694234_When_Treatment_Becomes_Trauma_Defining_Preventing_and_Transforming_Medical_Trauma/links/58dc15dfa6fdcc7c9f2769c7/When-Treatment-Becomes-Trauma-Defining-Preventing-and-Transforming-Medical-Trauma.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wEd6C3kvkpIwKgY7nTbGbY8uKg==">CgMxLjAyCGguZ2pkZ3hzMgloLjMwajB6bGwyCWguMWZvYjl0ZTIJaC4zem55c2g3MgloLjJldDkycDAyCWguM2R5NnZrbTIJaC4xdDNoNXNmOAByITFjSE9ITE9jVWRSbDRLTmZqLWp2cGRVS3NkclNIX1djWg==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4" ma:contentTypeDescription="Create a new document." ma:contentTypeScope="" ma:versionID="8ae806bd3aa973fc1a2dd7def0187981">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09155f61caf7c2a0474ef280c069331f"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xsi:nil="true"/>
    <SharedWithUsers xmlns="5b707c4a-f0af-4a30-ae8a-e74992196a0f">
      <UserInfo>
        <DisplayName>Chair</DisplayName>
        <AccountId>10</AccountId>
        <AccountType/>
      </UserInfo>
      <UserInfo>
        <DisplayName>Sienna Aguilar</DisplayName>
        <AccountId>48</AccountId>
        <AccountType/>
      </UserInfo>
      <UserInfo>
        <DisplayName>Secretary</DisplayName>
        <AccountId>70</AccountId>
        <AccountType/>
      </UserInfo>
      <UserInfo>
        <DisplayName>Treasurer</DisplayName>
        <AccountId>47</AccountId>
        <AccountType/>
      </UserInfo>
      <UserInfo>
        <DisplayName>South Australia</DisplayName>
        <AccountId>302</AccountId>
        <AccountType/>
      </UserInfo>
      <UserInfo>
        <DisplayName>Tasmania</DisplayName>
        <AccountId>163</AccountId>
        <AccountType/>
      </UserInfo>
      <UserInfo>
        <DisplayName>Queensland</DisplayName>
        <AccountId>109</AccountId>
        <AccountType/>
      </UserInfo>
      <UserInfo>
        <DisplayName>SA</DisplayName>
        <AccountId>73</AccountId>
        <AccountType/>
      </UserInfo>
      <UserInfo>
        <DisplayName>TAS</DisplayName>
        <AccountId>85</AccountId>
        <AccountType/>
      </UserInfo>
      <UserInfo>
        <DisplayName>NSW</DisplayName>
        <AccountId>312</AccountId>
        <AccountType/>
      </UserInfo>
      <UserInfo>
        <DisplayName>QLD</DisplayName>
        <AccountId>78</AccountId>
        <AccountType/>
      </UserInfo>
      <UserInfo>
        <DisplayName>NT</DisplayName>
        <AccountId>301</AccountId>
        <AccountType/>
      </UserInfo>
      <UserInfo>
        <DisplayName>WA</DisplayName>
        <AccountId>98</AccountId>
        <AccountType/>
      </UserInfo>
      <UserInfo>
        <DisplayName>ACT</DisplayName>
        <AccountId>52</AccountId>
        <AccountType/>
      </UserInfo>
    </SharedWithUsers>
  </documentManagement>
</p:properties>
</file>

<file path=customXml/itemProps1.xml><?xml version="1.0" encoding="utf-8"?>
<ds:datastoreItem xmlns:ds="http://schemas.openxmlformats.org/officeDocument/2006/customXml" ds:itemID="{9C3C4154-8B95-4642-AED5-5140DC8F342C}">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779A55F-6F11-422F-A375-CFC542299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B6D3B7-5707-4BC3-818E-95B13371C1D8}">
  <ds:schemaRefs>
    <ds:schemaRef ds:uri="http://schemas.openxmlformats.org/officeDocument/2006/bibliography"/>
  </ds:schemaRefs>
</ds:datastoreItem>
</file>

<file path=customXml/itemProps5.xml><?xml version="1.0" encoding="utf-8"?>
<ds:datastoreItem xmlns:ds="http://schemas.openxmlformats.org/officeDocument/2006/customXml" ds:itemID="{BEDE8DDE-F40E-47ED-A47F-B5A5DDE7A6BA}">
  <ds:schemaRefs>
    <ds:schemaRef ds:uri="http://schemas.microsoft.com/office/2006/metadata/properties"/>
    <ds:schemaRef ds:uri="http://schemas.microsoft.com/office/infopath/2007/PartnerControls"/>
    <ds:schemaRef ds:uri="153f973e-18e3-4683-9db9-a8b30f12ddca"/>
    <ds:schemaRef ds:uri="5b707c4a-f0af-4a30-ae8a-e74992196a0f"/>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1049</Words>
  <Characters>6222</Characters>
  <Application>Microsoft Office Word</Application>
  <DocSecurity>0</DocSecurity>
  <Lines>113</Lines>
  <Paragraphs>42</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Women's Health Alliance</dc:creator>
  <cp:lastModifiedBy>Bonnie Laxton-Blinkhorn</cp:lastModifiedBy>
  <cp:revision>5</cp:revision>
  <dcterms:created xsi:type="dcterms:W3CDTF">2024-02-28T00:23:00Z</dcterms:created>
  <dcterms:modified xsi:type="dcterms:W3CDTF">2024-03-06T04:45:00Z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Order">
    <vt:r8>164800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