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93173" w14:textId="2E8409B4" w:rsidR="00A73BCF" w:rsidRPr="000A0BB6" w:rsidRDefault="00A73BCF" w:rsidP="7EF4EDBD">
      <w:pPr>
        <w:keepNext/>
        <w:keepLines/>
        <w:pBdr>
          <w:top w:val="nil"/>
          <w:left w:val="nil"/>
          <w:bottom w:val="nil"/>
          <w:right w:val="nil"/>
          <w:between w:val="nil"/>
        </w:pBdr>
        <w:rPr>
          <w:rFonts w:ascii="Rubik" w:eastAsia="Rubik" w:hAnsi="Rubik" w:cs="Rubik"/>
          <w:color w:val="5A006F"/>
          <w:sz w:val="30"/>
          <w:szCs w:val="30"/>
        </w:rPr>
      </w:pPr>
      <w:r w:rsidRPr="000A0BB6">
        <w:rPr>
          <w:rFonts w:ascii="Rubik" w:eastAsia="Rubik" w:hAnsi="Rubik" w:cs="Rubik"/>
          <w:color w:val="5A006F"/>
          <w:sz w:val="30"/>
          <w:szCs w:val="30"/>
        </w:rPr>
        <w:t xml:space="preserve">Policy </w:t>
      </w:r>
      <w:r w:rsidR="00EC5B2E" w:rsidRPr="000A0BB6">
        <w:rPr>
          <w:rFonts w:ascii="Rubik" w:eastAsia="Rubik" w:hAnsi="Rubik" w:cs="Rubik"/>
          <w:color w:val="5A006F"/>
          <w:sz w:val="30"/>
          <w:szCs w:val="30"/>
        </w:rPr>
        <w:t>B</w:t>
      </w:r>
      <w:r w:rsidRPr="000A0BB6">
        <w:rPr>
          <w:rFonts w:ascii="Rubik" w:eastAsia="Rubik" w:hAnsi="Rubik" w:cs="Rubik"/>
          <w:color w:val="5A006F"/>
          <w:sz w:val="30"/>
          <w:szCs w:val="30"/>
        </w:rPr>
        <w:t>rief</w:t>
      </w:r>
    </w:p>
    <w:p w14:paraId="50FAF9C5" w14:textId="0F0A05A6" w:rsidR="00A73BCF" w:rsidRPr="000A0BB6" w:rsidRDefault="000A0BB6" w:rsidP="0069672B">
      <w:pPr>
        <w:pStyle w:val="Heading2"/>
        <w:spacing w:after="0"/>
      </w:pPr>
      <w:bookmarkStart w:id="0" w:name="_heading=h.gjdgxs" w:colFirst="0" w:colLast="0"/>
      <w:bookmarkEnd w:id="0"/>
      <w:r w:rsidRPr="000A0BB6">
        <w:rPr>
          <w:rFonts w:ascii="Rubik" w:hAnsi="Rubik"/>
        </w:rPr>
        <w:t>Enabling Agency in Health Care</w:t>
      </w:r>
    </w:p>
    <w:p w14:paraId="6C4D55FD" w14:textId="77777777" w:rsidR="00A713F8" w:rsidRDefault="00A713F8" w:rsidP="00A713F8"/>
    <w:p w14:paraId="474CD11C" w14:textId="06565BE0" w:rsidR="00A73BCF" w:rsidRPr="003F5B25" w:rsidRDefault="00A73BCF" w:rsidP="0069672B">
      <w:pPr>
        <w:pStyle w:val="Heading3"/>
        <w:rPr>
          <w:rFonts w:ascii="Rubik" w:hAnsi="Rubik"/>
        </w:rPr>
      </w:pPr>
      <w:r w:rsidRPr="003F5B25">
        <w:rPr>
          <w:rFonts w:ascii="Rubik" w:hAnsi="Rubik"/>
        </w:rPr>
        <w:t>Key messages</w:t>
      </w:r>
    </w:p>
    <w:p w14:paraId="68FEF124" w14:textId="6FB78930" w:rsidR="00A73BCF" w:rsidRPr="003F6E1E" w:rsidRDefault="00A73BCF" w:rsidP="001E6203">
      <w:pPr>
        <w:numPr>
          <w:ilvl w:val="0"/>
          <w:numId w:val="5"/>
        </w:numPr>
        <w:rPr>
          <w:color w:val="000000"/>
          <w:sz w:val="22"/>
          <w:szCs w:val="22"/>
        </w:rPr>
      </w:pPr>
      <w:bookmarkStart w:id="1" w:name="_heading=h.30j0zll" w:colFirst="0" w:colLast="0"/>
      <w:bookmarkEnd w:id="1"/>
      <w:r w:rsidRPr="001E6203">
        <w:rPr>
          <w:color w:val="000000"/>
          <w:sz w:val="22"/>
          <w:szCs w:val="22"/>
        </w:rPr>
        <w:t xml:space="preserve">Agency is </w:t>
      </w:r>
      <w:r w:rsidR="001C3422" w:rsidRPr="001E6203">
        <w:rPr>
          <w:color w:val="000000"/>
          <w:sz w:val="22"/>
          <w:szCs w:val="22"/>
        </w:rPr>
        <w:t xml:space="preserve">when </w:t>
      </w:r>
      <w:r w:rsidRPr="001E6203">
        <w:rPr>
          <w:color w:val="000000"/>
          <w:sz w:val="22"/>
          <w:szCs w:val="22"/>
        </w:rPr>
        <w:t>people hav</w:t>
      </w:r>
      <w:r w:rsidR="001C3422" w:rsidRPr="001E6203">
        <w:rPr>
          <w:color w:val="000000"/>
          <w:sz w:val="22"/>
          <w:szCs w:val="22"/>
        </w:rPr>
        <w:t>e</w:t>
      </w:r>
      <w:r w:rsidRPr="001E6203">
        <w:rPr>
          <w:color w:val="000000"/>
          <w:sz w:val="22"/>
          <w:szCs w:val="22"/>
        </w:rPr>
        <w:t xml:space="preserve"> the freedom and resources to make decisions and act in ways that influence their lives. </w:t>
      </w:r>
    </w:p>
    <w:p w14:paraId="1775E758" w14:textId="30F7C937" w:rsidR="00A73BCF" w:rsidRPr="003F6E1E" w:rsidRDefault="00A73BCF" w:rsidP="001E6203">
      <w:pPr>
        <w:numPr>
          <w:ilvl w:val="0"/>
          <w:numId w:val="5"/>
        </w:numPr>
        <w:rPr>
          <w:color w:val="000000"/>
          <w:sz w:val="22"/>
          <w:szCs w:val="22"/>
        </w:rPr>
      </w:pPr>
      <w:bookmarkStart w:id="2" w:name="_heading=h.a99ij9b3xcxt"/>
      <w:bookmarkEnd w:id="2"/>
      <w:r w:rsidRPr="7B635997">
        <w:rPr>
          <w:color w:val="000000" w:themeColor="text1"/>
          <w:sz w:val="22"/>
          <w:szCs w:val="22"/>
        </w:rPr>
        <w:t>Women’s agency in health</w:t>
      </w:r>
      <w:r w:rsidR="00BF1E33">
        <w:rPr>
          <w:color w:val="000000" w:themeColor="text1"/>
          <w:sz w:val="22"/>
          <w:szCs w:val="22"/>
        </w:rPr>
        <w:t xml:space="preserve"> </w:t>
      </w:r>
      <w:r w:rsidRPr="7B635997">
        <w:rPr>
          <w:color w:val="000000" w:themeColor="text1"/>
          <w:sz w:val="22"/>
          <w:szCs w:val="22"/>
        </w:rPr>
        <w:t xml:space="preserve">care has </w:t>
      </w:r>
      <w:r w:rsidR="00877DC9">
        <w:rPr>
          <w:color w:val="000000" w:themeColor="text1"/>
          <w:sz w:val="22"/>
          <w:szCs w:val="22"/>
        </w:rPr>
        <w:t>4</w:t>
      </w:r>
      <w:r w:rsidRPr="7B635997">
        <w:rPr>
          <w:color w:val="000000" w:themeColor="text1"/>
          <w:sz w:val="22"/>
          <w:szCs w:val="22"/>
        </w:rPr>
        <w:t xml:space="preserve"> main dimensions: decision-making power,</w:t>
      </w:r>
      <w:r w:rsidR="00E250C8">
        <w:rPr>
          <w:color w:val="000000" w:themeColor="text1"/>
          <w:sz w:val="22"/>
          <w:szCs w:val="22"/>
        </w:rPr>
        <w:t xml:space="preserve"> access to information,</w:t>
      </w:r>
      <w:r w:rsidRPr="7B635997">
        <w:rPr>
          <w:color w:val="000000" w:themeColor="text1"/>
          <w:sz w:val="22"/>
          <w:szCs w:val="22"/>
        </w:rPr>
        <w:t xml:space="preserve"> freedom of movement and the promotion of gender equitable attitudes.</w:t>
      </w:r>
    </w:p>
    <w:p w14:paraId="2138D8B6" w14:textId="1F32D9A0" w:rsidR="00A73BCF" w:rsidRPr="001E6203" w:rsidRDefault="00A73BCF" w:rsidP="001E6203">
      <w:pPr>
        <w:numPr>
          <w:ilvl w:val="0"/>
          <w:numId w:val="5"/>
        </w:numPr>
        <w:rPr>
          <w:color w:val="000000"/>
          <w:sz w:val="22"/>
          <w:szCs w:val="22"/>
        </w:rPr>
      </w:pPr>
      <w:bookmarkStart w:id="3" w:name="_heading=h.4iduw4om997" w:colFirst="0" w:colLast="0"/>
      <w:bookmarkEnd w:id="3"/>
      <w:r w:rsidRPr="001E6203">
        <w:rPr>
          <w:color w:val="000000"/>
          <w:sz w:val="22"/>
          <w:szCs w:val="22"/>
        </w:rPr>
        <w:t>Women face a range of interpersonal and institutional barriers that restrict their agency, including in important decision-making contexts</w:t>
      </w:r>
      <w:r w:rsidR="001D014F" w:rsidRPr="001E6203">
        <w:rPr>
          <w:color w:val="000000"/>
          <w:sz w:val="22"/>
          <w:szCs w:val="22"/>
        </w:rPr>
        <w:t>.</w:t>
      </w:r>
    </w:p>
    <w:p w14:paraId="1CDE8B5F" w14:textId="27DB693B" w:rsidR="00A73BCF" w:rsidRPr="001E6203" w:rsidRDefault="00A73BCF" w:rsidP="001E6203">
      <w:pPr>
        <w:numPr>
          <w:ilvl w:val="0"/>
          <w:numId w:val="5"/>
        </w:numPr>
        <w:rPr>
          <w:color w:val="000000"/>
          <w:sz w:val="22"/>
          <w:szCs w:val="22"/>
        </w:rPr>
      </w:pPr>
      <w:bookmarkStart w:id="4" w:name="_heading=h.jilmryi6qqig" w:colFirst="0" w:colLast="0"/>
      <w:bookmarkEnd w:id="4"/>
      <w:r w:rsidRPr="001E6203">
        <w:rPr>
          <w:color w:val="000000"/>
          <w:sz w:val="22"/>
          <w:szCs w:val="22"/>
        </w:rPr>
        <w:t>Using an intersectional gender</w:t>
      </w:r>
      <w:r w:rsidR="006F63D1">
        <w:rPr>
          <w:color w:val="000000"/>
          <w:sz w:val="22"/>
          <w:szCs w:val="22"/>
        </w:rPr>
        <w:t>ed</w:t>
      </w:r>
      <w:r w:rsidRPr="001E6203">
        <w:rPr>
          <w:color w:val="000000"/>
          <w:sz w:val="22"/>
          <w:szCs w:val="22"/>
        </w:rPr>
        <w:t xml:space="preserve"> lens is important to understand how different cohorts of women </w:t>
      </w:r>
      <w:proofErr w:type="gramStart"/>
      <w:r w:rsidRPr="001E6203">
        <w:rPr>
          <w:color w:val="000000"/>
          <w:sz w:val="22"/>
          <w:szCs w:val="22"/>
        </w:rPr>
        <w:t>have their agency</w:t>
      </w:r>
      <w:proofErr w:type="gramEnd"/>
      <w:r w:rsidRPr="001E6203">
        <w:rPr>
          <w:color w:val="000000"/>
          <w:sz w:val="22"/>
          <w:szCs w:val="22"/>
        </w:rPr>
        <w:t xml:space="preserve"> restricted</w:t>
      </w:r>
      <w:r w:rsidR="002B71D7" w:rsidRPr="001E6203">
        <w:rPr>
          <w:color w:val="000000"/>
          <w:sz w:val="22"/>
          <w:szCs w:val="22"/>
        </w:rPr>
        <w:t>.</w:t>
      </w:r>
    </w:p>
    <w:p w14:paraId="20957968" w14:textId="77777777" w:rsidR="00A73BCF" w:rsidRDefault="00A73BCF" w:rsidP="001E6203">
      <w:pPr>
        <w:numPr>
          <w:ilvl w:val="0"/>
          <w:numId w:val="5"/>
        </w:numPr>
        <w:rPr>
          <w:color w:val="000000"/>
          <w:sz w:val="22"/>
          <w:szCs w:val="22"/>
        </w:rPr>
      </w:pPr>
      <w:r w:rsidRPr="001E6203">
        <w:rPr>
          <w:color w:val="000000"/>
          <w:sz w:val="22"/>
          <w:szCs w:val="22"/>
        </w:rPr>
        <w:t>Greater focus must be placed on giving women the resources, platforms and power to exercise agency to access their desired health care and embed gender-responsive approaches to health and prevention in research and policy.</w:t>
      </w:r>
      <w:bookmarkStart w:id="5" w:name="_heading=h.1fob9te" w:colFirst="0" w:colLast="0"/>
      <w:bookmarkEnd w:id="5"/>
    </w:p>
    <w:p w14:paraId="69FD3C87" w14:textId="77777777" w:rsidR="001E6203" w:rsidRPr="00D16A68" w:rsidRDefault="001E6203" w:rsidP="001E6203">
      <w:pPr>
        <w:rPr>
          <w:color w:val="000000"/>
        </w:rPr>
      </w:pPr>
    </w:p>
    <w:p w14:paraId="215F3F9C" w14:textId="33080227" w:rsidR="00A73BCF" w:rsidRPr="003F5B25" w:rsidRDefault="00A73BCF" w:rsidP="0069672B">
      <w:pPr>
        <w:pStyle w:val="Heading3"/>
        <w:rPr>
          <w:rFonts w:ascii="Rubik" w:hAnsi="Rubik"/>
        </w:rPr>
      </w:pPr>
      <w:r w:rsidRPr="003F5B25">
        <w:rPr>
          <w:rFonts w:ascii="Rubik" w:hAnsi="Rubik"/>
        </w:rPr>
        <w:t xml:space="preserve">Purpose of this brief </w:t>
      </w:r>
    </w:p>
    <w:p w14:paraId="5E17F952" w14:textId="44D03DBA" w:rsidR="00A73BCF" w:rsidRDefault="00A73BCF" w:rsidP="0069672B">
      <w:pPr>
        <w:rPr>
          <w:sz w:val="22"/>
          <w:szCs w:val="22"/>
        </w:rPr>
      </w:pPr>
      <w:r>
        <w:rPr>
          <w:sz w:val="22"/>
          <w:szCs w:val="22"/>
        </w:rPr>
        <w:t>Australian Women’s Health Alliance works to articulate the policies and actions necessary to improve health outcomes for women. The purpose of this brief is to put a gender</w:t>
      </w:r>
      <w:r w:rsidR="006F63D1">
        <w:rPr>
          <w:sz w:val="22"/>
          <w:szCs w:val="22"/>
        </w:rPr>
        <w:t>ed</w:t>
      </w:r>
      <w:r>
        <w:rPr>
          <w:sz w:val="22"/>
          <w:szCs w:val="22"/>
        </w:rPr>
        <w:t xml:space="preserve"> lens over barriers to universal access to health care and to inform policy, strategy and practice</w:t>
      </w:r>
      <w:r w:rsidR="00893258">
        <w:rPr>
          <w:sz w:val="22"/>
          <w:szCs w:val="22"/>
        </w:rPr>
        <w:t>. It</w:t>
      </w:r>
      <w:r>
        <w:rPr>
          <w:sz w:val="22"/>
          <w:szCs w:val="22"/>
        </w:rPr>
        <w:t xml:space="preserve"> is applicable in all jurisdictions. </w:t>
      </w:r>
    </w:p>
    <w:p w14:paraId="58C49ABA" w14:textId="77777777" w:rsidR="00A73BCF" w:rsidRDefault="00A73BCF" w:rsidP="0069672B">
      <w:pPr>
        <w:rPr>
          <w:sz w:val="22"/>
          <w:szCs w:val="22"/>
        </w:rPr>
      </w:pPr>
    </w:p>
    <w:p w14:paraId="0970A68B" w14:textId="14E13CBC" w:rsidR="0069672B" w:rsidRDefault="00A73BCF" w:rsidP="0069672B">
      <w:pPr>
        <w:rPr>
          <w:sz w:val="22"/>
          <w:szCs w:val="22"/>
        </w:rPr>
      </w:pPr>
      <w:r>
        <w:rPr>
          <w:sz w:val="22"/>
          <w:szCs w:val="22"/>
        </w:rPr>
        <w:t xml:space="preserve">Agency is an important principle within the delivery of health care. This is reflected </w:t>
      </w:r>
      <w:r w:rsidR="001B00E9">
        <w:rPr>
          <w:sz w:val="22"/>
          <w:szCs w:val="22"/>
        </w:rPr>
        <w:t xml:space="preserve">in </w:t>
      </w:r>
      <w:r>
        <w:rPr>
          <w:sz w:val="22"/>
          <w:szCs w:val="22"/>
        </w:rPr>
        <w:t xml:space="preserve">the </w:t>
      </w:r>
      <w:r w:rsidRPr="00ED6047">
        <w:rPr>
          <w:i/>
          <w:iCs/>
          <w:sz w:val="22"/>
          <w:szCs w:val="22"/>
        </w:rPr>
        <w:t>National Preventive Health Strategy 2021-2030 (NPHS)</w:t>
      </w:r>
      <w:r>
        <w:rPr>
          <w:sz w:val="22"/>
          <w:szCs w:val="22"/>
        </w:rPr>
        <w:t xml:space="preserve"> and the </w:t>
      </w:r>
      <w:r w:rsidRPr="00ED6047">
        <w:rPr>
          <w:i/>
          <w:iCs/>
          <w:sz w:val="22"/>
          <w:szCs w:val="22"/>
        </w:rPr>
        <w:t>National Women’s Health Strategy 2020-2030 (NWHS),</w:t>
      </w:r>
      <w:r>
        <w:rPr>
          <w:sz w:val="22"/>
          <w:szCs w:val="22"/>
        </w:rPr>
        <w:t xml:space="preserve"> with both affirming the need for women and girls to be informed and empowered to be part of the decision-making process around their care to improve overall health and wellbeing.</w:t>
      </w:r>
      <w:r w:rsidR="0069672B">
        <w:rPr>
          <w:sz w:val="22"/>
          <w:szCs w:val="22"/>
          <w:vertAlign w:val="superscript"/>
        </w:rPr>
        <w:endnoteReference w:id="2"/>
      </w:r>
    </w:p>
    <w:p w14:paraId="41B1D539" w14:textId="77777777" w:rsidR="0069672B" w:rsidRDefault="0069672B" w:rsidP="0069672B">
      <w:pPr>
        <w:rPr>
          <w:sz w:val="22"/>
          <w:szCs w:val="22"/>
        </w:rPr>
      </w:pPr>
    </w:p>
    <w:p w14:paraId="5E4DC46C" w14:textId="0D970F61" w:rsidR="0069672B" w:rsidRDefault="0069672B" w:rsidP="0069672B">
      <w:pPr>
        <w:rPr>
          <w:sz w:val="22"/>
          <w:szCs w:val="22"/>
        </w:rPr>
      </w:pPr>
      <w:r>
        <w:rPr>
          <w:sz w:val="22"/>
          <w:szCs w:val="22"/>
        </w:rPr>
        <w:t>This brief provides policymakers with an understanding of the key dimensions of women’s agency in health care, outlining common restrictions on women’s autonomy and agency in the health care system.</w:t>
      </w:r>
      <w:r>
        <w:rPr>
          <w:sz w:val="22"/>
          <w:szCs w:val="22"/>
          <w:vertAlign w:val="superscript"/>
        </w:rPr>
        <w:endnoteReference w:id="3"/>
      </w:r>
      <w:r>
        <w:rPr>
          <w:sz w:val="22"/>
          <w:szCs w:val="22"/>
        </w:rPr>
        <w:t xml:space="preserve"> It encourages clinicians, policymakers and governments to commit to giving women and girls the resources and power ne</w:t>
      </w:r>
      <w:r w:rsidR="00CC36EA">
        <w:rPr>
          <w:sz w:val="22"/>
          <w:szCs w:val="22"/>
        </w:rPr>
        <w:t>cessary</w:t>
      </w:r>
      <w:r>
        <w:rPr>
          <w:sz w:val="22"/>
          <w:szCs w:val="22"/>
        </w:rPr>
        <w:t xml:space="preserve"> to be partners in decision-making around their health care.</w:t>
      </w:r>
      <w:r>
        <w:rPr>
          <w:sz w:val="22"/>
          <w:szCs w:val="22"/>
          <w:vertAlign w:val="superscript"/>
        </w:rPr>
        <w:endnoteReference w:id="4"/>
      </w:r>
    </w:p>
    <w:p w14:paraId="68753F78" w14:textId="77777777" w:rsidR="0069672B" w:rsidRPr="00D16A68" w:rsidRDefault="0069672B" w:rsidP="0069672B"/>
    <w:p w14:paraId="7510CF6F" w14:textId="77777777" w:rsidR="0069672B" w:rsidRPr="003F5B25" w:rsidRDefault="0069672B" w:rsidP="0069672B">
      <w:pPr>
        <w:pStyle w:val="Heading3"/>
        <w:rPr>
          <w:rFonts w:ascii="Rubik" w:hAnsi="Rubik"/>
        </w:rPr>
      </w:pPr>
      <w:bookmarkStart w:id="6" w:name="_heading=h.2hefqvs2arl9" w:colFirst="0" w:colLast="0"/>
      <w:bookmarkEnd w:id="6"/>
      <w:r w:rsidRPr="003F5B25">
        <w:rPr>
          <w:rFonts w:ascii="Rubik" w:hAnsi="Rubik"/>
        </w:rPr>
        <w:t>Understanding women’s agency in health care</w:t>
      </w:r>
    </w:p>
    <w:p w14:paraId="20F2C44C" w14:textId="682D5C1F" w:rsidR="0069672B" w:rsidRDefault="0069672B" w:rsidP="0069672B">
      <w:pPr>
        <w:rPr>
          <w:sz w:val="22"/>
          <w:szCs w:val="22"/>
        </w:rPr>
      </w:pPr>
      <w:r>
        <w:rPr>
          <w:sz w:val="22"/>
          <w:szCs w:val="22"/>
        </w:rPr>
        <w:t xml:space="preserve">Agency </w:t>
      </w:r>
      <w:r w:rsidR="00EE2352">
        <w:rPr>
          <w:sz w:val="22"/>
          <w:szCs w:val="22"/>
        </w:rPr>
        <w:t>is a person’s</w:t>
      </w:r>
      <w:r>
        <w:rPr>
          <w:sz w:val="22"/>
          <w:szCs w:val="22"/>
        </w:rPr>
        <w:t xml:space="preserve"> ability to make decisions and act in ways that influence their</w:t>
      </w:r>
      <w:r w:rsidR="000D3B8B">
        <w:rPr>
          <w:sz w:val="22"/>
          <w:szCs w:val="22"/>
        </w:rPr>
        <w:t xml:space="preserve"> own</w:t>
      </w:r>
      <w:r>
        <w:rPr>
          <w:sz w:val="22"/>
          <w:szCs w:val="22"/>
        </w:rPr>
        <w:t xml:space="preserve"> li</w:t>
      </w:r>
      <w:r w:rsidR="000D3B8B">
        <w:rPr>
          <w:sz w:val="22"/>
          <w:szCs w:val="22"/>
        </w:rPr>
        <w:t>fe</w:t>
      </w:r>
      <w:r>
        <w:rPr>
          <w:sz w:val="22"/>
          <w:szCs w:val="22"/>
        </w:rPr>
        <w:t>.</w:t>
      </w:r>
      <w:r>
        <w:rPr>
          <w:sz w:val="22"/>
          <w:szCs w:val="22"/>
          <w:vertAlign w:val="superscript"/>
        </w:rPr>
        <w:endnoteReference w:id="5"/>
      </w:r>
      <w:r>
        <w:rPr>
          <w:sz w:val="22"/>
          <w:szCs w:val="22"/>
        </w:rPr>
        <w:t xml:space="preserve"> Women’s agency in health care </w:t>
      </w:r>
      <w:r w:rsidR="006C3C8D">
        <w:rPr>
          <w:sz w:val="22"/>
          <w:szCs w:val="22"/>
        </w:rPr>
        <w:t>has</w:t>
      </w:r>
      <w:r>
        <w:rPr>
          <w:sz w:val="22"/>
          <w:szCs w:val="22"/>
        </w:rPr>
        <w:t xml:space="preserve"> </w:t>
      </w:r>
      <w:r w:rsidR="00877DC9">
        <w:rPr>
          <w:sz w:val="22"/>
          <w:szCs w:val="22"/>
        </w:rPr>
        <w:t>4</w:t>
      </w:r>
      <w:r>
        <w:rPr>
          <w:sz w:val="22"/>
          <w:szCs w:val="22"/>
        </w:rPr>
        <w:t xml:space="preserve"> main dimensions:</w:t>
      </w:r>
    </w:p>
    <w:p w14:paraId="1C614B8A" w14:textId="77777777" w:rsidR="0069672B" w:rsidRDefault="0069672B" w:rsidP="0069672B">
      <w:pPr>
        <w:rPr>
          <w:sz w:val="22"/>
          <w:szCs w:val="22"/>
        </w:rPr>
      </w:pPr>
    </w:p>
    <w:p w14:paraId="2180D123" w14:textId="77777777" w:rsidR="00877DC9" w:rsidRDefault="00B4644C" w:rsidP="0069672B">
      <w:pPr>
        <w:numPr>
          <w:ilvl w:val="0"/>
          <w:numId w:val="2"/>
        </w:numPr>
        <w:rPr>
          <w:sz w:val="22"/>
          <w:szCs w:val="22"/>
        </w:rPr>
      </w:pPr>
      <w:r>
        <w:rPr>
          <w:b/>
          <w:bCs/>
          <w:iCs/>
          <w:sz w:val="22"/>
          <w:szCs w:val="22"/>
        </w:rPr>
        <w:t>D</w:t>
      </w:r>
      <w:r w:rsidR="0069672B" w:rsidRPr="001D715B">
        <w:rPr>
          <w:b/>
          <w:bCs/>
          <w:iCs/>
          <w:sz w:val="22"/>
          <w:szCs w:val="22"/>
        </w:rPr>
        <w:t>ecision-making power</w:t>
      </w:r>
      <w:r>
        <w:rPr>
          <w:iCs/>
          <w:sz w:val="22"/>
          <w:szCs w:val="22"/>
        </w:rPr>
        <w:t>: this</w:t>
      </w:r>
      <w:r w:rsidR="0069672B">
        <w:rPr>
          <w:sz w:val="22"/>
          <w:szCs w:val="22"/>
        </w:rPr>
        <w:t xml:space="preserve"> promotes women’s ability to decide on their health</w:t>
      </w:r>
      <w:r w:rsidR="00F70E5D">
        <w:rPr>
          <w:sz w:val="22"/>
          <w:szCs w:val="22"/>
        </w:rPr>
        <w:t xml:space="preserve"> </w:t>
      </w:r>
      <w:r w:rsidR="0069672B">
        <w:rPr>
          <w:sz w:val="22"/>
          <w:szCs w:val="22"/>
        </w:rPr>
        <w:t>care, household, and financial issues,</w:t>
      </w:r>
      <w:r w:rsidR="000A0B51">
        <w:rPr>
          <w:sz w:val="22"/>
          <w:szCs w:val="22"/>
        </w:rPr>
        <w:t xml:space="preserve"> which</w:t>
      </w:r>
      <w:r w:rsidR="0069672B">
        <w:rPr>
          <w:sz w:val="22"/>
          <w:szCs w:val="22"/>
        </w:rPr>
        <w:t xml:space="preserve"> in turn allow</w:t>
      </w:r>
      <w:r w:rsidR="000A0B51">
        <w:rPr>
          <w:sz w:val="22"/>
          <w:szCs w:val="22"/>
        </w:rPr>
        <w:t>s</w:t>
      </w:r>
      <w:r w:rsidR="0069672B">
        <w:rPr>
          <w:sz w:val="22"/>
          <w:szCs w:val="22"/>
        </w:rPr>
        <w:t xml:space="preserve"> women to use health services</w:t>
      </w:r>
      <w:r w:rsidR="000A0B51">
        <w:rPr>
          <w:sz w:val="22"/>
          <w:szCs w:val="22"/>
        </w:rPr>
        <w:t>.</w:t>
      </w:r>
      <w:r w:rsidR="0069672B">
        <w:rPr>
          <w:sz w:val="22"/>
          <w:szCs w:val="22"/>
          <w:vertAlign w:val="superscript"/>
        </w:rPr>
        <w:endnoteReference w:id="6"/>
      </w:r>
      <w:r w:rsidR="003D7D1E">
        <w:rPr>
          <w:sz w:val="22"/>
          <w:szCs w:val="22"/>
        </w:rPr>
        <w:t xml:space="preserve"> </w:t>
      </w:r>
    </w:p>
    <w:p w14:paraId="5B9B9BE3" w14:textId="2356E35F" w:rsidR="0069672B" w:rsidRPr="009600BE" w:rsidRDefault="00877DC9" w:rsidP="009600BE">
      <w:pPr>
        <w:numPr>
          <w:ilvl w:val="0"/>
          <w:numId w:val="2"/>
        </w:numPr>
        <w:rPr>
          <w:sz w:val="22"/>
          <w:szCs w:val="22"/>
        </w:rPr>
      </w:pPr>
      <w:r w:rsidRPr="009600BE">
        <w:rPr>
          <w:b/>
          <w:bCs/>
          <w:iCs/>
          <w:sz w:val="22"/>
          <w:szCs w:val="22"/>
        </w:rPr>
        <w:t>Access to information</w:t>
      </w:r>
      <w:r w:rsidRPr="009600BE">
        <w:rPr>
          <w:sz w:val="22"/>
          <w:szCs w:val="22"/>
        </w:rPr>
        <w:t>: this</w:t>
      </w:r>
      <w:r w:rsidR="003A342D" w:rsidRPr="009600BE">
        <w:rPr>
          <w:sz w:val="22"/>
          <w:szCs w:val="22"/>
        </w:rPr>
        <w:t xml:space="preserve"> support</w:t>
      </w:r>
      <w:r w:rsidRPr="009600BE">
        <w:rPr>
          <w:sz w:val="22"/>
          <w:szCs w:val="22"/>
        </w:rPr>
        <w:t>s</w:t>
      </w:r>
      <w:r w:rsidR="003A342D" w:rsidRPr="009600BE">
        <w:rPr>
          <w:sz w:val="22"/>
          <w:szCs w:val="22"/>
        </w:rPr>
        <w:t xml:space="preserve"> </w:t>
      </w:r>
      <w:r w:rsidR="009600BE" w:rsidRPr="009600BE">
        <w:rPr>
          <w:sz w:val="22"/>
          <w:szCs w:val="22"/>
        </w:rPr>
        <w:t xml:space="preserve">women’s ability to </w:t>
      </w:r>
      <w:r w:rsidR="00BD2334">
        <w:rPr>
          <w:sz w:val="22"/>
          <w:szCs w:val="22"/>
        </w:rPr>
        <w:t xml:space="preserve">inform decisions when </w:t>
      </w:r>
      <w:r w:rsidR="009600BE" w:rsidRPr="009600BE">
        <w:rPr>
          <w:sz w:val="22"/>
          <w:szCs w:val="22"/>
        </w:rPr>
        <w:t>manag</w:t>
      </w:r>
      <w:r w:rsidR="00BD2334">
        <w:rPr>
          <w:sz w:val="22"/>
          <w:szCs w:val="22"/>
        </w:rPr>
        <w:t>ing</w:t>
      </w:r>
      <w:r w:rsidR="009600BE" w:rsidRPr="009600BE">
        <w:rPr>
          <w:sz w:val="22"/>
          <w:szCs w:val="22"/>
        </w:rPr>
        <w:t xml:space="preserve"> their health and wellbeing</w:t>
      </w:r>
      <w:r w:rsidR="003D7D1E" w:rsidRPr="009600BE">
        <w:rPr>
          <w:sz w:val="22"/>
          <w:szCs w:val="22"/>
        </w:rPr>
        <w:t>.</w:t>
      </w:r>
    </w:p>
    <w:p w14:paraId="7BB83A7D" w14:textId="12803FCD" w:rsidR="0069672B" w:rsidRDefault="000A0B51" w:rsidP="0069672B">
      <w:pPr>
        <w:numPr>
          <w:ilvl w:val="0"/>
          <w:numId w:val="2"/>
        </w:numPr>
        <w:rPr>
          <w:sz w:val="22"/>
          <w:szCs w:val="22"/>
        </w:rPr>
      </w:pPr>
      <w:r>
        <w:rPr>
          <w:b/>
          <w:bCs/>
          <w:iCs/>
          <w:sz w:val="22"/>
          <w:szCs w:val="22"/>
        </w:rPr>
        <w:lastRenderedPageBreak/>
        <w:t>F</w:t>
      </w:r>
      <w:r w:rsidR="0069672B" w:rsidRPr="001D715B">
        <w:rPr>
          <w:b/>
          <w:bCs/>
          <w:iCs/>
          <w:sz w:val="22"/>
          <w:szCs w:val="22"/>
        </w:rPr>
        <w:t>reedom of movement</w:t>
      </w:r>
      <w:r>
        <w:rPr>
          <w:sz w:val="22"/>
          <w:szCs w:val="22"/>
        </w:rPr>
        <w:t>: this</w:t>
      </w:r>
      <w:r w:rsidR="0069672B">
        <w:rPr>
          <w:sz w:val="22"/>
          <w:szCs w:val="22"/>
        </w:rPr>
        <w:t xml:space="preserve"> is vital </w:t>
      </w:r>
      <w:r w:rsidR="00304CC4">
        <w:rPr>
          <w:sz w:val="22"/>
          <w:szCs w:val="22"/>
        </w:rPr>
        <w:t xml:space="preserve">for women </w:t>
      </w:r>
      <w:r w:rsidR="0069672B">
        <w:rPr>
          <w:sz w:val="22"/>
          <w:szCs w:val="22"/>
        </w:rPr>
        <w:t>to cover the distance to health services to access and receive care</w:t>
      </w:r>
      <w:r w:rsidR="00304CC4">
        <w:rPr>
          <w:sz w:val="22"/>
          <w:szCs w:val="22"/>
        </w:rPr>
        <w:t>.</w:t>
      </w:r>
      <w:r w:rsidR="0069672B">
        <w:rPr>
          <w:sz w:val="22"/>
          <w:szCs w:val="22"/>
          <w:vertAlign w:val="superscript"/>
        </w:rPr>
        <w:endnoteReference w:id="7"/>
      </w:r>
    </w:p>
    <w:p w14:paraId="65A8C43F" w14:textId="59D56F6A" w:rsidR="0069672B" w:rsidRDefault="00304CC4" w:rsidP="0069672B">
      <w:pPr>
        <w:numPr>
          <w:ilvl w:val="0"/>
          <w:numId w:val="2"/>
        </w:numPr>
        <w:rPr>
          <w:sz w:val="22"/>
          <w:szCs w:val="22"/>
        </w:rPr>
      </w:pPr>
      <w:r>
        <w:rPr>
          <w:b/>
          <w:bCs/>
          <w:iCs/>
          <w:sz w:val="22"/>
          <w:szCs w:val="22"/>
        </w:rPr>
        <w:t>T</w:t>
      </w:r>
      <w:r w:rsidR="0069672B" w:rsidRPr="001D715B">
        <w:rPr>
          <w:b/>
          <w:bCs/>
          <w:iCs/>
          <w:sz w:val="22"/>
          <w:szCs w:val="22"/>
        </w:rPr>
        <w:t>he promotion of gender-equitable attitudes</w:t>
      </w:r>
      <w:r>
        <w:rPr>
          <w:sz w:val="22"/>
          <w:szCs w:val="22"/>
        </w:rPr>
        <w:t>: this</w:t>
      </w:r>
      <w:r w:rsidR="0069672B">
        <w:rPr>
          <w:sz w:val="22"/>
          <w:szCs w:val="22"/>
        </w:rPr>
        <w:t xml:space="preserve"> improves women’s ability to have control over and access to financial resources to spend on their health, to have access to health care services, and to negotiate reproductive choices with their partners.</w:t>
      </w:r>
      <w:r w:rsidR="0069672B">
        <w:rPr>
          <w:sz w:val="22"/>
          <w:szCs w:val="22"/>
          <w:vertAlign w:val="superscript"/>
        </w:rPr>
        <w:endnoteReference w:id="8"/>
      </w:r>
    </w:p>
    <w:p w14:paraId="167D8207" w14:textId="2760BF54" w:rsidR="0069672B" w:rsidRDefault="0069672B" w:rsidP="0069672B">
      <w:pPr>
        <w:rPr>
          <w:sz w:val="22"/>
          <w:szCs w:val="22"/>
        </w:rPr>
      </w:pPr>
      <w:r>
        <w:rPr>
          <w:sz w:val="22"/>
          <w:szCs w:val="22"/>
        </w:rPr>
        <w:br/>
        <w:t>Many women in Australia are faced with barriers to exercising agency on an interpersonal level, for example, because of a partner controlling access to health care as a result of domestic and family violence.</w:t>
      </w:r>
      <w:r>
        <w:rPr>
          <w:sz w:val="22"/>
          <w:szCs w:val="22"/>
          <w:vertAlign w:val="superscript"/>
        </w:rPr>
        <w:endnoteReference w:id="9"/>
      </w:r>
      <w:r>
        <w:rPr>
          <w:sz w:val="22"/>
          <w:szCs w:val="22"/>
        </w:rPr>
        <w:t xml:space="preserve"> Experiences of gendered discrimination and stigma perpetrated by clinicians can also restrict women’s agency, especially in important decision-making contexts such as those involving sexual and reproductive health care, palliative care, end-of-life care and advanced care </w:t>
      </w:r>
      <w:r w:rsidR="005C2193">
        <w:rPr>
          <w:sz w:val="22"/>
          <w:szCs w:val="22"/>
        </w:rPr>
        <w:t>planning</w:t>
      </w:r>
      <w:r>
        <w:rPr>
          <w:sz w:val="22"/>
          <w:szCs w:val="22"/>
        </w:rPr>
        <w:t xml:space="preserve">. </w:t>
      </w:r>
    </w:p>
    <w:p w14:paraId="67F1F18D" w14:textId="77777777" w:rsidR="0069672B" w:rsidRDefault="0069672B" w:rsidP="0069672B">
      <w:pPr>
        <w:rPr>
          <w:sz w:val="22"/>
          <w:szCs w:val="22"/>
        </w:rPr>
      </w:pPr>
    </w:p>
    <w:p w14:paraId="47CC921A" w14:textId="2802894D" w:rsidR="0069672B" w:rsidRDefault="0069672B" w:rsidP="0069672B">
      <w:pPr>
        <w:rPr>
          <w:sz w:val="22"/>
          <w:szCs w:val="22"/>
        </w:rPr>
      </w:pPr>
      <w:r>
        <w:rPr>
          <w:sz w:val="22"/>
          <w:szCs w:val="22"/>
        </w:rPr>
        <w:t xml:space="preserve">On the institutional level, a lack of culturally responsive, trauma-informed, accessible and affordable health care services affects the ability of many women to exercise agency around their health and wellbeing. </w:t>
      </w:r>
      <w:r w:rsidR="00233FFA" w:rsidRPr="00233FFA">
        <w:rPr>
          <w:sz w:val="22"/>
          <w:szCs w:val="22"/>
        </w:rPr>
        <w:t>For specific cohorts of women, such as</w:t>
      </w:r>
      <w:r w:rsidR="1FF031E2" w:rsidRPr="00233FFA">
        <w:rPr>
          <w:sz w:val="22"/>
          <w:szCs w:val="22"/>
        </w:rPr>
        <w:t xml:space="preserve"> First Nations women,</w:t>
      </w:r>
      <w:r w:rsidR="00233FFA" w:rsidRPr="00233FFA">
        <w:rPr>
          <w:sz w:val="22"/>
          <w:szCs w:val="22"/>
        </w:rPr>
        <w:t xml:space="preserve"> Autistic women, women with intellectual disabilities and women with psychosocial disabilities, legal forms of violence including guardianship and financial management laws alongside </w:t>
      </w:r>
      <w:r w:rsidR="067A17F8" w:rsidRPr="00233FFA">
        <w:rPr>
          <w:sz w:val="22"/>
          <w:szCs w:val="22"/>
        </w:rPr>
        <w:t xml:space="preserve">ableist attitudes and </w:t>
      </w:r>
      <w:r w:rsidR="00233FFA" w:rsidRPr="00233FFA">
        <w:rPr>
          <w:sz w:val="22"/>
          <w:szCs w:val="22"/>
        </w:rPr>
        <w:t>other substitute-decision making regimes</w:t>
      </w:r>
      <w:r w:rsidR="00ED6047">
        <w:rPr>
          <w:sz w:val="22"/>
          <w:szCs w:val="22"/>
        </w:rPr>
        <w:t xml:space="preserve"> </w:t>
      </w:r>
      <w:r w:rsidR="00ED6047" w:rsidRPr="00233FFA">
        <w:rPr>
          <w:sz w:val="22"/>
          <w:szCs w:val="22"/>
        </w:rPr>
        <w:t>often undermine</w:t>
      </w:r>
      <w:r w:rsidR="00233FFA" w:rsidRPr="00233FFA">
        <w:rPr>
          <w:sz w:val="22"/>
          <w:szCs w:val="22"/>
        </w:rPr>
        <w:t xml:space="preserve"> their agency within health care settings.</w:t>
      </w:r>
      <w:r w:rsidR="003D014C">
        <w:rPr>
          <w:rStyle w:val="EndnoteReference"/>
          <w:sz w:val="22"/>
          <w:szCs w:val="22"/>
        </w:rPr>
        <w:endnoteReference w:id="10"/>
      </w:r>
      <w:r w:rsidR="00233FFA">
        <w:rPr>
          <w:sz w:val="22"/>
          <w:szCs w:val="22"/>
        </w:rPr>
        <w:t xml:space="preserve"> </w:t>
      </w:r>
      <w:r w:rsidR="00894D00">
        <w:rPr>
          <w:sz w:val="22"/>
          <w:szCs w:val="22"/>
        </w:rPr>
        <w:t>This includes t</w:t>
      </w:r>
      <w:r>
        <w:rPr>
          <w:sz w:val="22"/>
          <w:szCs w:val="22"/>
        </w:rPr>
        <w:t>he unequal power women hold in health care policy and leadership roles</w:t>
      </w:r>
      <w:r w:rsidR="008562F1">
        <w:rPr>
          <w:sz w:val="22"/>
          <w:szCs w:val="22"/>
        </w:rPr>
        <w:t>.</w:t>
      </w:r>
      <w:r>
        <w:rPr>
          <w:sz w:val="22"/>
          <w:szCs w:val="22"/>
        </w:rPr>
        <w:t xml:space="preserve"> </w:t>
      </w:r>
      <w:r w:rsidR="008562F1">
        <w:rPr>
          <w:sz w:val="22"/>
          <w:szCs w:val="22"/>
        </w:rPr>
        <w:t>U</w:t>
      </w:r>
      <w:r>
        <w:rPr>
          <w:sz w:val="22"/>
          <w:szCs w:val="22"/>
        </w:rPr>
        <w:t>nequal investment in research and treatment</w:t>
      </w:r>
      <w:r w:rsidR="00BF6097">
        <w:rPr>
          <w:sz w:val="22"/>
          <w:szCs w:val="22"/>
        </w:rPr>
        <w:t>s</w:t>
      </w:r>
      <w:r>
        <w:rPr>
          <w:sz w:val="22"/>
          <w:szCs w:val="22"/>
        </w:rPr>
        <w:t xml:space="preserve"> </w:t>
      </w:r>
      <w:r w:rsidR="000B674C">
        <w:rPr>
          <w:sz w:val="22"/>
          <w:szCs w:val="22"/>
        </w:rPr>
        <w:t>for</w:t>
      </w:r>
      <w:r>
        <w:rPr>
          <w:sz w:val="22"/>
          <w:szCs w:val="22"/>
        </w:rPr>
        <w:t xml:space="preserve"> health conditions </w:t>
      </w:r>
      <w:r w:rsidR="00D30A07">
        <w:rPr>
          <w:sz w:val="22"/>
          <w:szCs w:val="22"/>
        </w:rPr>
        <w:t xml:space="preserve">that </w:t>
      </w:r>
      <w:r>
        <w:rPr>
          <w:sz w:val="22"/>
          <w:szCs w:val="22"/>
        </w:rPr>
        <w:t>disproportionately impact women, such as autoimmune diseases or connective tissue disorders including Ehlers-Danlos Syndrome, further</w:t>
      </w:r>
      <w:r w:rsidR="00ED6047">
        <w:rPr>
          <w:sz w:val="22"/>
          <w:szCs w:val="22"/>
        </w:rPr>
        <w:t xml:space="preserve"> </w:t>
      </w:r>
      <w:r>
        <w:rPr>
          <w:sz w:val="22"/>
          <w:szCs w:val="22"/>
        </w:rPr>
        <w:t>contribute to the restrictions on women’s choice and control in decision-making about their bodies</w:t>
      </w:r>
      <w:r w:rsidR="00ED6047">
        <w:rPr>
          <w:sz w:val="22"/>
          <w:szCs w:val="22"/>
        </w:rPr>
        <w:t>.</w:t>
      </w:r>
      <w:r>
        <w:t xml:space="preserve">                                                                                                                              </w:t>
      </w:r>
    </w:p>
    <w:p w14:paraId="0E0DCE28" w14:textId="77777777" w:rsidR="0069672B" w:rsidRPr="00D16A68" w:rsidRDefault="0069672B" w:rsidP="0069672B"/>
    <w:p w14:paraId="42AA9EC9" w14:textId="709CE22A" w:rsidR="0069672B" w:rsidRPr="003F5B25" w:rsidRDefault="0069672B" w:rsidP="0069672B">
      <w:pPr>
        <w:pStyle w:val="Heading3"/>
        <w:rPr>
          <w:rFonts w:ascii="Rubik" w:hAnsi="Rubik"/>
        </w:rPr>
      </w:pPr>
      <w:bookmarkStart w:id="7" w:name="_heading=h.3znysh7" w:colFirst="0" w:colLast="0"/>
      <w:bookmarkEnd w:id="7"/>
      <w:r w:rsidRPr="003F5B25">
        <w:rPr>
          <w:rFonts w:ascii="Rubik" w:hAnsi="Rubik"/>
        </w:rPr>
        <w:t>Why put an intersectional gender</w:t>
      </w:r>
      <w:r w:rsidR="004D2CA4" w:rsidRPr="003F5B25">
        <w:rPr>
          <w:rFonts w:ascii="Rubik" w:hAnsi="Rubik"/>
        </w:rPr>
        <w:t>ed</w:t>
      </w:r>
      <w:r w:rsidRPr="003F5B25">
        <w:rPr>
          <w:rFonts w:ascii="Rubik" w:hAnsi="Rubik"/>
        </w:rPr>
        <w:t xml:space="preserve"> lens on agency?</w:t>
      </w:r>
    </w:p>
    <w:p w14:paraId="269A5F16" w14:textId="29F3F57F" w:rsidR="0069672B" w:rsidRDefault="0069672B" w:rsidP="0069672B">
      <w:pPr>
        <w:rPr>
          <w:sz w:val="22"/>
          <w:szCs w:val="22"/>
        </w:rPr>
      </w:pPr>
      <w:r>
        <w:rPr>
          <w:sz w:val="22"/>
          <w:szCs w:val="22"/>
        </w:rPr>
        <w:t>Placing an intersectional gender</w:t>
      </w:r>
      <w:r w:rsidR="004D2CA4">
        <w:rPr>
          <w:sz w:val="22"/>
          <w:szCs w:val="22"/>
        </w:rPr>
        <w:t>ed</w:t>
      </w:r>
      <w:r>
        <w:rPr>
          <w:sz w:val="22"/>
          <w:szCs w:val="22"/>
        </w:rPr>
        <w:t xml:space="preserve"> lens on agency in health care provide</w:t>
      </w:r>
      <w:r w:rsidR="00DD2C02">
        <w:rPr>
          <w:sz w:val="22"/>
          <w:szCs w:val="22"/>
        </w:rPr>
        <w:t>s</w:t>
      </w:r>
      <w:r>
        <w:rPr>
          <w:sz w:val="22"/>
          <w:szCs w:val="22"/>
        </w:rPr>
        <w:t xml:space="preserve"> an understanding of the different barriers that limit women’s agency, including gendered discrimination, racism,</w:t>
      </w:r>
      <w:r w:rsidR="0001712C">
        <w:rPr>
          <w:sz w:val="22"/>
          <w:szCs w:val="22"/>
        </w:rPr>
        <w:t xml:space="preserve"> </w:t>
      </w:r>
      <w:r w:rsidR="0001712C" w:rsidRPr="0001712C">
        <w:rPr>
          <w:sz w:val="22"/>
          <w:szCs w:val="22"/>
        </w:rPr>
        <w:t>queerphobia and transphobia</w:t>
      </w:r>
      <w:r w:rsidR="0001712C">
        <w:rPr>
          <w:sz w:val="22"/>
          <w:szCs w:val="22"/>
        </w:rPr>
        <w:t>,</w:t>
      </w:r>
      <w:r>
        <w:rPr>
          <w:sz w:val="22"/>
          <w:szCs w:val="22"/>
        </w:rPr>
        <w:t xml:space="preserve"> ableism and inaccessibility, geographic location, citizenship status, socioeconomic status, housing security and histories of incarceration and institutionalisation.</w:t>
      </w:r>
    </w:p>
    <w:p w14:paraId="0B3E8F36" w14:textId="77777777" w:rsidR="0069672B" w:rsidRDefault="0069672B" w:rsidP="0069672B">
      <w:pPr>
        <w:rPr>
          <w:sz w:val="22"/>
          <w:szCs w:val="22"/>
        </w:rPr>
      </w:pPr>
    </w:p>
    <w:p w14:paraId="7A08B147" w14:textId="32CBC7BB" w:rsidR="0069672B" w:rsidRDefault="0069672B" w:rsidP="0069672B">
      <w:r>
        <w:rPr>
          <w:sz w:val="22"/>
          <w:szCs w:val="22"/>
        </w:rPr>
        <w:t>Using an intersectional gender</w:t>
      </w:r>
      <w:r w:rsidR="00935B5A">
        <w:rPr>
          <w:sz w:val="22"/>
          <w:szCs w:val="22"/>
        </w:rPr>
        <w:t>ed</w:t>
      </w:r>
      <w:r>
        <w:rPr>
          <w:sz w:val="22"/>
          <w:szCs w:val="22"/>
        </w:rPr>
        <w:t xml:space="preserve"> lens to examine women’s agency in health also demonstrates the need for health care services and systems to be informed by the voices of women and gender diverse people and organisations. Platforming the voices of different cohorts of women </w:t>
      </w:r>
      <w:r w:rsidR="00AD7F36">
        <w:rPr>
          <w:sz w:val="22"/>
          <w:szCs w:val="22"/>
        </w:rPr>
        <w:t xml:space="preserve">who </w:t>
      </w:r>
      <w:r>
        <w:rPr>
          <w:sz w:val="22"/>
          <w:szCs w:val="22"/>
        </w:rPr>
        <w:t>have their agency restricted support</w:t>
      </w:r>
      <w:r w:rsidR="00023C95">
        <w:rPr>
          <w:sz w:val="22"/>
          <w:szCs w:val="22"/>
        </w:rPr>
        <w:t>s</w:t>
      </w:r>
      <w:r>
        <w:rPr>
          <w:sz w:val="22"/>
          <w:szCs w:val="22"/>
        </w:rPr>
        <w:t xml:space="preserve"> the implementation of targeted solutions. </w:t>
      </w:r>
      <w:r w:rsidR="00AF1239">
        <w:rPr>
          <w:sz w:val="22"/>
          <w:szCs w:val="22"/>
        </w:rPr>
        <w:t>F</w:t>
      </w:r>
      <w:r w:rsidR="00AF1239" w:rsidRPr="00AF1239">
        <w:rPr>
          <w:sz w:val="22"/>
          <w:szCs w:val="22"/>
        </w:rPr>
        <w:t>or example, Autistic women are often denied agency over their health care and bodies. Decision makers working in co-design with Autistic women through the National Autism Strategy Oversight Council and its affiliated working groups are collaborating to address this through the development of the National Roadmap to Improve the Health and Mental Health of Autistic People</w:t>
      </w:r>
      <w:r>
        <w:rPr>
          <w:sz w:val="22"/>
          <w:szCs w:val="22"/>
        </w:rPr>
        <w:t>.</w:t>
      </w:r>
      <w:r>
        <w:rPr>
          <w:sz w:val="22"/>
          <w:szCs w:val="22"/>
          <w:vertAlign w:val="superscript"/>
        </w:rPr>
        <w:endnoteReference w:id="11"/>
      </w:r>
    </w:p>
    <w:p w14:paraId="3A85E682" w14:textId="77777777" w:rsidR="0069672B" w:rsidRDefault="0069672B" w:rsidP="0069672B"/>
    <w:p w14:paraId="3DE8CA7D" w14:textId="77777777" w:rsidR="0069672B" w:rsidRPr="003F5B25" w:rsidRDefault="0069672B" w:rsidP="0069672B">
      <w:pPr>
        <w:pStyle w:val="Heading3"/>
        <w:rPr>
          <w:rFonts w:ascii="Rubik" w:hAnsi="Rubik"/>
        </w:rPr>
      </w:pPr>
      <w:bookmarkStart w:id="8" w:name="_heading=h.2et92p0" w:colFirst="0" w:colLast="0"/>
      <w:bookmarkEnd w:id="8"/>
      <w:r w:rsidRPr="003F5B25">
        <w:rPr>
          <w:rFonts w:ascii="Rubik" w:hAnsi="Rubik"/>
        </w:rPr>
        <w:t>What does this mean for health equity?</w:t>
      </w:r>
    </w:p>
    <w:p w14:paraId="37EA26BD" w14:textId="77777777" w:rsidR="00D16A68" w:rsidRDefault="002E29BD" w:rsidP="0069672B">
      <w:pPr>
        <w:rPr>
          <w:sz w:val="22"/>
          <w:szCs w:val="22"/>
        </w:rPr>
      </w:pPr>
      <w:r>
        <w:rPr>
          <w:sz w:val="22"/>
          <w:szCs w:val="22"/>
        </w:rPr>
        <w:t>T</w:t>
      </w:r>
      <w:r w:rsidR="0069672B">
        <w:rPr>
          <w:sz w:val="22"/>
          <w:szCs w:val="22"/>
        </w:rPr>
        <w:t xml:space="preserve">o design and deliver equitable health care services that promote agency and achieve the goals of the NPHS and NWHS, policymakers must commit to strong and continued collaboration with women and girls, </w:t>
      </w:r>
      <w:r w:rsidR="007B05C2">
        <w:rPr>
          <w:sz w:val="22"/>
          <w:szCs w:val="22"/>
        </w:rPr>
        <w:t>especially</w:t>
      </w:r>
      <w:r w:rsidR="0069672B">
        <w:rPr>
          <w:sz w:val="22"/>
          <w:szCs w:val="22"/>
        </w:rPr>
        <w:t xml:space="preserve"> those from priority populations, </w:t>
      </w:r>
      <w:r w:rsidR="007B05C2">
        <w:rPr>
          <w:sz w:val="22"/>
          <w:szCs w:val="22"/>
        </w:rPr>
        <w:t>and</w:t>
      </w:r>
      <w:r w:rsidR="0069672B">
        <w:rPr>
          <w:sz w:val="22"/>
          <w:szCs w:val="22"/>
        </w:rPr>
        <w:t xml:space="preserve"> ensure they are partners in decision-making around their health care.</w:t>
      </w:r>
      <w:r w:rsidR="0069672B">
        <w:rPr>
          <w:sz w:val="22"/>
          <w:szCs w:val="22"/>
          <w:vertAlign w:val="superscript"/>
        </w:rPr>
        <w:endnoteReference w:id="12"/>
      </w:r>
      <w:r w:rsidR="001E6203">
        <w:rPr>
          <w:sz w:val="22"/>
          <w:szCs w:val="22"/>
        </w:rPr>
        <w:t xml:space="preserve"> </w:t>
      </w:r>
    </w:p>
    <w:p w14:paraId="30EA86E8" w14:textId="517CC7FF" w:rsidR="009A0EE8" w:rsidRDefault="0069672B" w:rsidP="0069672B">
      <w:pPr>
        <w:rPr>
          <w:sz w:val="22"/>
          <w:szCs w:val="22"/>
        </w:rPr>
      </w:pPr>
      <w:r>
        <w:rPr>
          <w:sz w:val="22"/>
          <w:szCs w:val="22"/>
        </w:rPr>
        <w:lastRenderedPageBreak/>
        <w:t xml:space="preserve">The persistence of gendered constraints on agency </w:t>
      </w:r>
      <w:r w:rsidR="005C2DDB">
        <w:rPr>
          <w:sz w:val="22"/>
          <w:szCs w:val="22"/>
        </w:rPr>
        <w:t>results</w:t>
      </w:r>
      <w:r>
        <w:rPr>
          <w:sz w:val="22"/>
          <w:szCs w:val="22"/>
        </w:rPr>
        <w:t xml:space="preserve"> in increased risks to women’s health, particularly sexual and reproductive health and rights to bodily integrity. Enabling agency in health care means giving women </w:t>
      </w:r>
      <w:r w:rsidR="00D400A5">
        <w:rPr>
          <w:sz w:val="22"/>
          <w:szCs w:val="22"/>
        </w:rPr>
        <w:t>the</w:t>
      </w:r>
      <w:r>
        <w:rPr>
          <w:sz w:val="22"/>
          <w:szCs w:val="22"/>
        </w:rPr>
        <w:t xml:space="preserve"> resources and power </w:t>
      </w:r>
      <w:r w:rsidR="00D400A5">
        <w:rPr>
          <w:sz w:val="22"/>
          <w:szCs w:val="22"/>
        </w:rPr>
        <w:t xml:space="preserve">necessary </w:t>
      </w:r>
      <w:r>
        <w:rPr>
          <w:sz w:val="22"/>
          <w:szCs w:val="22"/>
        </w:rPr>
        <w:t>to exercise agency, access their desired health care and improve their overall wellbeing.</w:t>
      </w:r>
      <w:r>
        <w:rPr>
          <w:sz w:val="22"/>
          <w:szCs w:val="22"/>
          <w:vertAlign w:val="superscript"/>
        </w:rPr>
        <w:endnoteReference w:id="13"/>
      </w:r>
      <w:r>
        <w:rPr>
          <w:sz w:val="22"/>
          <w:szCs w:val="22"/>
        </w:rPr>
        <w:t xml:space="preserve"> </w:t>
      </w:r>
    </w:p>
    <w:p w14:paraId="14059162" w14:textId="77777777" w:rsidR="009A0EE8" w:rsidRDefault="009A0EE8" w:rsidP="0069672B">
      <w:pPr>
        <w:rPr>
          <w:sz w:val="22"/>
          <w:szCs w:val="22"/>
        </w:rPr>
      </w:pPr>
    </w:p>
    <w:p w14:paraId="365B306D" w14:textId="30464D05" w:rsidR="00A73BCF" w:rsidRPr="000D541A" w:rsidRDefault="00A73BCF" w:rsidP="0069672B">
      <w:pPr>
        <w:rPr>
          <w:rFonts w:ascii="Rubik" w:eastAsia="Rubik" w:hAnsi="Rubik" w:cs="Rubik"/>
          <w:color w:val="5A006F"/>
        </w:rPr>
      </w:pPr>
      <w:r>
        <w:rPr>
          <w:sz w:val="22"/>
          <w:szCs w:val="22"/>
        </w:rPr>
        <w:t xml:space="preserve">On the service delivery level, this </w:t>
      </w:r>
      <w:r w:rsidR="00D92FBF">
        <w:rPr>
          <w:sz w:val="22"/>
          <w:szCs w:val="22"/>
        </w:rPr>
        <w:t>requires</w:t>
      </w:r>
      <w:r>
        <w:rPr>
          <w:sz w:val="22"/>
          <w:szCs w:val="22"/>
        </w:rPr>
        <w:t xml:space="preserve"> increased funding to women’s health services and workforces that support different cohorts of women to exercise agency, such as Aboriginal and Torres Strait </w:t>
      </w:r>
      <w:r w:rsidR="0026220B">
        <w:rPr>
          <w:sz w:val="22"/>
          <w:szCs w:val="22"/>
        </w:rPr>
        <w:t>I</w:t>
      </w:r>
      <w:r>
        <w:rPr>
          <w:sz w:val="22"/>
          <w:szCs w:val="22"/>
        </w:rPr>
        <w:t xml:space="preserve">slander health liaison officers and independent disability advocates. On the structural level, this </w:t>
      </w:r>
      <w:r w:rsidR="00D92FBF">
        <w:rPr>
          <w:sz w:val="22"/>
          <w:szCs w:val="22"/>
        </w:rPr>
        <w:t>requires</w:t>
      </w:r>
      <w:r>
        <w:rPr>
          <w:sz w:val="22"/>
          <w:szCs w:val="22"/>
        </w:rPr>
        <w:t xml:space="preserve"> long-term funding of platforms that elevate the voices of women and gender diverse people and organisations, ensuring gender-responsive approaches to health and prevention are implemented in national decision-making on health care. </w:t>
      </w:r>
      <w:r>
        <w:rPr>
          <w:sz w:val="22"/>
          <w:szCs w:val="22"/>
        </w:rPr>
        <w:br/>
      </w:r>
    </w:p>
    <w:p w14:paraId="635D958B" w14:textId="77777777" w:rsidR="00A73BCF" w:rsidRPr="003F5B25" w:rsidRDefault="00A73BCF" w:rsidP="0069672B">
      <w:pPr>
        <w:pStyle w:val="Heading3"/>
        <w:rPr>
          <w:rFonts w:ascii="Rubik" w:hAnsi="Rubik"/>
        </w:rPr>
      </w:pPr>
      <w:r w:rsidRPr="003F5B25">
        <w:rPr>
          <w:rFonts w:ascii="Rubik" w:hAnsi="Rubik"/>
        </w:rPr>
        <w:t>About us</w:t>
      </w:r>
    </w:p>
    <w:p w14:paraId="183EEE6F" w14:textId="77777777" w:rsidR="00A73BCF" w:rsidRDefault="00A73BCF" w:rsidP="0069672B">
      <w:pPr>
        <w:rPr>
          <w:sz w:val="22"/>
          <w:szCs w:val="22"/>
        </w:rPr>
      </w:pPr>
      <w:r>
        <w:rPr>
          <w:sz w:val="22"/>
          <w:szCs w:val="22"/>
        </w:rPr>
        <w:t>Australian Women’s Health Alliance provides a national voice on women’s health. We highlight how gender shapes experiences of health and health care, recognising that women’s health is determined by social, cultural, environmental, and political factors.</w:t>
      </w:r>
    </w:p>
    <w:p w14:paraId="414DD23E" w14:textId="77777777" w:rsidR="00A73BCF" w:rsidRPr="000D541A" w:rsidRDefault="00A73BCF" w:rsidP="0069672B"/>
    <w:p w14:paraId="61877E05" w14:textId="77777777" w:rsidR="00A73BCF" w:rsidRPr="003F5B25" w:rsidRDefault="00A73BCF" w:rsidP="0069672B">
      <w:pPr>
        <w:pStyle w:val="Heading3"/>
        <w:rPr>
          <w:rFonts w:ascii="Rubik" w:hAnsi="Rubik"/>
        </w:rPr>
      </w:pPr>
      <w:bookmarkStart w:id="9" w:name="_heading=h.3dy6vkm" w:colFirst="0" w:colLast="0"/>
      <w:bookmarkEnd w:id="9"/>
      <w:r w:rsidRPr="003F5B25">
        <w:rPr>
          <w:rFonts w:ascii="Rubik" w:hAnsi="Rubik"/>
        </w:rPr>
        <w:t>Contact us</w:t>
      </w:r>
    </w:p>
    <w:p w14:paraId="24AA2081" w14:textId="77777777" w:rsidR="00AD60CF" w:rsidRDefault="00AD60CF" w:rsidP="0069672B">
      <w:pPr>
        <w:rPr>
          <w:sz w:val="22"/>
          <w:szCs w:val="22"/>
        </w:rPr>
        <w:sectPr w:rsidR="00AD60CF" w:rsidSect="000C782E">
          <w:headerReference w:type="default" r:id="rId11"/>
          <w:footerReference w:type="default" r:id="rId12"/>
          <w:headerReference w:type="first" r:id="rId13"/>
          <w:footerReference w:type="first" r:id="rId14"/>
          <w:endnotePr>
            <w:numFmt w:val="decimal"/>
          </w:endnotePr>
          <w:pgSz w:w="11909" w:h="16834"/>
          <w:pgMar w:top="2127" w:right="1417" w:bottom="1417" w:left="1417" w:header="720" w:footer="720" w:gutter="0"/>
          <w:pgNumType w:start="1"/>
          <w:cols w:space="720"/>
          <w:titlePg/>
        </w:sectPr>
      </w:pPr>
    </w:p>
    <w:p w14:paraId="681223A4" w14:textId="690DF67E" w:rsidR="000D541A" w:rsidRDefault="00A73BCF" w:rsidP="0069672B">
      <w:pPr>
        <w:rPr>
          <w:sz w:val="22"/>
          <w:szCs w:val="22"/>
        </w:rPr>
      </w:pPr>
      <w:r>
        <w:rPr>
          <w:sz w:val="22"/>
          <w:szCs w:val="22"/>
        </w:rPr>
        <w:t>Enquiries</w:t>
      </w:r>
      <w:r w:rsidR="000D541A">
        <w:rPr>
          <w:sz w:val="22"/>
          <w:szCs w:val="22"/>
        </w:rPr>
        <w:t xml:space="preserve">: </w:t>
      </w:r>
      <w:hyperlink r:id="rId15" w:history="1">
        <w:r w:rsidR="000D541A" w:rsidRPr="001A1044">
          <w:rPr>
            <w:rStyle w:val="Hyperlink"/>
            <w:sz w:val="22"/>
            <w:szCs w:val="22"/>
          </w:rPr>
          <w:t>Info@AustralianWomensHealth.org</w:t>
        </w:r>
      </w:hyperlink>
      <w:r>
        <w:rPr>
          <w:sz w:val="22"/>
          <w:szCs w:val="22"/>
        </w:rPr>
        <w:t xml:space="preserve">    </w:t>
      </w:r>
    </w:p>
    <w:p w14:paraId="1584500B" w14:textId="22A93B16" w:rsidR="00A73BCF" w:rsidRDefault="00A73BCF" w:rsidP="0069672B">
      <w:pPr>
        <w:rPr>
          <w:sz w:val="22"/>
          <w:szCs w:val="22"/>
        </w:rPr>
      </w:pPr>
      <w:r>
        <w:rPr>
          <w:sz w:val="22"/>
          <w:szCs w:val="22"/>
        </w:rPr>
        <w:t>Web:</w:t>
      </w:r>
      <w:r w:rsidR="000D541A">
        <w:rPr>
          <w:sz w:val="22"/>
          <w:szCs w:val="22"/>
        </w:rPr>
        <w:t xml:space="preserve"> </w:t>
      </w:r>
      <w:hyperlink r:id="rId16" w:history="1">
        <w:r w:rsidR="000D541A" w:rsidRPr="001A1044">
          <w:rPr>
            <w:rStyle w:val="Hyperlink"/>
            <w:sz w:val="22"/>
            <w:szCs w:val="22"/>
          </w:rPr>
          <w:t>www.AustralianWomensHealth.org</w:t>
        </w:r>
      </w:hyperlink>
      <w:r>
        <w:rPr>
          <w:sz w:val="22"/>
          <w:szCs w:val="22"/>
        </w:rPr>
        <w:t xml:space="preserve">   </w:t>
      </w:r>
    </w:p>
    <w:p w14:paraId="2DADACB0" w14:textId="77777777" w:rsidR="00AD60CF" w:rsidRDefault="00AD60CF" w:rsidP="0069672B">
      <w:pPr>
        <w:sectPr w:rsidR="00AD60CF" w:rsidSect="000C782E">
          <w:endnotePr>
            <w:numFmt w:val="decimal"/>
          </w:endnotePr>
          <w:type w:val="continuous"/>
          <w:pgSz w:w="11909" w:h="16834"/>
          <w:pgMar w:top="2127" w:right="1417" w:bottom="1417" w:left="1417" w:header="720" w:footer="720" w:gutter="0"/>
          <w:pgNumType w:start="1"/>
          <w:cols w:num="2" w:space="720"/>
          <w:titlePg/>
        </w:sectPr>
      </w:pPr>
    </w:p>
    <w:p w14:paraId="6EA8148A" w14:textId="77777777" w:rsidR="001C37B9" w:rsidRPr="000D541A" w:rsidRDefault="001C37B9" w:rsidP="0069672B"/>
    <w:p w14:paraId="72FE0E5A" w14:textId="77777777" w:rsidR="00B4488C" w:rsidRPr="003F5B25" w:rsidRDefault="00B4488C" w:rsidP="00B4488C">
      <w:pPr>
        <w:pStyle w:val="paragraph"/>
        <w:spacing w:before="0" w:beforeAutospacing="0" w:after="0" w:afterAutospacing="0"/>
        <w:textAlignment w:val="baseline"/>
        <w:rPr>
          <w:rFonts w:ascii="Rubik" w:hAnsi="Rubik" w:cs="Segoe UI"/>
          <w:color w:val="6F1A82"/>
          <w:sz w:val="18"/>
          <w:szCs w:val="18"/>
        </w:rPr>
      </w:pPr>
      <w:r w:rsidRPr="003F5B25">
        <w:rPr>
          <w:rStyle w:val="normaltextrun"/>
          <w:rFonts w:ascii="Rubik" w:hAnsi="Rubik" w:cs="Segoe UI"/>
          <w:color w:val="6F1A82"/>
          <w:lang w:val="en-GB"/>
        </w:rPr>
        <w:t>Suggested citation</w:t>
      </w:r>
      <w:r w:rsidRPr="003F5B25">
        <w:rPr>
          <w:rStyle w:val="eop"/>
          <w:rFonts w:ascii="Rubik" w:hAnsi="Rubik" w:cs="Segoe UI"/>
          <w:color w:val="6F1A82"/>
        </w:rPr>
        <w:t> </w:t>
      </w:r>
    </w:p>
    <w:p w14:paraId="177997B2" w14:textId="0A9B35AA" w:rsidR="00B4488C" w:rsidRDefault="00B4488C" w:rsidP="00B4488C">
      <w:pPr>
        <w:pStyle w:val="paragraph"/>
        <w:spacing w:before="0" w:beforeAutospacing="0" w:after="0" w:afterAutospacing="0"/>
        <w:textAlignment w:val="baseline"/>
        <w:rPr>
          <w:rFonts w:ascii="Segoe UI" w:hAnsi="Segoe UI" w:cs="Segoe UI"/>
          <w:color w:val="5A006F"/>
          <w:sz w:val="18"/>
          <w:szCs w:val="18"/>
        </w:rPr>
      </w:pPr>
      <w:r>
        <w:rPr>
          <w:rStyle w:val="normaltextrun"/>
          <w:rFonts w:ascii="Calibri" w:hAnsi="Calibri" w:cs="Calibri"/>
          <w:color w:val="000000"/>
          <w:sz w:val="22"/>
          <w:szCs w:val="22"/>
          <w:lang w:val="en-GB"/>
        </w:rPr>
        <w:t xml:space="preserve">Australian Women’s Health Alliance, </w:t>
      </w:r>
      <w:r>
        <w:rPr>
          <w:rStyle w:val="normaltextrun"/>
          <w:rFonts w:ascii="Calibri" w:hAnsi="Calibri" w:cs="Calibri"/>
          <w:i/>
          <w:iCs/>
          <w:color w:val="000000"/>
          <w:sz w:val="22"/>
          <w:szCs w:val="22"/>
          <w:lang w:val="en-GB"/>
        </w:rPr>
        <w:t xml:space="preserve">Policy Brief – Enabling Agency in Health </w:t>
      </w:r>
      <w:r w:rsidR="007C2BFF">
        <w:rPr>
          <w:rStyle w:val="normaltextrun"/>
          <w:rFonts w:ascii="Calibri" w:hAnsi="Calibri" w:cs="Calibri"/>
          <w:i/>
          <w:iCs/>
          <w:color w:val="000000"/>
          <w:sz w:val="22"/>
          <w:szCs w:val="22"/>
          <w:lang w:val="en-GB"/>
        </w:rPr>
        <w:t>Care</w:t>
      </w:r>
      <w:r>
        <w:rPr>
          <w:rStyle w:val="normaltextrun"/>
          <w:rFonts w:ascii="Calibri" w:hAnsi="Calibri" w:cs="Calibri"/>
          <w:color w:val="000000"/>
          <w:sz w:val="22"/>
          <w:szCs w:val="22"/>
          <w:lang w:val="en-GB"/>
        </w:rPr>
        <w:t>, Australian Women’s Health Alliance 2024.</w:t>
      </w:r>
      <w:r>
        <w:rPr>
          <w:rStyle w:val="eop"/>
          <w:rFonts w:ascii="Calibri" w:hAnsi="Calibri" w:cs="Calibri"/>
          <w:color w:val="000000"/>
          <w:sz w:val="22"/>
          <w:szCs w:val="22"/>
        </w:rPr>
        <w:t> </w:t>
      </w:r>
    </w:p>
    <w:p w14:paraId="2EBD4B07" w14:textId="77777777" w:rsidR="00B4488C" w:rsidRPr="000D541A" w:rsidRDefault="00B4488C" w:rsidP="00B4488C">
      <w:pPr>
        <w:pStyle w:val="paragraph"/>
        <w:spacing w:before="0" w:beforeAutospacing="0" w:after="0" w:afterAutospacing="0"/>
        <w:textAlignment w:val="baseline"/>
        <w:rPr>
          <w:rFonts w:ascii="Segoe UI" w:hAnsi="Segoe UI" w:cs="Segoe UI"/>
          <w:sz w:val="22"/>
          <w:szCs w:val="22"/>
        </w:rPr>
      </w:pPr>
      <w:r>
        <w:rPr>
          <w:rStyle w:val="eop"/>
          <w:rFonts w:ascii="Calibri" w:hAnsi="Calibri" w:cs="Calibri"/>
          <w:sz w:val="20"/>
          <w:szCs w:val="20"/>
        </w:rPr>
        <w:t> </w:t>
      </w:r>
    </w:p>
    <w:p w14:paraId="2EF40A56" w14:textId="77777777" w:rsidR="00B4488C" w:rsidRDefault="00B4488C" w:rsidP="00B448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lang w:val="en-GB"/>
        </w:rPr>
        <w:t>We acknowledge the Traditional Custodians of the lands and waters on which we live and work.</w:t>
      </w:r>
      <w:r>
        <w:rPr>
          <w:rStyle w:val="eop"/>
          <w:rFonts w:ascii="Calibri" w:hAnsi="Calibri" w:cs="Calibri"/>
          <w:sz w:val="22"/>
          <w:szCs w:val="22"/>
        </w:rPr>
        <w:t> </w:t>
      </w:r>
    </w:p>
    <w:p w14:paraId="633D40F5" w14:textId="77777777" w:rsidR="00B4488C" w:rsidRDefault="00B4488C" w:rsidP="00B448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lang w:val="en-GB"/>
        </w:rPr>
        <w:t>We pay our respect to Elders past and present. Sovereignty has never been ceded.</w:t>
      </w:r>
      <w:r>
        <w:rPr>
          <w:rStyle w:val="eop"/>
          <w:rFonts w:ascii="Calibri" w:hAnsi="Calibri" w:cs="Calibri"/>
          <w:sz w:val="22"/>
          <w:szCs w:val="22"/>
        </w:rPr>
        <w:t> </w:t>
      </w:r>
    </w:p>
    <w:p w14:paraId="1AB6216E" w14:textId="77777777" w:rsidR="00B4488C" w:rsidRPr="00AD60CF" w:rsidRDefault="00B4488C" w:rsidP="0069672B"/>
    <w:p w14:paraId="044515D1" w14:textId="6A221E1B" w:rsidR="001D715B" w:rsidRPr="00AD60CF" w:rsidRDefault="001D715B" w:rsidP="000D541A">
      <w:pPr>
        <w:spacing w:line="240" w:lineRule="auto"/>
      </w:pPr>
      <w:r w:rsidRPr="00AD60CF">
        <w:t xml:space="preserve">Last updated: </w:t>
      </w:r>
      <w:r w:rsidR="00A8112B">
        <w:t>March</w:t>
      </w:r>
      <w:r w:rsidR="00A8112B" w:rsidRPr="00AD60CF">
        <w:t xml:space="preserve"> </w:t>
      </w:r>
      <w:r w:rsidRPr="00AD60CF">
        <w:t>2024</w:t>
      </w:r>
    </w:p>
    <w:sectPr w:rsidR="001D715B" w:rsidRPr="00AD60CF" w:rsidSect="000C782E">
      <w:endnotePr>
        <w:numFmt w:val="decimal"/>
      </w:endnotePr>
      <w:type w:val="continuous"/>
      <w:pgSz w:w="11909" w:h="16834"/>
      <w:pgMar w:top="2127" w:right="1417" w:bottom="1417" w:left="141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A8344" w14:textId="77777777" w:rsidR="000C782E" w:rsidRDefault="000C782E">
      <w:pPr>
        <w:spacing w:line="240" w:lineRule="auto"/>
      </w:pPr>
      <w:r>
        <w:separator/>
      </w:r>
    </w:p>
  </w:endnote>
  <w:endnote w:type="continuationSeparator" w:id="0">
    <w:p w14:paraId="2B8732CD" w14:textId="77777777" w:rsidR="000C782E" w:rsidRDefault="000C782E">
      <w:pPr>
        <w:spacing w:line="240" w:lineRule="auto"/>
      </w:pPr>
      <w:r>
        <w:continuationSeparator/>
      </w:r>
    </w:p>
  </w:endnote>
  <w:endnote w:type="continuationNotice" w:id="1">
    <w:p w14:paraId="3B952726" w14:textId="77777777" w:rsidR="000C782E" w:rsidRDefault="000C782E">
      <w:pPr>
        <w:spacing w:line="240" w:lineRule="auto"/>
      </w:pPr>
    </w:p>
  </w:endnote>
  <w:endnote w:id="2">
    <w:p w14:paraId="1EC910D3" w14:textId="42A4AE59" w:rsidR="00CE18AB" w:rsidRDefault="0069672B" w:rsidP="00A73BCF">
      <w:pPr>
        <w:spacing w:line="240" w:lineRule="auto"/>
      </w:pPr>
      <w:r>
        <w:rPr>
          <w:vertAlign w:val="superscript"/>
        </w:rPr>
        <w:endnoteRef/>
      </w:r>
      <w:r w:rsidR="00F648BF">
        <w:t xml:space="preserve"> </w:t>
      </w:r>
      <w:r>
        <w:t xml:space="preserve">Department of Health, </w:t>
      </w:r>
      <w:hyperlink r:id="rId1">
        <w:r>
          <w:rPr>
            <w:i/>
            <w:color w:val="1155CC"/>
            <w:u w:val="single"/>
          </w:rPr>
          <w:t>National Women’s Health Strategy 2020-2030</w:t>
        </w:r>
      </w:hyperlink>
      <w:r>
        <w:t xml:space="preserve">, </w:t>
      </w:r>
      <w:r w:rsidR="00E56AC8">
        <w:t>Australian Government</w:t>
      </w:r>
      <w:r>
        <w:t>,</w:t>
      </w:r>
      <w:r w:rsidR="00E56AC8">
        <w:t xml:space="preserve"> 2018.</w:t>
      </w:r>
      <w:r>
        <w:t xml:space="preserve"> </w:t>
      </w:r>
    </w:p>
  </w:endnote>
  <w:endnote w:id="3">
    <w:p w14:paraId="587C0C8C" w14:textId="5392DF5B" w:rsidR="0069672B" w:rsidRDefault="0069672B" w:rsidP="00A73BCF">
      <w:pPr>
        <w:spacing w:line="240" w:lineRule="auto"/>
      </w:pPr>
      <w:r>
        <w:rPr>
          <w:vertAlign w:val="superscript"/>
        </w:rPr>
        <w:endnoteRef/>
      </w:r>
      <w:r w:rsidR="00F648BF">
        <w:t xml:space="preserve"> </w:t>
      </w:r>
      <w:r>
        <w:t xml:space="preserve">J Code, </w:t>
      </w:r>
      <w:hyperlink r:id="rId2">
        <w:r w:rsidR="00BF1E33">
          <w:rPr>
            <w:color w:val="1155CC"/>
            <w:u w:val="single"/>
          </w:rPr>
          <w:t>‘At</w:t>
        </w:r>
        <w:r w:rsidRPr="001D715B">
          <w:rPr>
            <w:color w:val="1155CC"/>
            <w:u w:val="single"/>
          </w:rPr>
          <w:t xml:space="preserve"> the Heart of Resilience: Empowering Women’s Agency in Navigating Cardiovascular Disease</w:t>
        </w:r>
      </w:hyperlink>
      <w:r w:rsidR="00F306C6">
        <w:rPr>
          <w:color w:val="1155CC"/>
          <w:u w:val="single"/>
        </w:rPr>
        <w:t>’</w:t>
      </w:r>
      <w:r>
        <w:rPr>
          <w:i/>
        </w:rPr>
        <w:t xml:space="preserve">, </w:t>
      </w:r>
      <w:r w:rsidRPr="001D715B">
        <w:rPr>
          <w:i/>
          <w:iCs/>
        </w:rPr>
        <w:t>CJC Open</w:t>
      </w:r>
      <w:r>
        <w:t>, 2023</w:t>
      </w:r>
      <w:r w:rsidR="00F306C6">
        <w:t>.</w:t>
      </w:r>
    </w:p>
  </w:endnote>
  <w:endnote w:id="4">
    <w:p w14:paraId="29FA3F9C" w14:textId="4DE08991" w:rsidR="0069672B" w:rsidRDefault="0069672B" w:rsidP="00A73BCF">
      <w:pPr>
        <w:spacing w:line="240" w:lineRule="auto"/>
      </w:pPr>
      <w:r>
        <w:rPr>
          <w:vertAlign w:val="superscript"/>
        </w:rPr>
        <w:endnoteRef/>
      </w:r>
      <w:r w:rsidR="00F648BF">
        <w:t xml:space="preserve"> </w:t>
      </w:r>
      <w:r w:rsidR="009F33B3">
        <w:t xml:space="preserve">Department of Health, </w:t>
      </w:r>
      <w:hyperlink r:id="rId3">
        <w:r w:rsidR="009F33B3">
          <w:rPr>
            <w:i/>
            <w:color w:val="1155CC"/>
            <w:u w:val="single"/>
          </w:rPr>
          <w:t>National Women’s Health Strategy 2020-2030</w:t>
        </w:r>
      </w:hyperlink>
      <w:r w:rsidR="009F33B3" w:rsidRPr="001D715B">
        <w:rPr>
          <w:i/>
          <w:color w:val="1155CC"/>
        </w:rPr>
        <w:t>.</w:t>
      </w:r>
    </w:p>
  </w:endnote>
  <w:endnote w:id="5">
    <w:p w14:paraId="00671AF8" w14:textId="736BBAF0" w:rsidR="0069672B" w:rsidRDefault="0069672B" w:rsidP="00A73BCF">
      <w:pPr>
        <w:spacing w:line="240" w:lineRule="auto"/>
      </w:pPr>
      <w:r>
        <w:rPr>
          <w:vertAlign w:val="superscript"/>
        </w:rPr>
        <w:endnoteRef/>
      </w:r>
      <w:r w:rsidR="00F648BF">
        <w:t xml:space="preserve"> </w:t>
      </w:r>
      <w:r>
        <w:t xml:space="preserve">J Code, </w:t>
      </w:r>
      <w:r w:rsidR="008F5A02">
        <w:rPr>
          <w:i/>
        </w:rPr>
        <w:t>‘</w:t>
      </w:r>
      <w:r w:rsidRPr="001D715B">
        <w:rPr>
          <w:iCs/>
          <w:color w:val="1155CC"/>
          <w:u w:val="single"/>
        </w:rPr>
        <w:t>At the Heart of Resilience</w:t>
      </w:r>
      <w:r w:rsidR="008F5A02">
        <w:rPr>
          <w:i/>
          <w:color w:val="1155CC"/>
          <w:u w:val="single"/>
        </w:rPr>
        <w:t>’</w:t>
      </w:r>
      <w:r w:rsidR="00B323DD">
        <w:t>.</w:t>
      </w:r>
    </w:p>
  </w:endnote>
  <w:endnote w:id="6">
    <w:p w14:paraId="0E8240A9" w14:textId="29A3E5EF" w:rsidR="0069672B" w:rsidRDefault="0069672B" w:rsidP="00A73BCF">
      <w:pPr>
        <w:spacing w:line="240" w:lineRule="auto"/>
      </w:pPr>
      <w:r>
        <w:rPr>
          <w:vertAlign w:val="superscript"/>
        </w:rPr>
        <w:endnoteRef/>
      </w:r>
      <w:r w:rsidR="00F648BF">
        <w:t xml:space="preserve"> </w:t>
      </w:r>
      <w:r>
        <w:t>M Vizheh, F Rapport, J Braithwaite</w:t>
      </w:r>
      <w:r w:rsidR="00BA3206">
        <w:t xml:space="preserve"> and</w:t>
      </w:r>
      <w:r>
        <w:t xml:space="preserve"> Y </w:t>
      </w:r>
      <w:proofErr w:type="spellStart"/>
      <w:r>
        <w:t>Zurynski</w:t>
      </w:r>
      <w:proofErr w:type="spellEnd"/>
      <w:r>
        <w:t xml:space="preserve">, </w:t>
      </w:r>
      <w:hyperlink r:id="rId4">
        <w:r w:rsidR="00BF1E33">
          <w:rPr>
            <w:color w:val="1155CC"/>
            <w:u w:val="single"/>
          </w:rPr>
          <w:t>‘T</w:t>
        </w:r>
        <w:r w:rsidRPr="001D715B">
          <w:rPr>
            <w:color w:val="1155CC"/>
            <w:u w:val="single"/>
          </w:rPr>
          <w:t>he Impact of Women's Agency on Accessing and Using Maternal Healthcare Services: A Systematic Review and Meta-Analysis</w:t>
        </w:r>
      </w:hyperlink>
      <w:r w:rsidR="00BF1E33">
        <w:rPr>
          <w:color w:val="1155CC"/>
          <w:u w:val="single"/>
        </w:rPr>
        <w:t>’</w:t>
      </w:r>
      <w:r>
        <w:t xml:space="preserve">, </w:t>
      </w:r>
      <w:r w:rsidRPr="001D715B">
        <w:rPr>
          <w:i/>
          <w:iCs/>
        </w:rPr>
        <w:t>Int</w:t>
      </w:r>
      <w:r w:rsidR="00D33A58">
        <w:rPr>
          <w:i/>
          <w:iCs/>
        </w:rPr>
        <w:t>ernational</w:t>
      </w:r>
      <w:r w:rsidRPr="001D715B">
        <w:rPr>
          <w:i/>
          <w:iCs/>
        </w:rPr>
        <w:t xml:space="preserve"> J</w:t>
      </w:r>
      <w:r w:rsidR="00D33A58">
        <w:rPr>
          <w:i/>
          <w:iCs/>
        </w:rPr>
        <w:t>ournal of</w:t>
      </w:r>
      <w:r w:rsidRPr="001D715B">
        <w:rPr>
          <w:i/>
          <w:iCs/>
        </w:rPr>
        <w:t xml:space="preserve"> Environ</w:t>
      </w:r>
      <w:r w:rsidR="00D33A58">
        <w:rPr>
          <w:i/>
          <w:iCs/>
        </w:rPr>
        <w:t>mental</w:t>
      </w:r>
      <w:r w:rsidRPr="001D715B">
        <w:rPr>
          <w:i/>
          <w:iCs/>
        </w:rPr>
        <w:t xml:space="preserve"> Res</w:t>
      </w:r>
      <w:r w:rsidR="00D33A58">
        <w:rPr>
          <w:i/>
          <w:iCs/>
        </w:rPr>
        <w:t>earch and</w:t>
      </w:r>
      <w:r w:rsidRPr="001D715B">
        <w:rPr>
          <w:i/>
          <w:iCs/>
        </w:rPr>
        <w:t xml:space="preserve"> Public Health</w:t>
      </w:r>
      <w:r>
        <w:t>, 2023,</w:t>
      </w:r>
      <w:r w:rsidR="0004205C">
        <w:t xml:space="preserve"> </w:t>
      </w:r>
      <w:r w:rsidR="0004205C" w:rsidRPr="001D715B">
        <w:rPr>
          <w:rFonts w:asciiTheme="majorHAnsi" w:hAnsiTheme="majorHAnsi" w:cstheme="majorHAnsi"/>
          <w:color w:val="212121"/>
          <w:shd w:val="clear" w:color="auto" w:fill="FFFFFF"/>
        </w:rPr>
        <w:t>23;20(5):3966.</w:t>
      </w:r>
    </w:p>
  </w:endnote>
  <w:endnote w:id="7">
    <w:p w14:paraId="35F75F73" w14:textId="757361B5" w:rsidR="0069672B" w:rsidRDefault="0069672B" w:rsidP="00A73BCF">
      <w:pPr>
        <w:spacing w:line="240" w:lineRule="auto"/>
      </w:pPr>
      <w:r>
        <w:rPr>
          <w:vertAlign w:val="superscript"/>
        </w:rPr>
        <w:endnoteRef/>
      </w:r>
      <w:r>
        <w:t xml:space="preserve"> </w:t>
      </w:r>
      <w:r w:rsidR="00D33A58">
        <w:t>M Vizheh et al., ‘</w:t>
      </w:r>
      <w:hyperlink r:id="rId5">
        <w:r w:rsidR="00D33A58" w:rsidRPr="005B034F">
          <w:rPr>
            <w:color w:val="1155CC"/>
            <w:u w:val="single"/>
          </w:rPr>
          <w:t>The Impact of Women's Agency on Accessing and Using Maternal Healthcare Services</w:t>
        </w:r>
      </w:hyperlink>
      <w:r w:rsidR="00BA7F9D">
        <w:rPr>
          <w:color w:val="1155CC"/>
          <w:u w:val="single"/>
        </w:rPr>
        <w:t>’</w:t>
      </w:r>
      <w:r w:rsidR="00B323DD" w:rsidRPr="001D715B">
        <w:rPr>
          <w:color w:val="1155CC"/>
        </w:rPr>
        <w:t>.</w:t>
      </w:r>
    </w:p>
  </w:endnote>
  <w:endnote w:id="8">
    <w:p w14:paraId="6E158EA1" w14:textId="66785FA7" w:rsidR="0069672B" w:rsidRDefault="0069672B" w:rsidP="00A73BCF">
      <w:pPr>
        <w:spacing w:line="240" w:lineRule="auto"/>
      </w:pPr>
      <w:r>
        <w:rPr>
          <w:vertAlign w:val="superscript"/>
        </w:rPr>
        <w:endnoteRef/>
      </w:r>
      <w:r>
        <w:t xml:space="preserve"> </w:t>
      </w:r>
      <w:r w:rsidR="00BA7F9D">
        <w:t>M Vizheh et al., ‘</w:t>
      </w:r>
      <w:hyperlink r:id="rId6">
        <w:r w:rsidR="00BA7F9D" w:rsidRPr="005B034F">
          <w:rPr>
            <w:color w:val="1155CC"/>
            <w:u w:val="single"/>
          </w:rPr>
          <w:t>The Impact of Women's Agency on Accessing and Using Maternal Healthcare Services</w:t>
        </w:r>
      </w:hyperlink>
      <w:r w:rsidR="00BA7F9D">
        <w:rPr>
          <w:color w:val="1155CC"/>
          <w:u w:val="single"/>
        </w:rPr>
        <w:t>’</w:t>
      </w:r>
      <w:r w:rsidR="00B323DD" w:rsidRPr="001D715B">
        <w:rPr>
          <w:color w:val="1155CC"/>
        </w:rPr>
        <w:t>.</w:t>
      </w:r>
    </w:p>
  </w:endnote>
  <w:endnote w:id="9">
    <w:p w14:paraId="4C0DB052" w14:textId="4CAB2E2C" w:rsidR="0069672B" w:rsidRDefault="0069672B" w:rsidP="00A73BCF">
      <w:pPr>
        <w:spacing w:line="240" w:lineRule="auto"/>
      </w:pPr>
      <w:r>
        <w:rPr>
          <w:vertAlign w:val="superscript"/>
        </w:rPr>
        <w:endnoteRef/>
      </w:r>
      <w:r>
        <w:t xml:space="preserve"> L Papas, O Hollingdrake</w:t>
      </w:r>
      <w:r w:rsidR="00BA3206">
        <w:t xml:space="preserve"> and</w:t>
      </w:r>
      <w:r>
        <w:t xml:space="preserve"> J Currie, </w:t>
      </w:r>
      <w:r w:rsidR="00BA3206">
        <w:t>‘</w:t>
      </w:r>
      <w:hyperlink r:id="rId7">
        <w:r w:rsidRPr="001D715B">
          <w:rPr>
            <w:color w:val="1155CC"/>
            <w:u w:val="single"/>
          </w:rPr>
          <w:t>Social determinant factors and access to health care for women experiencing domestic and family violence: Qualitative synthesis</w:t>
        </w:r>
      </w:hyperlink>
      <w:r w:rsidR="00BA3206" w:rsidRPr="001D715B">
        <w:rPr>
          <w:color w:val="1155CC"/>
          <w:u w:val="single"/>
        </w:rPr>
        <w:t>’</w:t>
      </w:r>
      <w:r>
        <w:t xml:space="preserve">, </w:t>
      </w:r>
      <w:r w:rsidRPr="001D715B">
        <w:rPr>
          <w:i/>
          <w:iCs/>
        </w:rPr>
        <w:t>Journal of Advanced Nursing (JAN),</w:t>
      </w:r>
      <w:r>
        <w:t xml:space="preserve"> 2023, </w:t>
      </w:r>
      <w:r w:rsidR="0081143A">
        <w:t>79(5) pp 1633-1649.</w:t>
      </w:r>
    </w:p>
  </w:endnote>
  <w:endnote w:id="10">
    <w:p w14:paraId="4411CAC6" w14:textId="6546A302" w:rsidR="003D014C" w:rsidRPr="001D715B" w:rsidRDefault="003D014C">
      <w:pPr>
        <w:pStyle w:val="EndnoteText"/>
        <w:rPr>
          <w:rFonts w:ascii="Calibri" w:hAnsi="Calibri" w:cs="Calibri"/>
        </w:rPr>
      </w:pPr>
      <w:r>
        <w:rPr>
          <w:rStyle w:val="EndnoteReference"/>
        </w:rPr>
        <w:endnoteRef/>
      </w:r>
      <w:r>
        <w:t xml:space="preserve"> </w:t>
      </w:r>
      <w:r w:rsidRPr="001D715B">
        <w:rPr>
          <w:rFonts w:ascii="Calibri" w:hAnsi="Calibri" w:cs="Calibri"/>
          <w:lang w:val="en-GB"/>
        </w:rPr>
        <w:t xml:space="preserve">C Frohmader, Dr L Steele, H Siciliano, Dr E Rose, E G Kaye on behalf of Women With Disabilities Australia (WWDA), </w:t>
      </w:r>
      <w:hyperlink r:id="rId8" w:history="1">
        <w:r w:rsidRPr="001D715B">
          <w:rPr>
            <w:rFonts w:ascii="Calibri" w:eastAsia="Calibri" w:hAnsi="Calibri" w:cs="Calibri"/>
            <w:i/>
            <w:iCs/>
            <w:color w:val="1155CC"/>
            <w:u w:val="single"/>
            <w:lang w:eastAsia="en-AU"/>
          </w:rPr>
          <w:t>Our Right to Decide: Equality and Autonomy for Women with Disability</w:t>
        </w:r>
      </w:hyperlink>
      <w:r w:rsidRPr="001D715B">
        <w:rPr>
          <w:rFonts w:ascii="Calibri" w:hAnsi="Calibri" w:cs="Calibri"/>
          <w:lang w:val="en-GB"/>
        </w:rPr>
        <w:t>, WWDA, 2022.</w:t>
      </w:r>
    </w:p>
  </w:endnote>
  <w:endnote w:id="11">
    <w:p w14:paraId="4432211E" w14:textId="61418BAD" w:rsidR="0069672B" w:rsidRDefault="0069672B" w:rsidP="00A73BCF">
      <w:pPr>
        <w:spacing w:line="240" w:lineRule="auto"/>
      </w:pPr>
      <w:r>
        <w:rPr>
          <w:vertAlign w:val="superscript"/>
        </w:rPr>
        <w:endnoteRef/>
      </w:r>
      <w:r>
        <w:t xml:space="preserve"> </w:t>
      </w:r>
      <w:r w:rsidR="001C37B9" w:rsidRPr="001C37B9">
        <w:t xml:space="preserve">Department of Health and Aged Care, </w:t>
      </w:r>
      <w:hyperlink r:id="rId9" w:history="1">
        <w:r w:rsidR="001C37B9" w:rsidRPr="001C37B9">
          <w:rPr>
            <w:i/>
            <w:iCs/>
            <w:color w:val="1155CC"/>
            <w:u w:val="single"/>
            <w:lang w:val="en-AU"/>
          </w:rPr>
          <w:t>National Roadmap to Improve the Health and Mental Health of Autistic People</w:t>
        </w:r>
      </w:hyperlink>
      <w:r w:rsidR="001C37B9" w:rsidRPr="001C37B9">
        <w:t>, Commonwealth of Australia (Department of Health and Aged Care), 2023</w:t>
      </w:r>
      <w:r w:rsidR="001C37B9">
        <w:t>.</w:t>
      </w:r>
      <w:r>
        <w:t xml:space="preserve"> </w:t>
      </w:r>
    </w:p>
  </w:endnote>
  <w:endnote w:id="12">
    <w:p w14:paraId="522D41E1" w14:textId="17464E3F" w:rsidR="0069672B" w:rsidRDefault="0069672B" w:rsidP="00A73BCF">
      <w:pPr>
        <w:spacing w:line="240" w:lineRule="auto"/>
      </w:pPr>
      <w:r>
        <w:rPr>
          <w:vertAlign w:val="superscript"/>
        </w:rPr>
        <w:endnoteRef/>
      </w:r>
      <w:r w:rsidR="00F648BF">
        <w:t xml:space="preserve"> Department of Health, </w:t>
      </w:r>
      <w:hyperlink r:id="rId10">
        <w:r w:rsidR="00F648BF">
          <w:rPr>
            <w:i/>
            <w:color w:val="1155CC"/>
            <w:u w:val="single"/>
          </w:rPr>
          <w:t>National Women’s Health Strategy 2020-2030</w:t>
        </w:r>
      </w:hyperlink>
      <w:r w:rsidR="00F648BF" w:rsidRPr="001D715B">
        <w:rPr>
          <w:i/>
          <w:color w:val="1155CC"/>
        </w:rPr>
        <w:t>.</w:t>
      </w:r>
    </w:p>
  </w:endnote>
  <w:endnote w:id="13">
    <w:p w14:paraId="2D45479B" w14:textId="33F951B4" w:rsidR="0069672B" w:rsidRDefault="0069672B" w:rsidP="00A73BCF">
      <w:pPr>
        <w:spacing w:line="240" w:lineRule="auto"/>
      </w:pPr>
      <w:r>
        <w:rPr>
          <w:vertAlign w:val="superscript"/>
        </w:rPr>
        <w:endnoteRef/>
      </w:r>
      <w:r w:rsidR="00F648BF">
        <w:t xml:space="preserve"> M Vizheh et al., ‘</w:t>
      </w:r>
      <w:hyperlink r:id="rId11">
        <w:r w:rsidR="00F648BF" w:rsidRPr="005B034F">
          <w:rPr>
            <w:color w:val="1155CC"/>
            <w:u w:val="single"/>
          </w:rPr>
          <w:t>The Impact of Women's Agency on Accessing and Using Maternal Healthcare Services</w:t>
        </w:r>
      </w:hyperlink>
      <w:r w:rsidR="00F648BF">
        <w:rPr>
          <w:color w:val="1155CC"/>
          <w:u w:val="single"/>
        </w:rPr>
        <w:t>’</w:t>
      </w:r>
      <w:r w:rsidR="00B323DD" w:rsidRPr="001D715B">
        <w:rPr>
          <w:color w:val="1155CC"/>
        </w:rPr>
        <w:t>.</w:t>
      </w:r>
      <w:r w:rsidR="00F648BF">
        <w:rPr>
          <w:color w:val="1155CC"/>
          <w:u w:val="single"/>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ubik regular">
    <w:altName w:val="Cambria"/>
    <w:panose1 w:val="00000000000000000000"/>
    <w:charset w:val="00"/>
    <w:family w:val="roman"/>
    <w:notTrueType/>
    <w:pitch w:val="default"/>
  </w:font>
  <w:font w:name="Rubik">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D8945" w14:textId="77777777" w:rsidR="008F25C6" w:rsidRDefault="006A143E">
    <w:pPr>
      <w:jc w:val="right"/>
      <w:rPr>
        <w:color w:val="000000"/>
      </w:rPr>
    </w:pPr>
    <w:r>
      <w:rPr>
        <w:noProof/>
      </w:rPr>
      <w:drawing>
        <wp:anchor distT="114300" distB="114300" distL="114300" distR="114300" simplePos="0" relativeHeight="251658241" behindDoc="0" locked="0" layoutInCell="1" hidden="0" allowOverlap="1" wp14:anchorId="69BB7D84" wp14:editId="2D021CEA">
          <wp:simplePos x="0" y="0"/>
          <wp:positionH relativeFrom="column">
            <wp:posOffset>-964565</wp:posOffset>
          </wp:positionH>
          <wp:positionV relativeFrom="paragraph">
            <wp:posOffset>523875</wp:posOffset>
          </wp:positionV>
          <wp:extent cx="7631430" cy="125730"/>
          <wp:effectExtent l="0" t="0" r="0" b="0"/>
          <wp:wrapNone/>
          <wp:docPr id="644137292" name="Picture 6441372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854930143" name="Picture 854930143">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1430" cy="125730"/>
                  </a:xfrm>
                  <a:prstGeom prst="rect">
                    <a:avLst/>
                  </a:prstGeom>
                  <a:ln/>
                </pic:spPr>
              </pic:pic>
            </a:graphicData>
          </a:graphic>
        </wp:anchor>
      </w:drawing>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E34D5" w14:textId="77777777" w:rsidR="008F25C6" w:rsidRDefault="006A143E">
    <w:pPr>
      <w:jc w:val="right"/>
      <w:rPr>
        <w:color w:val="000000"/>
      </w:rPr>
    </w:pPr>
    <w:r>
      <w:rPr>
        <w:noProof/>
      </w:rPr>
      <w:drawing>
        <wp:anchor distT="114300" distB="114300" distL="114300" distR="114300" simplePos="0" relativeHeight="251658242" behindDoc="0" locked="0" layoutInCell="1" hidden="0" allowOverlap="1" wp14:anchorId="692E5726" wp14:editId="141E34F3">
          <wp:simplePos x="0" y="0"/>
          <wp:positionH relativeFrom="column">
            <wp:posOffset>-896620</wp:posOffset>
          </wp:positionH>
          <wp:positionV relativeFrom="paragraph">
            <wp:posOffset>521970</wp:posOffset>
          </wp:positionV>
          <wp:extent cx="7632000" cy="133200"/>
          <wp:effectExtent l="0" t="0" r="0" b="635"/>
          <wp:wrapNone/>
          <wp:docPr id="1955137331" name="Picture 19551373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877179319" name="Picture 1877179319">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632000" cy="133200"/>
                  </a:xfrm>
                  <a:prstGeom prst="rect">
                    <a:avLst/>
                  </a:prstGeom>
                  <a:ln/>
                </pic:spPr>
              </pic:pic>
            </a:graphicData>
          </a:graphic>
          <wp14:sizeRelH relativeFrom="margin">
            <wp14:pctWidth>0</wp14:pctWidth>
          </wp14:sizeRelH>
          <wp14:sizeRelV relativeFrom="margin">
            <wp14:pctHeight>0</wp14:pctHeight>
          </wp14:sizeRelV>
        </wp:anchor>
      </w:drawing>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91013" w14:textId="77777777" w:rsidR="000C782E" w:rsidRDefault="000C782E">
      <w:pPr>
        <w:spacing w:line="240" w:lineRule="auto"/>
      </w:pPr>
      <w:r>
        <w:separator/>
      </w:r>
    </w:p>
  </w:footnote>
  <w:footnote w:type="continuationSeparator" w:id="0">
    <w:p w14:paraId="5E6FC60B" w14:textId="77777777" w:rsidR="000C782E" w:rsidRDefault="000C782E">
      <w:pPr>
        <w:spacing w:line="240" w:lineRule="auto"/>
      </w:pPr>
      <w:r>
        <w:continuationSeparator/>
      </w:r>
    </w:p>
  </w:footnote>
  <w:footnote w:type="continuationNotice" w:id="1">
    <w:p w14:paraId="7E46795D" w14:textId="77777777" w:rsidR="000C782E" w:rsidRDefault="000C782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F45E5" w14:textId="77777777" w:rsidR="008F25C6" w:rsidRDefault="006A143E">
    <w:r>
      <w:rPr>
        <w:noProof/>
      </w:rPr>
      <w:drawing>
        <wp:inline distT="0" distB="0" distL="0" distR="0" wp14:anchorId="14EC3042" wp14:editId="65113AA0">
          <wp:extent cx="533400" cy="466725"/>
          <wp:effectExtent l="0" t="0" r="0" b="9525"/>
          <wp:docPr id="314757853" name="Picture 314757853" descr="The Australian Women's Health Alliance logo with four graphic icons only, the first and second shapes are stacked on top of the third and fourth shapes.">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openxmlformats.org/drawingml/2006/picture">
              <pic:pic xmlns:pic="http://schemas.openxmlformats.org/drawingml/2006/picture">
                <pic:nvPicPr>
                  <pic:cNvPr id="1781817302" name="Picture 1781817302" descr="The Australian Women's Health Alliance logo with four graphic icons only, the first and second shapes are stacked on top of the third and fourth shapes.">
                    <a:extLst>
                      <a:ext uri="{C183D7F6-B498-43B3-948B-1728B52AA6E4}">
                        <adec:decorative xmlns:adec="http://schemas.microsoft.com/office/drawing/2017/decorative" val="0"/>
                      </a:ext>
                    </a:extLst>
                  </pic:cNvPr>
                  <pic:cNvPicPr preferRelativeResize="0"/>
                </pic:nvPicPr>
                <pic:blipFill>
                  <a:blip r:embed="rId1">
                    <a:extLst>
                      <a:ext uri="{28A0092B-C50C-407E-A947-70E740481C1C}">
                        <a14:useLocalDpi xmlns:a14="http://schemas.microsoft.com/office/drawing/2010/main" val="0"/>
                      </a:ext>
                    </a:extLst>
                  </a:blip>
                  <a:srcRect r="67058"/>
                  <a:stretch>
                    <a:fillRect/>
                  </a:stretch>
                </pic:blipFill>
                <pic:spPr>
                  <a:xfrm>
                    <a:off x="0" y="0"/>
                    <a:ext cx="533400" cy="466725"/>
                  </a:xfrm>
                  <a:prstGeom prst="rect">
                    <a:avLst/>
                  </a:prstGeom>
                  <a:ln/>
                </pic:spPr>
              </pic:pic>
            </a:graphicData>
          </a:graphic>
        </wp:inline>
      </w:drawing>
    </w:r>
  </w:p>
  <w:p w14:paraId="3FF924A7" w14:textId="77777777" w:rsidR="008F25C6" w:rsidRDefault="008F2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753A6" w14:textId="4ADEA680" w:rsidR="008F25C6" w:rsidRDefault="006A143E" w:rsidP="1A1A1CC6">
    <w:pPr>
      <w:rPr>
        <w:color w:val="7030A0"/>
      </w:rPr>
    </w:pPr>
    <w:r>
      <w:rPr>
        <w:noProof/>
      </w:rPr>
      <w:drawing>
        <wp:anchor distT="114300" distB="114300" distL="114300" distR="114300" simplePos="0" relativeHeight="251658240" behindDoc="0" locked="0" layoutInCell="1" hidden="0" allowOverlap="1" wp14:anchorId="05AB22E6" wp14:editId="4E88CF11">
          <wp:simplePos x="0" y="0"/>
          <wp:positionH relativeFrom="page">
            <wp:posOffset>-1424</wp:posOffset>
          </wp:positionH>
          <wp:positionV relativeFrom="page">
            <wp:posOffset>-6985</wp:posOffset>
          </wp:positionV>
          <wp:extent cx="7938000" cy="46800"/>
          <wp:effectExtent l="0" t="0" r="0" b="0"/>
          <wp:wrapNone/>
          <wp:docPr id="1677195232" name="Picture 16771952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424279754" name="Picture 1424279754">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7938000" cy="46800"/>
                  </a:xfrm>
                  <a:prstGeom prst="rect">
                    <a:avLst/>
                  </a:prstGeom>
                  <a:ln/>
                </pic:spPr>
              </pic:pic>
            </a:graphicData>
          </a:graphic>
          <wp14:sizeRelH relativeFrom="margin">
            <wp14:pctWidth>0</wp14:pctWidth>
          </wp14:sizeRelH>
          <wp14:sizeRelV relativeFrom="margin">
            <wp14:pctHeight>0</wp14:pctHeight>
          </wp14:sizeRelV>
        </wp:anchor>
      </w:drawing>
    </w:r>
    <w:r w:rsidR="1A1A1CC6" w:rsidRPr="1A1A1CC6">
      <w:rPr>
        <w:color w:val="7030A0"/>
      </w:rPr>
      <w:t xml:space="preserve">             </w:t>
    </w:r>
  </w:p>
  <w:tbl>
    <w:tblPr>
      <w:tblStyle w:val="PlainTable4"/>
      <w:tblW w:w="0" w:type="auto"/>
      <w:tblLayout w:type="fixed"/>
      <w:tblLook w:val="06A0" w:firstRow="1" w:lastRow="0" w:firstColumn="1" w:lastColumn="0" w:noHBand="1" w:noVBand="1"/>
      <w:tblCaption w:val="Header"/>
      <w:tblDescription w:val="The logo consists of the text “Australian Women’s Health Alliance” in purple. The text is accompanied by a graphic of four figures. The logo is set against a white background. &#10;&#10;You can also read the details: &#10;PO Box 341, Leichhardt, NSW 2040&#10;www.australianwomenshealth.org&#10;Reg. No. A023 83 &#10;ABN 84 238 300 000"/>
    </w:tblPr>
    <w:tblGrid>
      <w:gridCol w:w="4538"/>
    </w:tblGrid>
    <w:tr w:rsidR="000377AE" w14:paraId="07F37C55" w14:textId="77777777" w:rsidTr="1A1A1CC6">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538" w:type="dxa"/>
        </w:tcPr>
        <w:p w14:paraId="7DFB0522" w14:textId="4A2B47CD" w:rsidR="000377AE" w:rsidRPr="001E6203" w:rsidRDefault="000377AE" w:rsidP="1A1A1CC6">
          <w:pPr>
            <w:rPr>
              <w:color w:val="7030A0"/>
            </w:rPr>
          </w:pPr>
          <w:r>
            <w:rPr>
              <w:noProof/>
            </w:rPr>
            <w:drawing>
              <wp:inline distT="0" distB="0" distL="0" distR="0" wp14:anchorId="408D8747" wp14:editId="698AE950">
                <wp:extent cx="2151426" cy="733425"/>
                <wp:effectExtent l="0" t="0" r="0" b="0"/>
                <wp:docPr id="1559178560" name="Picture 1559178560" descr="The Australian Women’s Health Alliance logo, which consists of a graphic of four different coloured geometric shapes, with the first and second shapes stacked on top of the third and fourth shapes. To the right of graphic is the text “Australian Women’s Health Alli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293377" name="Picture 833293377" descr="The Australian Women’s Health Alliance logo, which consists of a graphic of four different coloured geometric shapes, with the first and second shapes stacked on top of the third and fourth shapes. To the right of graphic is the text “Australian Women’s Health Alliance”. "/>
                        <pic:cNvPicPr/>
                      </pic:nvPicPr>
                      <pic:blipFill>
                        <a:blip r:embed="rId2">
                          <a:extLst>
                            <a:ext uri="{28A0092B-C50C-407E-A947-70E740481C1C}">
                              <a14:useLocalDpi xmlns:a14="http://schemas.microsoft.com/office/drawing/2010/main" val="0"/>
                            </a:ext>
                          </a:extLst>
                        </a:blip>
                        <a:srcRect r="54006"/>
                        <a:stretch>
                          <a:fillRect/>
                        </a:stretch>
                      </pic:blipFill>
                      <pic:spPr>
                        <a:xfrm>
                          <a:off x="0" y="0"/>
                          <a:ext cx="2151426" cy="733425"/>
                        </a:xfrm>
                        <a:prstGeom prst="rect">
                          <a:avLst/>
                        </a:prstGeom>
                      </pic:spPr>
                    </pic:pic>
                  </a:graphicData>
                </a:graphic>
              </wp:inline>
            </w:drawing>
          </w:r>
        </w:p>
      </w:tc>
    </w:tr>
  </w:tbl>
  <w:p w14:paraId="46DC9A8E" w14:textId="6B4155D8" w:rsidR="1A1A1CC6" w:rsidRDefault="1A1A1CC6" w:rsidP="1A1A1CC6">
    <w:pPr>
      <w:rPr>
        <w:color w:val="7030A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858"/>
    <w:multiLevelType w:val="multilevel"/>
    <w:tmpl w:val="5CAA5940"/>
    <w:lvl w:ilvl="0">
      <w:start w:val="1"/>
      <w:numFmt w:val="decimal"/>
      <w:lvlText w:val="%1."/>
      <w:lvlJc w:val="left"/>
      <w:pPr>
        <w:ind w:left="720" w:hanging="360"/>
      </w:pPr>
      <w:rPr>
        <w:rFonts w:ascii="Calibri" w:eastAsia="Calibri" w:hAnsi="Calibri" w:cs="Calibri"/>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6654F66"/>
    <w:multiLevelType w:val="hybridMultilevel"/>
    <w:tmpl w:val="7B3AC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2DC21ED"/>
    <w:multiLevelType w:val="multilevel"/>
    <w:tmpl w:val="928EB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C7E28C2"/>
    <w:multiLevelType w:val="hybridMultilevel"/>
    <w:tmpl w:val="C278E7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D6D2F7D"/>
    <w:multiLevelType w:val="hybridMultilevel"/>
    <w:tmpl w:val="1F7AE1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5558864">
    <w:abstractNumId w:val="4"/>
  </w:num>
  <w:num w:numId="2" w16cid:durableId="1545017221">
    <w:abstractNumId w:val="0"/>
  </w:num>
  <w:num w:numId="3" w16cid:durableId="742070925">
    <w:abstractNumId w:val="2"/>
  </w:num>
  <w:num w:numId="4" w16cid:durableId="193421365">
    <w:abstractNumId w:val="1"/>
  </w:num>
  <w:num w:numId="5" w16cid:durableId="5409011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EDE"/>
    <w:rsid w:val="0001712C"/>
    <w:rsid w:val="00023C95"/>
    <w:rsid w:val="000377AE"/>
    <w:rsid w:val="0004205C"/>
    <w:rsid w:val="00044DDE"/>
    <w:rsid w:val="00083FC9"/>
    <w:rsid w:val="000A0B51"/>
    <w:rsid w:val="000A0BB6"/>
    <w:rsid w:val="000B41B8"/>
    <w:rsid w:val="000B674C"/>
    <w:rsid w:val="000C782E"/>
    <w:rsid w:val="000D3B8B"/>
    <w:rsid w:val="000D4F71"/>
    <w:rsid w:val="000D541A"/>
    <w:rsid w:val="000E4EE5"/>
    <w:rsid w:val="000F59D1"/>
    <w:rsid w:val="00151495"/>
    <w:rsid w:val="00157B87"/>
    <w:rsid w:val="0017304F"/>
    <w:rsid w:val="0017625E"/>
    <w:rsid w:val="00196F40"/>
    <w:rsid w:val="001A0EDE"/>
    <w:rsid w:val="001A4C07"/>
    <w:rsid w:val="001B00E9"/>
    <w:rsid w:val="001C1707"/>
    <w:rsid w:val="001C3422"/>
    <w:rsid w:val="001C37B9"/>
    <w:rsid w:val="001D014F"/>
    <w:rsid w:val="001D715B"/>
    <w:rsid w:val="001E6203"/>
    <w:rsid w:val="002005E0"/>
    <w:rsid w:val="00216992"/>
    <w:rsid w:val="002311B5"/>
    <w:rsid w:val="00233FFA"/>
    <w:rsid w:val="0026220B"/>
    <w:rsid w:val="00267C55"/>
    <w:rsid w:val="002A0094"/>
    <w:rsid w:val="002A7500"/>
    <w:rsid w:val="002B5496"/>
    <w:rsid w:val="002B71D7"/>
    <w:rsid w:val="002C4A09"/>
    <w:rsid w:val="002E1DBB"/>
    <w:rsid w:val="002E29BD"/>
    <w:rsid w:val="00302CFE"/>
    <w:rsid w:val="00304CC4"/>
    <w:rsid w:val="00325D78"/>
    <w:rsid w:val="00333FE0"/>
    <w:rsid w:val="00340B32"/>
    <w:rsid w:val="0035691B"/>
    <w:rsid w:val="00362F82"/>
    <w:rsid w:val="0038377D"/>
    <w:rsid w:val="00390008"/>
    <w:rsid w:val="003A342D"/>
    <w:rsid w:val="003D014C"/>
    <w:rsid w:val="003D7D1E"/>
    <w:rsid w:val="003F5618"/>
    <w:rsid w:val="003F5B25"/>
    <w:rsid w:val="003F6E1E"/>
    <w:rsid w:val="00413166"/>
    <w:rsid w:val="00413CFD"/>
    <w:rsid w:val="004167FB"/>
    <w:rsid w:val="00437255"/>
    <w:rsid w:val="00447BE7"/>
    <w:rsid w:val="00454AA4"/>
    <w:rsid w:val="00461DAF"/>
    <w:rsid w:val="00486AED"/>
    <w:rsid w:val="004D2CA4"/>
    <w:rsid w:val="004D2CA5"/>
    <w:rsid w:val="004E5E66"/>
    <w:rsid w:val="00513DC9"/>
    <w:rsid w:val="005639D9"/>
    <w:rsid w:val="00580736"/>
    <w:rsid w:val="00597035"/>
    <w:rsid w:val="005C2193"/>
    <w:rsid w:val="005C2DDB"/>
    <w:rsid w:val="005F731C"/>
    <w:rsid w:val="00600D7F"/>
    <w:rsid w:val="006227EC"/>
    <w:rsid w:val="006528BD"/>
    <w:rsid w:val="00664D0C"/>
    <w:rsid w:val="0069672B"/>
    <w:rsid w:val="006A014B"/>
    <w:rsid w:val="006A143E"/>
    <w:rsid w:val="006C3C8D"/>
    <w:rsid w:val="006F63D1"/>
    <w:rsid w:val="00722A64"/>
    <w:rsid w:val="00790CE3"/>
    <w:rsid w:val="007925BA"/>
    <w:rsid w:val="007A3DA3"/>
    <w:rsid w:val="007B05C2"/>
    <w:rsid w:val="007C2BFF"/>
    <w:rsid w:val="007D01A9"/>
    <w:rsid w:val="007D0CB4"/>
    <w:rsid w:val="0081143A"/>
    <w:rsid w:val="0081251B"/>
    <w:rsid w:val="00832D7A"/>
    <w:rsid w:val="00847A98"/>
    <w:rsid w:val="008562F1"/>
    <w:rsid w:val="00877DC9"/>
    <w:rsid w:val="00893258"/>
    <w:rsid w:val="00894D00"/>
    <w:rsid w:val="008A79D0"/>
    <w:rsid w:val="008C3F97"/>
    <w:rsid w:val="008C51B9"/>
    <w:rsid w:val="008D7DF8"/>
    <w:rsid w:val="008E35FB"/>
    <w:rsid w:val="008F25C6"/>
    <w:rsid w:val="008F5A02"/>
    <w:rsid w:val="00935B5A"/>
    <w:rsid w:val="00952856"/>
    <w:rsid w:val="009600BE"/>
    <w:rsid w:val="00993286"/>
    <w:rsid w:val="009A0EE8"/>
    <w:rsid w:val="009D2032"/>
    <w:rsid w:val="009F2882"/>
    <w:rsid w:val="009F33B3"/>
    <w:rsid w:val="00A713F8"/>
    <w:rsid w:val="00A73BCF"/>
    <w:rsid w:val="00A8112B"/>
    <w:rsid w:val="00AA7E26"/>
    <w:rsid w:val="00AB6A6B"/>
    <w:rsid w:val="00AD60CF"/>
    <w:rsid w:val="00AD7F36"/>
    <w:rsid w:val="00AF1239"/>
    <w:rsid w:val="00AF7EDA"/>
    <w:rsid w:val="00B11F79"/>
    <w:rsid w:val="00B323DD"/>
    <w:rsid w:val="00B4488C"/>
    <w:rsid w:val="00B4644C"/>
    <w:rsid w:val="00B538CD"/>
    <w:rsid w:val="00B715FE"/>
    <w:rsid w:val="00BA3206"/>
    <w:rsid w:val="00BA7F9D"/>
    <w:rsid w:val="00BB0A41"/>
    <w:rsid w:val="00BD2334"/>
    <w:rsid w:val="00BF1E33"/>
    <w:rsid w:val="00BF6097"/>
    <w:rsid w:val="00BF72E2"/>
    <w:rsid w:val="00C049A2"/>
    <w:rsid w:val="00C078A2"/>
    <w:rsid w:val="00C16DAA"/>
    <w:rsid w:val="00C41C16"/>
    <w:rsid w:val="00C43EF5"/>
    <w:rsid w:val="00C440CB"/>
    <w:rsid w:val="00C4786D"/>
    <w:rsid w:val="00C524BF"/>
    <w:rsid w:val="00C608B6"/>
    <w:rsid w:val="00C61BBB"/>
    <w:rsid w:val="00C754AA"/>
    <w:rsid w:val="00C775A4"/>
    <w:rsid w:val="00C7775B"/>
    <w:rsid w:val="00CB56F5"/>
    <w:rsid w:val="00CB7C87"/>
    <w:rsid w:val="00CC24EB"/>
    <w:rsid w:val="00CC36EA"/>
    <w:rsid w:val="00CD4800"/>
    <w:rsid w:val="00CE18AB"/>
    <w:rsid w:val="00D132FF"/>
    <w:rsid w:val="00D16A68"/>
    <w:rsid w:val="00D214DF"/>
    <w:rsid w:val="00D30A07"/>
    <w:rsid w:val="00D33A58"/>
    <w:rsid w:val="00D3424F"/>
    <w:rsid w:val="00D400A5"/>
    <w:rsid w:val="00D53F15"/>
    <w:rsid w:val="00D725CF"/>
    <w:rsid w:val="00D806D8"/>
    <w:rsid w:val="00D92606"/>
    <w:rsid w:val="00D92FBF"/>
    <w:rsid w:val="00DA1DC8"/>
    <w:rsid w:val="00DC6207"/>
    <w:rsid w:val="00DD2C02"/>
    <w:rsid w:val="00E0589E"/>
    <w:rsid w:val="00E1527F"/>
    <w:rsid w:val="00E250C8"/>
    <w:rsid w:val="00E26747"/>
    <w:rsid w:val="00E3595C"/>
    <w:rsid w:val="00E43AC7"/>
    <w:rsid w:val="00E56AC8"/>
    <w:rsid w:val="00E8111A"/>
    <w:rsid w:val="00EB337F"/>
    <w:rsid w:val="00EC5B2E"/>
    <w:rsid w:val="00ED6047"/>
    <w:rsid w:val="00EE2352"/>
    <w:rsid w:val="00EF391A"/>
    <w:rsid w:val="00EF42CE"/>
    <w:rsid w:val="00EF586C"/>
    <w:rsid w:val="00EF6636"/>
    <w:rsid w:val="00F306C6"/>
    <w:rsid w:val="00F31BED"/>
    <w:rsid w:val="00F40754"/>
    <w:rsid w:val="00F425B6"/>
    <w:rsid w:val="00F648BF"/>
    <w:rsid w:val="00F70E5D"/>
    <w:rsid w:val="00F71EBB"/>
    <w:rsid w:val="00F7511D"/>
    <w:rsid w:val="00F805D9"/>
    <w:rsid w:val="00FC4C54"/>
    <w:rsid w:val="00FC78BB"/>
    <w:rsid w:val="00FD5C10"/>
    <w:rsid w:val="067A17F8"/>
    <w:rsid w:val="0C5ED419"/>
    <w:rsid w:val="1450BDA1"/>
    <w:rsid w:val="1A1A1CC6"/>
    <w:rsid w:val="1A54EF0C"/>
    <w:rsid w:val="1FDFAEFA"/>
    <w:rsid w:val="1FF031E2"/>
    <w:rsid w:val="3BAEDBCE"/>
    <w:rsid w:val="3EFF4C5A"/>
    <w:rsid w:val="409B1CBB"/>
    <w:rsid w:val="4F1B3A1F"/>
    <w:rsid w:val="54F1DB20"/>
    <w:rsid w:val="568B071C"/>
    <w:rsid w:val="6B37FEE7"/>
    <w:rsid w:val="6B50CEB1"/>
    <w:rsid w:val="6FE13D70"/>
    <w:rsid w:val="7154C474"/>
    <w:rsid w:val="7299E082"/>
    <w:rsid w:val="75D18144"/>
    <w:rsid w:val="7A2420FF"/>
    <w:rsid w:val="7B635997"/>
    <w:rsid w:val="7CFED165"/>
    <w:rsid w:val="7CFF29F8"/>
    <w:rsid w:val="7D2545AB"/>
    <w:rsid w:val="7EF4ED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EEF79"/>
  <w15:docId w15:val="{7F911C16-C84B-43B2-9479-A27ED232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7AE"/>
    <w:pPr>
      <w:keepNext/>
      <w:keepLines/>
      <w:outlineLvl w:val="0"/>
    </w:pPr>
    <w:rPr>
      <w:rFonts w:ascii="Rubik regular" w:eastAsia="Rubik" w:hAnsi="Rubik regular" w:cs="Rubik"/>
      <w:color w:val="5A006F"/>
      <w:sz w:val="36"/>
      <w:szCs w:val="36"/>
    </w:rPr>
  </w:style>
  <w:style w:type="paragraph" w:styleId="Heading2">
    <w:name w:val="heading 2"/>
    <w:basedOn w:val="Normal"/>
    <w:next w:val="Normal"/>
    <w:link w:val="Heading2Char"/>
    <w:uiPriority w:val="9"/>
    <w:unhideWhenUsed/>
    <w:qFormat/>
    <w:rsid w:val="000377AE"/>
    <w:pPr>
      <w:keepNext/>
      <w:keepLines/>
      <w:spacing w:after="320"/>
      <w:outlineLvl w:val="1"/>
    </w:pPr>
    <w:rPr>
      <w:rFonts w:ascii="Rubik regular" w:eastAsia="Rubik" w:hAnsi="Rubik regular" w:cs="Rubik"/>
      <w:color w:val="5A006F"/>
      <w:sz w:val="30"/>
      <w:szCs w:val="30"/>
    </w:rPr>
  </w:style>
  <w:style w:type="paragraph" w:styleId="Heading3">
    <w:name w:val="heading 3"/>
    <w:basedOn w:val="Normal"/>
    <w:next w:val="Normal"/>
    <w:uiPriority w:val="9"/>
    <w:unhideWhenUsed/>
    <w:qFormat/>
    <w:rsid w:val="00302CFE"/>
    <w:pPr>
      <w:keepNext/>
      <w:keepLines/>
      <w:outlineLvl w:val="2"/>
    </w:pPr>
    <w:rPr>
      <w:rFonts w:ascii="Rubik regular" w:hAnsi="Rubik regular"/>
      <w:color w:val="6F1A82"/>
      <w:sz w:val="24"/>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Rubik" w:eastAsia="Rubik" w:hAnsi="Rubik" w:cs="Rubik"/>
      <w:color w:val="5A006F"/>
      <w:sz w:val="24"/>
      <w:szCs w:val="24"/>
    </w:rPr>
  </w:style>
  <w:style w:type="paragraph" w:styleId="Subtitle">
    <w:name w:val="Subtitle"/>
    <w:basedOn w:val="Normal"/>
    <w:next w:val="Normal"/>
    <w:uiPriority w:val="11"/>
    <w:qFormat/>
    <w:pPr>
      <w:keepNext/>
      <w:keepLines/>
      <w:spacing w:after="320"/>
    </w:pPr>
    <w:rPr>
      <w:rFonts w:ascii="Rubik" w:eastAsia="Rubik" w:hAnsi="Rubik" w:cs="Rubik"/>
      <w:color w:val="5A006F"/>
      <w:sz w:val="30"/>
      <w:szCs w:val="30"/>
    </w:rPr>
  </w:style>
  <w:style w:type="paragraph" w:styleId="Header">
    <w:name w:val="header"/>
    <w:basedOn w:val="Normal"/>
    <w:link w:val="HeaderChar"/>
    <w:uiPriority w:val="99"/>
    <w:unhideWhenUsed/>
    <w:rsid w:val="006A143E"/>
    <w:pPr>
      <w:tabs>
        <w:tab w:val="center" w:pos="4513"/>
        <w:tab w:val="right" w:pos="9026"/>
      </w:tabs>
      <w:spacing w:line="240" w:lineRule="auto"/>
    </w:pPr>
  </w:style>
  <w:style w:type="character" w:customStyle="1" w:styleId="HeaderChar">
    <w:name w:val="Header Char"/>
    <w:basedOn w:val="DefaultParagraphFont"/>
    <w:link w:val="Header"/>
    <w:uiPriority w:val="99"/>
    <w:rsid w:val="006A143E"/>
  </w:style>
  <w:style w:type="paragraph" w:styleId="Footer">
    <w:name w:val="footer"/>
    <w:basedOn w:val="Normal"/>
    <w:link w:val="FooterChar"/>
    <w:uiPriority w:val="99"/>
    <w:unhideWhenUsed/>
    <w:rsid w:val="006A143E"/>
    <w:pPr>
      <w:tabs>
        <w:tab w:val="center" w:pos="4513"/>
        <w:tab w:val="right" w:pos="9026"/>
      </w:tabs>
      <w:spacing w:line="240" w:lineRule="auto"/>
    </w:pPr>
  </w:style>
  <w:style w:type="character" w:customStyle="1" w:styleId="FooterChar">
    <w:name w:val="Footer Char"/>
    <w:basedOn w:val="DefaultParagraphFont"/>
    <w:link w:val="Footer"/>
    <w:uiPriority w:val="99"/>
    <w:rsid w:val="006A143E"/>
  </w:style>
  <w:style w:type="character" w:styleId="Hyperlink">
    <w:name w:val="Hyperlink"/>
    <w:basedOn w:val="DefaultParagraphFont"/>
    <w:uiPriority w:val="99"/>
    <w:unhideWhenUsed/>
    <w:rsid w:val="002B5496"/>
    <w:rPr>
      <w:color w:val="0000FF" w:themeColor="hyperlink"/>
      <w:u w:val="single"/>
    </w:rPr>
  </w:style>
  <w:style w:type="character" w:styleId="UnresolvedMention">
    <w:name w:val="Unresolved Mention"/>
    <w:basedOn w:val="DefaultParagraphFont"/>
    <w:uiPriority w:val="99"/>
    <w:semiHidden/>
    <w:unhideWhenUsed/>
    <w:rsid w:val="002B5496"/>
    <w:rPr>
      <w:color w:val="605E5C"/>
      <w:shd w:val="clear" w:color="auto" w:fill="E1DFDD"/>
    </w:rPr>
  </w:style>
  <w:style w:type="paragraph" w:styleId="ListParagraph">
    <w:name w:val="List Paragraph"/>
    <w:basedOn w:val="Normal"/>
    <w:uiPriority w:val="34"/>
    <w:qFormat/>
    <w:rsid w:val="002B5496"/>
    <w:pPr>
      <w:ind w:left="720"/>
      <w:contextualSpacing/>
    </w:pPr>
  </w:style>
  <w:style w:type="paragraph" w:styleId="EndnoteText">
    <w:name w:val="endnote text"/>
    <w:basedOn w:val="Normal"/>
    <w:link w:val="EndnoteTextChar"/>
    <w:uiPriority w:val="99"/>
    <w:unhideWhenUsed/>
    <w:rsid w:val="001A0EDE"/>
    <w:pPr>
      <w:spacing w:line="240" w:lineRule="auto"/>
    </w:pPr>
    <w:rPr>
      <w:rFonts w:asciiTheme="minorHAnsi" w:eastAsia="Times New Roman" w:hAnsiTheme="minorHAnsi" w:cs="Times New Roman"/>
      <w:lang w:val="en-AU" w:eastAsia="en-US"/>
    </w:rPr>
  </w:style>
  <w:style w:type="character" w:customStyle="1" w:styleId="EndnoteTextChar">
    <w:name w:val="Endnote Text Char"/>
    <w:basedOn w:val="DefaultParagraphFont"/>
    <w:link w:val="EndnoteText"/>
    <w:uiPriority w:val="99"/>
    <w:rsid w:val="001A0EDE"/>
    <w:rPr>
      <w:rFonts w:asciiTheme="minorHAnsi" w:eastAsia="Times New Roman" w:hAnsiTheme="minorHAnsi" w:cs="Times New Roman"/>
      <w:lang w:val="en-AU" w:eastAsia="en-US"/>
    </w:rPr>
  </w:style>
  <w:style w:type="character" w:styleId="EndnoteReference">
    <w:name w:val="endnote reference"/>
    <w:basedOn w:val="DefaultParagraphFont"/>
    <w:uiPriority w:val="99"/>
    <w:semiHidden/>
    <w:unhideWhenUsed/>
    <w:rsid w:val="001A0EDE"/>
    <w:rPr>
      <w:vertAlign w:val="superscript"/>
    </w:rPr>
  </w:style>
  <w:style w:type="character" w:customStyle="1" w:styleId="Heading2Char">
    <w:name w:val="Heading 2 Char"/>
    <w:basedOn w:val="DefaultParagraphFont"/>
    <w:link w:val="Heading2"/>
    <w:uiPriority w:val="9"/>
    <w:rsid w:val="000377AE"/>
    <w:rPr>
      <w:rFonts w:ascii="Rubik regular" w:eastAsia="Rubik" w:hAnsi="Rubik regular" w:cs="Rubik"/>
      <w:color w:val="5A006F"/>
      <w:sz w:val="30"/>
      <w:szCs w:val="30"/>
    </w:rPr>
  </w:style>
  <w:style w:type="character" w:styleId="FollowedHyperlink">
    <w:name w:val="FollowedHyperlink"/>
    <w:basedOn w:val="DefaultParagraphFont"/>
    <w:uiPriority w:val="99"/>
    <w:semiHidden/>
    <w:unhideWhenUsed/>
    <w:rsid w:val="00D3424F"/>
    <w:rPr>
      <w:color w:val="800080" w:themeColor="followedHyperlink"/>
      <w:u w:val="single"/>
    </w:rPr>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tyle1">
    <w:name w:val="Style1"/>
    <w:basedOn w:val="Heading1"/>
    <w:link w:val="Style1Char"/>
    <w:rsid w:val="000377AE"/>
  </w:style>
  <w:style w:type="character" w:customStyle="1" w:styleId="Heading1Char">
    <w:name w:val="Heading 1 Char"/>
    <w:basedOn w:val="DefaultParagraphFont"/>
    <w:link w:val="Heading1"/>
    <w:uiPriority w:val="9"/>
    <w:rsid w:val="000377AE"/>
    <w:rPr>
      <w:rFonts w:ascii="Rubik regular" w:eastAsia="Rubik" w:hAnsi="Rubik regular" w:cs="Rubik"/>
      <w:color w:val="5A006F"/>
      <w:sz w:val="36"/>
      <w:szCs w:val="36"/>
    </w:rPr>
  </w:style>
  <w:style w:type="character" w:customStyle="1" w:styleId="Style1Char">
    <w:name w:val="Style1 Char"/>
    <w:basedOn w:val="Heading1Char"/>
    <w:link w:val="Style1"/>
    <w:rsid w:val="000377AE"/>
    <w:rPr>
      <w:rFonts w:ascii="Rubik regular" w:eastAsia="Rubik" w:hAnsi="Rubik regular" w:cs="Rubik"/>
      <w:color w:val="5A006F"/>
      <w:sz w:val="36"/>
      <w:szCs w:val="36"/>
    </w:rPr>
  </w:style>
  <w:style w:type="character" w:styleId="CommentReference">
    <w:name w:val="annotation reference"/>
    <w:basedOn w:val="DefaultParagraphFont"/>
    <w:uiPriority w:val="99"/>
    <w:semiHidden/>
    <w:unhideWhenUsed/>
    <w:rsid w:val="00A73BCF"/>
    <w:rPr>
      <w:sz w:val="16"/>
      <w:szCs w:val="16"/>
    </w:rPr>
  </w:style>
  <w:style w:type="paragraph" w:styleId="CommentText">
    <w:name w:val="annotation text"/>
    <w:basedOn w:val="Normal"/>
    <w:link w:val="CommentTextChar"/>
    <w:uiPriority w:val="99"/>
    <w:unhideWhenUsed/>
    <w:rsid w:val="00A73BCF"/>
    <w:pPr>
      <w:spacing w:line="240" w:lineRule="auto"/>
    </w:pPr>
  </w:style>
  <w:style w:type="character" w:customStyle="1" w:styleId="CommentTextChar">
    <w:name w:val="Comment Text Char"/>
    <w:basedOn w:val="DefaultParagraphFont"/>
    <w:link w:val="CommentText"/>
    <w:uiPriority w:val="99"/>
    <w:rsid w:val="00A73BCF"/>
  </w:style>
  <w:style w:type="paragraph" w:styleId="FootnoteText">
    <w:name w:val="footnote text"/>
    <w:basedOn w:val="Normal"/>
    <w:link w:val="FootnoteTextChar"/>
    <w:uiPriority w:val="99"/>
    <w:semiHidden/>
    <w:unhideWhenUsed/>
    <w:rsid w:val="0069672B"/>
    <w:pPr>
      <w:spacing w:line="240" w:lineRule="auto"/>
    </w:pPr>
  </w:style>
  <w:style w:type="character" w:customStyle="1" w:styleId="FootnoteTextChar">
    <w:name w:val="Footnote Text Char"/>
    <w:basedOn w:val="DefaultParagraphFont"/>
    <w:link w:val="FootnoteText"/>
    <w:uiPriority w:val="99"/>
    <w:semiHidden/>
    <w:rsid w:val="0069672B"/>
  </w:style>
  <w:style w:type="character" w:styleId="FootnoteReference">
    <w:name w:val="footnote reference"/>
    <w:basedOn w:val="DefaultParagraphFont"/>
    <w:uiPriority w:val="99"/>
    <w:semiHidden/>
    <w:unhideWhenUsed/>
    <w:rsid w:val="0069672B"/>
    <w:rPr>
      <w:vertAlign w:val="superscript"/>
    </w:rPr>
  </w:style>
  <w:style w:type="paragraph" w:styleId="Revision">
    <w:name w:val="Revision"/>
    <w:hidden/>
    <w:uiPriority w:val="99"/>
    <w:semiHidden/>
    <w:rsid w:val="0069672B"/>
    <w:pPr>
      <w:spacing w:line="240" w:lineRule="auto"/>
    </w:pPr>
  </w:style>
  <w:style w:type="paragraph" w:styleId="CommentSubject">
    <w:name w:val="annotation subject"/>
    <w:basedOn w:val="CommentText"/>
    <w:next w:val="CommentText"/>
    <w:link w:val="CommentSubjectChar"/>
    <w:uiPriority w:val="99"/>
    <w:semiHidden/>
    <w:unhideWhenUsed/>
    <w:rsid w:val="001C1707"/>
    <w:rPr>
      <w:b/>
      <w:bCs/>
    </w:rPr>
  </w:style>
  <w:style w:type="character" w:customStyle="1" w:styleId="CommentSubjectChar">
    <w:name w:val="Comment Subject Char"/>
    <w:basedOn w:val="CommentTextChar"/>
    <w:link w:val="CommentSubject"/>
    <w:uiPriority w:val="99"/>
    <w:semiHidden/>
    <w:rsid w:val="001C1707"/>
    <w:rPr>
      <w:b/>
      <w:bCs/>
    </w:rPr>
  </w:style>
  <w:style w:type="paragraph" w:customStyle="1" w:styleId="paragraph">
    <w:name w:val="paragraph"/>
    <w:basedOn w:val="Normal"/>
    <w:rsid w:val="00B4488C"/>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normaltextrun">
    <w:name w:val="normaltextrun"/>
    <w:basedOn w:val="DefaultParagraphFont"/>
    <w:rsid w:val="00B4488C"/>
  </w:style>
  <w:style w:type="character" w:customStyle="1" w:styleId="eop">
    <w:name w:val="eop"/>
    <w:basedOn w:val="DefaultParagraphFont"/>
    <w:rsid w:val="00B44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935849">
      <w:bodyDiv w:val="1"/>
      <w:marLeft w:val="0"/>
      <w:marRight w:val="0"/>
      <w:marTop w:val="0"/>
      <w:marBottom w:val="0"/>
      <w:divBdr>
        <w:top w:val="none" w:sz="0" w:space="0" w:color="auto"/>
        <w:left w:val="none" w:sz="0" w:space="0" w:color="auto"/>
        <w:bottom w:val="none" w:sz="0" w:space="0" w:color="auto"/>
        <w:right w:val="none" w:sz="0" w:space="0" w:color="auto"/>
      </w:divBdr>
      <w:divsChild>
        <w:div w:id="493449248">
          <w:marLeft w:val="0"/>
          <w:marRight w:val="0"/>
          <w:marTop w:val="0"/>
          <w:marBottom w:val="0"/>
          <w:divBdr>
            <w:top w:val="none" w:sz="0" w:space="0" w:color="auto"/>
            <w:left w:val="none" w:sz="0" w:space="0" w:color="auto"/>
            <w:bottom w:val="none" w:sz="0" w:space="0" w:color="auto"/>
            <w:right w:val="none" w:sz="0" w:space="0" w:color="auto"/>
          </w:divBdr>
        </w:div>
        <w:div w:id="877816867">
          <w:marLeft w:val="0"/>
          <w:marRight w:val="0"/>
          <w:marTop w:val="0"/>
          <w:marBottom w:val="0"/>
          <w:divBdr>
            <w:top w:val="none" w:sz="0" w:space="0" w:color="auto"/>
            <w:left w:val="none" w:sz="0" w:space="0" w:color="auto"/>
            <w:bottom w:val="none" w:sz="0" w:space="0" w:color="auto"/>
            <w:right w:val="none" w:sz="0" w:space="0" w:color="auto"/>
          </w:divBdr>
        </w:div>
        <w:div w:id="962272394">
          <w:marLeft w:val="0"/>
          <w:marRight w:val="0"/>
          <w:marTop w:val="0"/>
          <w:marBottom w:val="0"/>
          <w:divBdr>
            <w:top w:val="none" w:sz="0" w:space="0" w:color="auto"/>
            <w:left w:val="none" w:sz="0" w:space="0" w:color="auto"/>
            <w:bottom w:val="none" w:sz="0" w:space="0" w:color="auto"/>
            <w:right w:val="none" w:sz="0" w:space="0" w:color="auto"/>
          </w:divBdr>
        </w:div>
        <w:div w:id="1698384199">
          <w:marLeft w:val="0"/>
          <w:marRight w:val="0"/>
          <w:marTop w:val="0"/>
          <w:marBottom w:val="0"/>
          <w:divBdr>
            <w:top w:val="none" w:sz="0" w:space="0" w:color="auto"/>
            <w:left w:val="none" w:sz="0" w:space="0" w:color="auto"/>
            <w:bottom w:val="none" w:sz="0" w:space="0" w:color="auto"/>
            <w:right w:val="none" w:sz="0" w:space="0" w:color="auto"/>
          </w:divBdr>
        </w:div>
        <w:div w:id="17544687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ustralianWomensHealth.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Info@AustralianWomensHealth.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da.org.au/wp-content/uploads/2023/07/DRC-Submission-Guardianship-F.pdf" TargetMode="External"/><Relationship Id="rId3" Type="http://schemas.openxmlformats.org/officeDocument/2006/relationships/hyperlink" Target="https://www.health.gov.au/sites/default/files/documents/2021/05/national-women-s-health-strategy-2020-2030_0.pdf" TargetMode="External"/><Relationship Id="rId7" Type="http://schemas.openxmlformats.org/officeDocument/2006/relationships/hyperlink" Target="https://onlinelibrary.wiley.com/doi/full/10.1111/jan.15565" TargetMode="External"/><Relationship Id="rId2" Type="http://schemas.openxmlformats.org/officeDocument/2006/relationships/hyperlink" Target="https://www.sciencedirect.com/science/article/pii/S2589790X23003815" TargetMode="External"/><Relationship Id="rId1" Type="http://schemas.openxmlformats.org/officeDocument/2006/relationships/hyperlink" Target="https://www.health.gov.au/sites/default/files/documents/2021/05/national-women-s-health-strategy-2020-2030_0.pdf" TargetMode="External"/><Relationship Id="rId6" Type="http://schemas.openxmlformats.org/officeDocument/2006/relationships/hyperlink" Target="https://www.ncbi.nlm.nih.gov/pmc/articles/PMC10002172/" TargetMode="External"/><Relationship Id="rId11" Type="http://schemas.openxmlformats.org/officeDocument/2006/relationships/hyperlink" Target="https://www.ncbi.nlm.nih.gov/pmc/articles/PMC10002172/" TargetMode="External"/><Relationship Id="rId5" Type="http://schemas.openxmlformats.org/officeDocument/2006/relationships/hyperlink" Target="https://www.ncbi.nlm.nih.gov/pmc/articles/PMC10002172/" TargetMode="External"/><Relationship Id="rId10" Type="http://schemas.openxmlformats.org/officeDocument/2006/relationships/hyperlink" Target="https://www.health.gov.au/sites/default/files/documents/2021/05/national-women-s-health-strategy-2020-2030_0.pdf" TargetMode="External"/><Relationship Id="rId4" Type="http://schemas.openxmlformats.org/officeDocument/2006/relationships/hyperlink" Target="https://www.ncbi.nlm.nih.gov/pmc/articles/PMC10002172/" TargetMode="External"/><Relationship Id="rId9" Type="http://schemas.openxmlformats.org/officeDocument/2006/relationships/hyperlink" Target="https://www.health.gov.au/our-work/national-roadmap-to-improve-the-health-and-mental-health-of-autistic-peopl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ennaAguilar\Downloads\Policy%20brief_Document%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53f973e-18e3-4683-9db9-a8b30f12ddca">
      <Terms xmlns="http://schemas.microsoft.com/office/infopath/2007/PartnerControls"/>
    </lcf76f155ced4ddcb4097134ff3c332f>
    <TaxCatchAll xmlns="5b707c4a-f0af-4a30-ae8a-e74992196a0f" xsi:nil="true"/>
    <SharedWithUsers xmlns="5b707c4a-f0af-4a30-ae8a-e74992196a0f">
      <UserInfo>
        <DisplayName>Chair</DisplayName>
        <AccountId>10</AccountId>
        <AccountType/>
      </UserInfo>
      <UserInfo>
        <DisplayName>Sienna Aguilar</DisplayName>
        <AccountId>48</AccountId>
        <AccountType/>
      </UserInfo>
      <UserInfo>
        <DisplayName>Secretary</DisplayName>
        <AccountId>70</AccountId>
        <AccountType/>
      </UserInfo>
      <UserInfo>
        <DisplayName>Treasurer</DisplayName>
        <AccountId>47</AccountId>
        <AccountType/>
      </UserInfo>
      <UserInfo>
        <DisplayName>South Australia</DisplayName>
        <AccountId>302</AccountId>
        <AccountType/>
      </UserInfo>
      <UserInfo>
        <DisplayName>Tasmania</DisplayName>
        <AccountId>163</AccountId>
        <AccountType/>
      </UserInfo>
      <UserInfo>
        <DisplayName>Queensland</DisplayName>
        <AccountId>109</AccountId>
        <AccountType/>
      </UserInfo>
      <UserInfo>
        <DisplayName>SA</DisplayName>
        <AccountId>73</AccountId>
        <AccountType/>
      </UserInfo>
      <UserInfo>
        <DisplayName>TAS</DisplayName>
        <AccountId>85</AccountId>
        <AccountType/>
      </UserInfo>
      <UserInfo>
        <DisplayName>NSW</DisplayName>
        <AccountId>312</AccountId>
        <AccountType/>
      </UserInfo>
      <UserInfo>
        <DisplayName>QLD</DisplayName>
        <AccountId>78</AccountId>
        <AccountType/>
      </UserInfo>
      <UserInfo>
        <DisplayName>NT</DisplayName>
        <AccountId>301</AccountId>
        <AccountType/>
      </UserInfo>
      <UserInfo>
        <DisplayName>WA</DisplayName>
        <AccountId>98</AccountId>
        <AccountType/>
      </UserInfo>
      <UserInfo>
        <DisplayName>ACT</DisplayName>
        <AccountId>52</AccountId>
        <AccountType/>
      </UserInfo>
    </SharedWithUsers>
    <MediaLengthInSeconds xmlns="153f973e-18e3-4683-9db9-a8b30f12ddc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319B620C901544A72D510C44F6C46A" ma:contentTypeVersion="14" ma:contentTypeDescription="Create a new document." ma:contentTypeScope="" ma:versionID="8ae806bd3aa973fc1a2dd7def0187981">
  <xsd:schema xmlns:xsd="http://www.w3.org/2001/XMLSchema" xmlns:xs="http://www.w3.org/2001/XMLSchema" xmlns:p="http://schemas.microsoft.com/office/2006/metadata/properties" xmlns:ns2="153f973e-18e3-4683-9db9-a8b30f12ddca" xmlns:ns3="5b707c4a-f0af-4a30-ae8a-e74992196a0f" targetNamespace="http://schemas.microsoft.com/office/2006/metadata/properties" ma:root="true" ma:fieldsID="09155f61caf7c2a0474ef280c069331f" ns2:_="" ns3:_="">
    <xsd:import namespace="153f973e-18e3-4683-9db9-a8b30f12ddca"/>
    <xsd:import namespace="5b707c4a-f0af-4a30-ae8a-e74992196a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3f973e-18e3-4683-9db9-a8b30f12d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7082179-ca94-4778-9afe-36ab1981ad1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707c4a-f0af-4a30-ae8a-e74992196a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83ea0fec-a4e5-4c0e-bb5d-a316e2eafeb6}" ma:internalName="TaxCatchAll" ma:showField="CatchAllData" ma:web="5b707c4a-f0af-4a30-ae8a-e74992196a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A6787-EE38-4415-91C1-925AF946DD56}">
  <ds:schemaRefs>
    <ds:schemaRef ds:uri="http://schemas.microsoft.com/office/2006/metadata/properties"/>
    <ds:schemaRef ds:uri="http://schemas.microsoft.com/office/infopath/2007/PartnerControls"/>
    <ds:schemaRef ds:uri="153f973e-18e3-4683-9db9-a8b30f12ddca"/>
    <ds:schemaRef ds:uri="5b707c4a-f0af-4a30-ae8a-e74992196a0f"/>
  </ds:schemaRefs>
</ds:datastoreItem>
</file>

<file path=customXml/itemProps2.xml><?xml version="1.0" encoding="utf-8"?>
<ds:datastoreItem xmlns:ds="http://schemas.openxmlformats.org/officeDocument/2006/customXml" ds:itemID="{CDA187AD-0EDB-4B4C-AC27-3835DA922188}">
  <ds:schemaRefs>
    <ds:schemaRef ds:uri="http://schemas.microsoft.com/sharepoint/v3/contenttype/forms"/>
  </ds:schemaRefs>
</ds:datastoreItem>
</file>

<file path=customXml/itemProps3.xml><?xml version="1.0" encoding="utf-8"?>
<ds:datastoreItem xmlns:ds="http://schemas.openxmlformats.org/officeDocument/2006/customXml" ds:itemID="{10C4646A-4C72-45F6-9348-03F53FD99921}">
  <ds:schemaRefs>
    <ds:schemaRef ds:uri="http://schemas.openxmlformats.org/officeDocument/2006/bibliography"/>
  </ds:schemaRefs>
</ds:datastoreItem>
</file>

<file path=customXml/itemProps4.xml><?xml version="1.0" encoding="utf-8"?>
<ds:datastoreItem xmlns:ds="http://schemas.openxmlformats.org/officeDocument/2006/customXml" ds:itemID="{A31B677F-400C-45B9-A67D-ED6DF51D4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3f973e-18e3-4683-9db9-a8b30f12ddca"/>
    <ds:schemaRef ds:uri="5b707c4a-f0af-4a30-ae8a-e74992196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2b3e37e-8171-485d-b10b-38dae7ed14a8}" enabled="0" method="" siteId="{82b3e37e-8171-485d-b10b-38dae7ed14a8}" removed="1"/>
</clbl:labelList>
</file>

<file path=docProps/app.xml><?xml version="1.0" encoding="utf-8"?>
<Properties xmlns="http://schemas.openxmlformats.org/officeDocument/2006/extended-properties" xmlns:vt="http://schemas.openxmlformats.org/officeDocument/2006/docPropsVTypes">
  <Template>Policy brief_Document Style Template</Template>
  <TotalTime>19</TotalTime>
  <Pages>3</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Australian Womens Health Alliance</dc:creator>
  <cp:keywords/>
  <cp:lastModifiedBy>Bonnie Laxton-Blinkhorn</cp:lastModifiedBy>
  <cp:revision>9</cp:revision>
  <dcterms:created xsi:type="dcterms:W3CDTF">2024-02-28T00:56:00Z</dcterms:created>
  <dcterms:modified xsi:type="dcterms:W3CDTF">2024-03-06T04:42:00Z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0x010100F5319B620C901544A72D510C44F6C46A</vt:lpwstr>
  </property>
  <property fmtid="{D5CDD505-2E9C-101B-9397-08002B2CF9AE}" pid="3" name="MediaServiceImageTags">
    <vt:lpwstr/>
  </property>
  <property fmtid="{D5CDD505-2E9C-101B-9397-08002B2CF9AE}" pid="4" name="Order">
    <vt:r8>164800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