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AAF7" w14:textId="453485DE" w:rsidR="007B4B18" w:rsidRDefault="007B4B18" w:rsidP="00546E8E">
      <w:pPr>
        <w:spacing w:before="1000" w:after="120" w:line="240" w:lineRule="auto"/>
        <w:contextualSpacing/>
        <w:rPr>
          <w:rFonts w:ascii="Arial" w:eastAsia="Times New Roman" w:hAnsi="Arial" w:cs="Times New Roman"/>
          <w:b/>
          <w:color w:val="4D2863"/>
          <w:kern w:val="28"/>
          <w:sz w:val="48"/>
          <w:szCs w:val="52"/>
          <w:lang w:eastAsia="en-US"/>
        </w:rPr>
      </w:pPr>
    </w:p>
    <w:p w14:paraId="696BF568" w14:textId="5A5E08E5" w:rsidR="00546E8E" w:rsidRPr="007B4B18" w:rsidRDefault="00546E8E" w:rsidP="007B4B18">
      <w:pPr>
        <w:spacing w:before="1000" w:after="120" w:line="240" w:lineRule="auto"/>
        <w:contextualSpacing/>
        <w:rPr>
          <w:rFonts w:ascii="Arial" w:eastAsia="Times New Roman" w:hAnsi="Arial" w:cs="Arial"/>
          <w:b/>
          <w:color w:val="4D2863"/>
          <w:kern w:val="28"/>
          <w:sz w:val="52"/>
          <w:szCs w:val="52"/>
          <w:lang w:eastAsia="en-US"/>
        </w:rPr>
      </w:pPr>
      <w:r w:rsidRPr="007B4B18">
        <w:rPr>
          <w:rFonts w:ascii="Arial" w:eastAsia="Times New Roman" w:hAnsi="Arial" w:cs="Arial"/>
          <w:b/>
          <w:color w:val="4D2863"/>
          <w:kern w:val="28"/>
          <w:sz w:val="52"/>
          <w:szCs w:val="52"/>
          <w:lang w:eastAsia="en-US"/>
        </w:rPr>
        <w:t>Literature review to inform strategies to address sex and gender bias in the health system</w:t>
      </w:r>
    </w:p>
    <w:p w14:paraId="53A6F409" w14:textId="5B3C6492" w:rsidR="007B4B18" w:rsidRPr="005A1455" w:rsidRDefault="00546E8E" w:rsidP="005A1455">
      <w:pPr>
        <w:widowControl w:val="0"/>
        <w:autoSpaceDE w:val="0"/>
        <w:autoSpaceDN w:val="0"/>
        <w:spacing w:before="240" w:after="0" w:line="252" w:lineRule="auto"/>
        <w:ind w:right="1089"/>
        <w:rPr>
          <w:rFonts w:ascii="Arial Nova Light" w:eastAsia="Carlito" w:hAnsi="Arial Nova Light" w:cs="Arial"/>
          <w:spacing w:val="40"/>
          <w:sz w:val="50"/>
          <w:szCs w:val="50"/>
          <w:lang w:eastAsia="en-US"/>
        </w:rPr>
        <w:sectPr w:rsidR="007B4B18" w:rsidRPr="005A1455" w:rsidSect="00E23ABF">
          <w:headerReference w:type="default" r:id="rId8"/>
          <w:pgSz w:w="11906" w:h="16838"/>
          <w:pgMar w:top="1440" w:right="1440" w:bottom="1440" w:left="1440" w:header="708" w:footer="708" w:gutter="0"/>
          <w:cols w:space="708"/>
          <w:docGrid w:linePitch="360"/>
        </w:sectPr>
      </w:pPr>
      <w:r w:rsidRPr="007B4B18">
        <w:rPr>
          <w:rFonts w:ascii="Arial Nova Light" w:eastAsia="Carlito" w:hAnsi="Arial Nova Light" w:cs="Arial"/>
          <w:sz w:val="50"/>
          <w:szCs w:val="50"/>
          <w:lang w:eastAsia="en-US"/>
        </w:rPr>
        <w:t>202</w:t>
      </w:r>
      <w:r w:rsidR="005A1455">
        <w:rPr>
          <w:rFonts w:ascii="Arial Nova Light" w:eastAsia="Carlito" w:hAnsi="Arial Nova Light" w:cs="Arial"/>
          <w:sz w:val="50"/>
          <w:szCs w:val="50"/>
          <w:lang w:eastAsia="en-US"/>
        </w:rPr>
        <w:t>4</w:t>
      </w:r>
    </w:p>
    <w:p w14:paraId="3AB9505E" w14:textId="3C109B38" w:rsidR="00B73C2C" w:rsidRPr="005A1455" w:rsidRDefault="005A1455" w:rsidP="005A1455">
      <w:pPr>
        <w:widowControl w:val="0"/>
        <w:autoSpaceDE w:val="0"/>
        <w:autoSpaceDN w:val="0"/>
        <w:spacing w:line="279" w:lineRule="exact"/>
        <w:rPr>
          <w:rFonts w:eastAsia="Arial" w:cstheme="minorHAnsi"/>
          <w:b/>
          <w:bCs/>
          <w:color w:val="4C2863"/>
          <w:sz w:val="24"/>
          <w:lang w:eastAsia="en-US"/>
        </w:rPr>
      </w:pPr>
      <w:r w:rsidRPr="005A1455">
        <w:rPr>
          <w:rFonts w:eastAsia="Arial" w:cstheme="minorHAnsi"/>
          <w:b/>
          <w:bCs/>
          <w:color w:val="4C2863"/>
          <w:sz w:val="24"/>
          <w:lang w:eastAsia="en-US"/>
        </w:rPr>
        <w:lastRenderedPageBreak/>
        <w:t>T</w:t>
      </w:r>
      <w:r w:rsidR="00B73C2C" w:rsidRPr="005A1455">
        <w:rPr>
          <w:rFonts w:eastAsia="Arial" w:cstheme="minorHAnsi"/>
          <w:b/>
          <w:bCs/>
          <w:color w:val="4C2863"/>
          <w:sz w:val="24"/>
          <w:lang w:eastAsia="en-US"/>
        </w:rPr>
        <w:t>his report was prepared by</w:t>
      </w:r>
    </w:p>
    <w:p w14:paraId="6E1F34B4" w14:textId="314C5981" w:rsidR="00613725" w:rsidRPr="005A1455" w:rsidRDefault="00613725"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 xml:space="preserve">Dr </w:t>
      </w:r>
      <w:r w:rsidR="00D65123" w:rsidRPr="005A1455">
        <w:rPr>
          <w:rFonts w:eastAsia="Arial" w:cstheme="minorHAnsi"/>
          <w:lang w:eastAsia="en-US"/>
        </w:rPr>
        <w:t>Maggie Kirkman</w:t>
      </w:r>
      <w:r w:rsidR="00EA0CC8" w:rsidRPr="005A1455">
        <w:rPr>
          <w:rFonts w:eastAsia="Arial" w:cstheme="minorHAnsi"/>
          <w:lang w:eastAsia="en-US"/>
        </w:rPr>
        <w:t xml:space="preserve"> PhD BA(Hons) MAPS</w:t>
      </w:r>
      <w:r w:rsidR="0041721D" w:rsidRPr="005A1455">
        <w:rPr>
          <w:rFonts w:eastAsia="Arial" w:cstheme="minorHAnsi"/>
          <w:lang w:eastAsia="en-US"/>
        </w:rPr>
        <w:t>, Lead and senior researcher</w:t>
      </w:r>
      <w:r w:rsidR="00A609B1" w:rsidRPr="005A1455">
        <w:rPr>
          <w:rFonts w:eastAsia="Arial" w:cstheme="minorHAnsi"/>
          <w:lang w:eastAsia="en-US"/>
        </w:rPr>
        <w:t>, Monash University</w:t>
      </w:r>
    </w:p>
    <w:p w14:paraId="113C9D88" w14:textId="598698AB" w:rsidR="0041721D" w:rsidRPr="005A1455" w:rsidRDefault="0041721D"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Dr Tomoko Honda</w:t>
      </w:r>
      <w:r w:rsidR="00EA0CC8" w:rsidRPr="005A1455">
        <w:rPr>
          <w:rFonts w:eastAsia="Arial" w:cstheme="minorHAnsi"/>
          <w:lang w:eastAsia="en-US"/>
        </w:rPr>
        <w:t xml:space="preserve"> PhD MWH MPhil BA</w:t>
      </w:r>
      <w:r w:rsidRPr="005A1455">
        <w:rPr>
          <w:rFonts w:eastAsia="Arial" w:cstheme="minorHAnsi"/>
          <w:lang w:eastAsia="en-US"/>
        </w:rPr>
        <w:t>, Researcher</w:t>
      </w:r>
      <w:r w:rsidR="00A609B1" w:rsidRPr="005A1455">
        <w:rPr>
          <w:rFonts w:eastAsia="Arial" w:cstheme="minorHAnsi"/>
          <w:lang w:eastAsia="en-US"/>
        </w:rPr>
        <w:t>, Monash University</w:t>
      </w:r>
    </w:p>
    <w:p w14:paraId="741CA494" w14:textId="2C5F9801" w:rsidR="00613725" w:rsidRPr="005A1455" w:rsidRDefault="00613725"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Professor</w:t>
      </w:r>
      <w:r w:rsidR="00D65123" w:rsidRPr="005A1455">
        <w:rPr>
          <w:rFonts w:eastAsia="Arial" w:cstheme="minorHAnsi"/>
          <w:lang w:eastAsia="en-US"/>
        </w:rPr>
        <w:t xml:space="preserve"> Jane Fisher</w:t>
      </w:r>
      <w:r w:rsidR="00707C14" w:rsidRPr="005A1455">
        <w:rPr>
          <w:rFonts w:eastAsia="Arial" w:cstheme="minorHAnsi"/>
          <w:lang w:eastAsia="en-US"/>
        </w:rPr>
        <w:t xml:space="preserve"> </w:t>
      </w:r>
      <w:r w:rsidR="00707C14" w:rsidRPr="005A1455">
        <w:rPr>
          <w:rFonts w:cstheme="minorHAnsi"/>
          <w:color w:val="222222"/>
          <w:shd w:val="clear" w:color="auto" w:fill="FFFFFF"/>
        </w:rPr>
        <w:t>AO</w:t>
      </w:r>
      <w:r w:rsidR="00707C14" w:rsidRPr="005A1455">
        <w:rPr>
          <w:rFonts w:cstheme="minorHAnsi"/>
          <w:color w:val="000000"/>
          <w:shd w:val="clear" w:color="auto" w:fill="FFFFFF"/>
        </w:rPr>
        <w:t xml:space="preserve"> PhD </w:t>
      </w:r>
      <w:proofErr w:type="gramStart"/>
      <w:r w:rsidR="00707C14" w:rsidRPr="005A1455">
        <w:rPr>
          <w:rFonts w:cstheme="minorHAnsi"/>
          <w:color w:val="000000"/>
          <w:shd w:val="clear" w:color="auto" w:fill="FFFFFF"/>
        </w:rPr>
        <w:t>BSc(</w:t>
      </w:r>
      <w:proofErr w:type="gramEnd"/>
      <w:r w:rsidR="00707C14" w:rsidRPr="005A1455">
        <w:rPr>
          <w:rFonts w:cstheme="minorHAnsi"/>
          <w:color w:val="000000"/>
          <w:shd w:val="clear" w:color="auto" w:fill="FFFFFF"/>
        </w:rPr>
        <w:t>Hons) MAPS FCCLP FCHP</w:t>
      </w:r>
      <w:r w:rsidR="0041721D" w:rsidRPr="005A1455">
        <w:rPr>
          <w:rFonts w:eastAsia="Arial" w:cstheme="minorHAnsi"/>
          <w:lang w:eastAsia="en-US"/>
        </w:rPr>
        <w:t>, Senior oversight and subject matter expert</w:t>
      </w:r>
      <w:r w:rsidR="00A609B1" w:rsidRPr="005A1455">
        <w:rPr>
          <w:rFonts w:eastAsia="Arial" w:cstheme="minorHAnsi"/>
          <w:lang w:eastAsia="en-US"/>
        </w:rPr>
        <w:t>, Monash University</w:t>
      </w:r>
    </w:p>
    <w:p w14:paraId="4B1E2B0A" w14:textId="50160585" w:rsidR="00D65123" w:rsidRPr="005A1455" w:rsidRDefault="00613725"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Steve McDonald</w:t>
      </w:r>
      <w:r w:rsidR="00707C14" w:rsidRPr="005A1455">
        <w:rPr>
          <w:rFonts w:eastAsia="Arial" w:cstheme="minorHAnsi"/>
          <w:lang w:eastAsia="en-US"/>
        </w:rPr>
        <w:t xml:space="preserve"> </w:t>
      </w:r>
      <w:r w:rsidR="00E3779D" w:rsidRPr="005A1455">
        <w:rPr>
          <w:rFonts w:cstheme="minorHAnsi"/>
          <w:bCs/>
        </w:rPr>
        <w:t xml:space="preserve">MA </w:t>
      </w:r>
      <w:proofErr w:type="spellStart"/>
      <w:r w:rsidR="00E3779D" w:rsidRPr="005A1455">
        <w:rPr>
          <w:rFonts w:cstheme="minorHAnsi"/>
          <w:bCs/>
        </w:rPr>
        <w:t>GradDipIntlHealth</w:t>
      </w:r>
      <w:proofErr w:type="spellEnd"/>
      <w:r w:rsidRPr="005A1455">
        <w:rPr>
          <w:rFonts w:eastAsia="Arial" w:cstheme="minorHAnsi"/>
          <w:lang w:eastAsia="en-US"/>
        </w:rPr>
        <w:t xml:space="preserve">, </w:t>
      </w:r>
      <w:r w:rsidR="0041721D" w:rsidRPr="005A1455">
        <w:rPr>
          <w:rFonts w:eastAsia="Arial" w:cstheme="minorHAnsi"/>
          <w:lang w:eastAsia="en-US"/>
        </w:rPr>
        <w:t>I</w:t>
      </w:r>
      <w:r w:rsidRPr="005A1455">
        <w:rPr>
          <w:rFonts w:eastAsia="Arial" w:cstheme="minorHAnsi"/>
          <w:lang w:eastAsia="en-US"/>
        </w:rPr>
        <w:t>nformation specialist</w:t>
      </w:r>
      <w:r w:rsidR="00A609B1" w:rsidRPr="005A1455">
        <w:rPr>
          <w:rFonts w:eastAsia="Arial" w:cstheme="minorHAnsi"/>
          <w:lang w:eastAsia="en-US"/>
        </w:rPr>
        <w:t>, Monash University</w:t>
      </w:r>
    </w:p>
    <w:p w14:paraId="093A0721" w14:textId="2AA7A4FD" w:rsidR="002B1573" w:rsidRPr="005A1455" w:rsidRDefault="002B1573"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Lorena Romero</w:t>
      </w:r>
      <w:r w:rsidR="0026563F" w:rsidRPr="005A1455">
        <w:rPr>
          <w:rFonts w:eastAsia="Arial" w:cstheme="minorHAnsi"/>
          <w:lang w:eastAsia="en-US"/>
        </w:rPr>
        <w:t xml:space="preserve"> </w:t>
      </w:r>
      <w:r w:rsidR="0026563F" w:rsidRPr="005A1455">
        <w:rPr>
          <w:rFonts w:cstheme="minorHAnsi"/>
          <w:color w:val="222222"/>
          <w:shd w:val="clear" w:color="auto" w:fill="FFFFFF"/>
        </w:rPr>
        <w:t>MBIT BA</w:t>
      </w:r>
      <w:r w:rsidRPr="005A1455">
        <w:rPr>
          <w:rFonts w:eastAsia="Arial" w:cstheme="minorHAnsi"/>
          <w:lang w:eastAsia="en-US"/>
        </w:rPr>
        <w:t>, Information specialist</w:t>
      </w:r>
      <w:r w:rsidR="000C2B64" w:rsidRPr="005A1455">
        <w:rPr>
          <w:rFonts w:eastAsia="Arial" w:cstheme="minorHAnsi"/>
          <w:lang w:eastAsia="en-US"/>
        </w:rPr>
        <w:t>, Alfred Health</w:t>
      </w:r>
    </w:p>
    <w:p w14:paraId="69F7A876" w14:textId="1CD6E5BC" w:rsidR="00613725" w:rsidRPr="005A1455" w:rsidRDefault="00613725"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Professor Sally Green</w:t>
      </w:r>
      <w:r w:rsidR="0026563F" w:rsidRPr="005A1455">
        <w:rPr>
          <w:rFonts w:eastAsia="Arial" w:cstheme="minorHAnsi"/>
          <w:lang w:eastAsia="en-US"/>
        </w:rPr>
        <w:t xml:space="preserve"> </w:t>
      </w:r>
      <w:r w:rsidR="005C380F" w:rsidRPr="005A1455">
        <w:rPr>
          <w:rFonts w:cstheme="minorHAnsi"/>
          <w:color w:val="222222"/>
          <w:shd w:val="clear" w:color="auto" w:fill="FFFFFF"/>
        </w:rPr>
        <w:t xml:space="preserve">PhD </w:t>
      </w:r>
      <w:proofErr w:type="spellStart"/>
      <w:r w:rsidR="005C380F" w:rsidRPr="005A1455">
        <w:rPr>
          <w:rFonts w:cstheme="minorHAnsi"/>
          <w:color w:val="222222"/>
          <w:shd w:val="clear" w:color="auto" w:fill="FFFFFF"/>
        </w:rPr>
        <w:t>BAppSci</w:t>
      </w:r>
      <w:proofErr w:type="spellEnd"/>
      <w:r w:rsidRPr="005A1455">
        <w:rPr>
          <w:rFonts w:eastAsia="Arial" w:cstheme="minorHAnsi"/>
          <w:lang w:eastAsia="en-US"/>
        </w:rPr>
        <w:t>, Subject matter expert</w:t>
      </w:r>
      <w:r w:rsidR="00A609B1" w:rsidRPr="005A1455">
        <w:rPr>
          <w:rFonts w:eastAsia="Arial" w:cstheme="minorHAnsi"/>
          <w:lang w:eastAsia="en-US"/>
        </w:rPr>
        <w:t>, Monash University</w:t>
      </w:r>
    </w:p>
    <w:p w14:paraId="1C696094" w14:textId="4E3E5C5B" w:rsidR="00613725" w:rsidRPr="005A1455" w:rsidRDefault="00613725" w:rsidP="00707C14">
      <w:pPr>
        <w:widowControl w:val="0"/>
        <w:autoSpaceDE w:val="0"/>
        <w:autoSpaceDN w:val="0"/>
        <w:spacing w:line="240" w:lineRule="auto"/>
        <w:ind w:left="567" w:hanging="567"/>
        <w:rPr>
          <w:rFonts w:eastAsia="Arial" w:cstheme="minorHAnsi"/>
          <w:lang w:eastAsia="en-US"/>
        </w:rPr>
      </w:pPr>
      <w:r w:rsidRPr="005A1455">
        <w:rPr>
          <w:rFonts w:eastAsia="Arial" w:cstheme="minorHAnsi"/>
          <w:lang w:eastAsia="en-US"/>
        </w:rPr>
        <w:t>Professor Karen Walker-Bone</w:t>
      </w:r>
      <w:r w:rsidR="005C380F" w:rsidRPr="005A1455">
        <w:rPr>
          <w:rFonts w:eastAsia="Arial" w:cstheme="minorHAnsi"/>
          <w:lang w:eastAsia="en-US"/>
        </w:rPr>
        <w:t xml:space="preserve"> </w:t>
      </w:r>
      <w:r w:rsidR="005C380F" w:rsidRPr="005A1455">
        <w:rPr>
          <w:rFonts w:cstheme="minorHAnsi"/>
          <w:color w:val="222222"/>
          <w:shd w:val="clear" w:color="auto" w:fill="FFFFFF"/>
        </w:rPr>
        <w:t xml:space="preserve">BM FRCP PhD </w:t>
      </w:r>
      <w:proofErr w:type="spellStart"/>
      <w:r w:rsidR="005C380F" w:rsidRPr="005A1455">
        <w:rPr>
          <w:rFonts w:cstheme="minorHAnsi"/>
          <w:color w:val="222222"/>
          <w:shd w:val="clear" w:color="auto" w:fill="FFFFFF"/>
        </w:rPr>
        <w:t>HonFFOM</w:t>
      </w:r>
      <w:proofErr w:type="spellEnd"/>
      <w:r w:rsidRPr="005A1455">
        <w:rPr>
          <w:rFonts w:eastAsia="Arial" w:cstheme="minorHAnsi"/>
          <w:lang w:eastAsia="en-US"/>
        </w:rPr>
        <w:t>, Subject matter expert</w:t>
      </w:r>
      <w:r w:rsidR="00A609B1" w:rsidRPr="005A1455">
        <w:rPr>
          <w:rFonts w:eastAsia="Arial" w:cstheme="minorHAnsi"/>
          <w:lang w:eastAsia="en-US"/>
        </w:rPr>
        <w:t>, Monash University</w:t>
      </w:r>
    </w:p>
    <w:p w14:paraId="692A66E6" w14:textId="4712B72D" w:rsidR="00BD5695" w:rsidRPr="00C66338" w:rsidRDefault="00613725" w:rsidP="00C66338">
      <w:pPr>
        <w:widowControl w:val="0"/>
        <w:autoSpaceDE w:val="0"/>
        <w:autoSpaceDN w:val="0"/>
        <w:spacing w:after="360" w:line="240" w:lineRule="auto"/>
        <w:ind w:left="567" w:hanging="567"/>
        <w:rPr>
          <w:rFonts w:eastAsia="Arial" w:cstheme="minorHAnsi"/>
          <w:lang w:eastAsia="en-US"/>
        </w:rPr>
      </w:pPr>
      <w:r w:rsidRPr="005A1455">
        <w:rPr>
          <w:rFonts w:eastAsia="Arial" w:cstheme="minorHAnsi"/>
          <w:lang w:eastAsia="en-US"/>
        </w:rPr>
        <w:t>Professor Ingrid Winship</w:t>
      </w:r>
      <w:r w:rsidR="005C380F" w:rsidRPr="005A1455">
        <w:rPr>
          <w:rFonts w:eastAsia="Arial" w:cstheme="minorHAnsi"/>
          <w:lang w:eastAsia="en-US"/>
        </w:rPr>
        <w:t xml:space="preserve"> AO </w:t>
      </w:r>
      <w:r w:rsidR="005C380F" w:rsidRPr="005A1455">
        <w:rPr>
          <w:rFonts w:cstheme="minorHAnsi"/>
        </w:rPr>
        <w:t>MBChB MD FRACP FACD FAICD FAHMS</w:t>
      </w:r>
      <w:r w:rsidRPr="005A1455">
        <w:rPr>
          <w:rFonts w:eastAsia="Arial" w:cstheme="minorHAnsi"/>
          <w:lang w:eastAsia="en-US"/>
        </w:rPr>
        <w:t>, Subject matter expert</w:t>
      </w:r>
      <w:r w:rsidR="00A609B1" w:rsidRPr="005A1455">
        <w:rPr>
          <w:rFonts w:eastAsia="Arial" w:cstheme="minorHAnsi"/>
          <w:lang w:eastAsia="en-US"/>
        </w:rPr>
        <w:t xml:space="preserve">, </w:t>
      </w:r>
      <w:r w:rsidR="00CA004D" w:rsidRPr="005A1455">
        <w:rPr>
          <w:rFonts w:eastAsia="Arial" w:cstheme="minorHAnsi"/>
          <w:lang w:eastAsia="en-US"/>
        </w:rPr>
        <w:t xml:space="preserve">Royal Melbourne </w:t>
      </w:r>
      <w:r w:rsidR="00081111" w:rsidRPr="005A1455">
        <w:rPr>
          <w:rFonts w:eastAsia="Arial" w:cstheme="minorHAnsi"/>
          <w:lang w:eastAsia="en-US"/>
        </w:rPr>
        <w:t>Hospital</w:t>
      </w:r>
    </w:p>
    <w:p w14:paraId="71640518" w14:textId="6C02F6D6" w:rsidR="0041721D" w:rsidRPr="005A1455" w:rsidRDefault="0041721D" w:rsidP="002B1573">
      <w:pPr>
        <w:widowControl w:val="0"/>
        <w:autoSpaceDE w:val="0"/>
        <w:autoSpaceDN w:val="0"/>
        <w:rPr>
          <w:rFonts w:eastAsia="Arial" w:cstheme="minorHAnsi"/>
          <w:b/>
          <w:bCs/>
          <w:color w:val="4C2863"/>
          <w:sz w:val="24"/>
          <w:lang w:eastAsia="en-US"/>
        </w:rPr>
      </w:pPr>
      <w:r w:rsidRPr="005A1455">
        <w:rPr>
          <w:rFonts w:eastAsia="Arial" w:cstheme="minorHAnsi"/>
          <w:b/>
          <w:bCs/>
          <w:color w:val="4C2863"/>
          <w:sz w:val="24"/>
          <w:lang w:eastAsia="en-US"/>
        </w:rPr>
        <w:t>Suggested citation:</w:t>
      </w:r>
    </w:p>
    <w:p w14:paraId="3B2CEEE9" w14:textId="38967A04" w:rsidR="0041721D" w:rsidRPr="005A1455" w:rsidRDefault="002B6BD0" w:rsidP="002B1573">
      <w:pPr>
        <w:widowControl w:val="0"/>
        <w:autoSpaceDE w:val="0"/>
        <w:autoSpaceDN w:val="0"/>
        <w:rPr>
          <w:rFonts w:eastAsia="Arial" w:cstheme="minorHAnsi"/>
          <w:lang w:eastAsia="en-US"/>
        </w:rPr>
      </w:pPr>
      <w:r w:rsidRPr="005A1455">
        <w:rPr>
          <w:rFonts w:eastAsia="Arial" w:cstheme="minorHAnsi"/>
          <w:lang w:eastAsia="en-US"/>
        </w:rPr>
        <w:t xml:space="preserve">Kirkman M, </w:t>
      </w:r>
      <w:r w:rsidR="005D4EE2" w:rsidRPr="005A1455">
        <w:rPr>
          <w:rFonts w:eastAsia="Arial" w:cstheme="minorHAnsi"/>
          <w:lang w:eastAsia="en-US"/>
        </w:rPr>
        <w:t xml:space="preserve">Honda T, </w:t>
      </w:r>
      <w:r w:rsidR="00EA2DE3" w:rsidRPr="005A1455">
        <w:rPr>
          <w:rFonts w:eastAsia="Arial" w:cstheme="minorHAnsi"/>
          <w:lang w:eastAsia="en-US"/>
        </w:rPr>
        <w:t xml:space="preserve">McDonald S, </w:t>
      </w:r>
      <w:r w:rsidR="002B1573" w:rsidRPr="005A1455">
        <w:rPr>
          <w:rFonts w:eastAsia="Arial" w:cstheme="minorHAnsi"/>
          <w:lang w:eastAsia="en-US"/>
        </w:rPr>
        <w:t xml:space="preserve">Romero L, </w:t>
      </w:r>
      <w:r w:rsidR="00667A98" w:rsidRPr="005A1455">
        <w:rPr>
          <w:rFonts w:eastAsia="Arial" w:cstheme="minorHAnsi"/>
          <w:lang w:eastAsia="en-US"/>
        </w:rPr>
        <w:t xml:space="preserve">Green S, Walker-Bone K, Winship I, </w:t>
      </w:r>
      <w:r w:rsidR="005D4EE2" w:rsidRPr="005A1455">
        <w:rPr>
          <w:rFonts w:eastAsia="Arial" w:cstheme="minorHAnsi"/>
          <w:lang w:eastAsia="en-US"/>
        </w:rPr>
        <w:t xml:space="preserve">and Fisher J. (2024). </w:t>
      </w:r>
      <w:r w:rsidR="005D4EE2" w:rsidRPr="005A1455">
        <w:rPr>
          <w:rFonts w:eastAsia="Arial" w:cstheme="minorHAnsi"/>
          <w:i/>
          <w:lang w:eastAsia="en-US"/>
        </w:rPr>
        <w:t xml:space="preserve">Literature review to inform strategies to address sex and gender bias in the </w:t>
      </w:r>
      <w:proofErr w:type="gramStart"/>
      <w:r w:rsidR="005D4EE2" w:rsidRPr="005A1455">
        <w:rPr>
          <w:rFonts w:eastAsia="Arial" w:cstheme="minorHAnsi"/>
          <w:i/>
          <w:lang w:eastAsia="en-US"/>
        </w:rPr>
        <w:t>Health</w:t>
      </w:r>
      <w:proofErr w:type="gramEnd"/>
      <w:r w:rsidR="005D4EE2" w:rsidRPr="005A1455">
        <w:rPr>
          <w:rFonts w:eastAsia="Arial" w:cstheme="minorHAnsi"/>
          <w:i/>
          <w:lang w:eastAsia="en-US"/>
        </w:rPr>
        <w:t xml:space="preserve"> system.</w:t>
      </w:r>
      <w:r w:rsidR="005D4EE2" w:rsidRPr="005A1455">
        <w:rPr>
          <w:rFonts w:eastAsia="Arial" w:cstheme="minorHAnsi"/>
          <w:lang w:eastAsia="en-US"/>
        </w:rPr>
        <w:t xml:space="preserve"> Department of Health and Aged Care. Commonwealth of Australia, Canberra.</w:t>
      </w:r>
      <w:r w:rsidR="00574AA0" w:rsidRPr="005A1455">
        <w:rPr>
          <w:rFonts w:eastAsia="Arial" w:cstheme="minorHAnsi"/>
          <w:lang w:eastAsia="en-US"/>
        </w:rPr>
        <w:t xml:space="preserve"> </w:t>
      </w:r>
      <w:hyperlink r:id="rId9" w:history="1">
        <w:r w:rsidR="00866D7B" w:rsidRPr="000D7B93">
          <w:rPr>
            <w:rStyle w:val="Hyperlink"/>
            <w:rFonts w:cstheme="minorHAnsi"/>
            <w:color w:val="auto"/>
            <w:u w:val="none"/>
          </w:rPr>
          <w:t>www.health.gov.au/resources/publications/literature-review-to-inform-strategies-to-address-sex-and-gender-bias-in-the-health-system</w:t>
        </w:r>
      </w:hyperlink>
    </w:p>
    <w:p w14:paraId="4E7D0B79" w14:textId="2E2DEDFC" w:rsidR="0041721D" w:rsidRPr="005A1455" w:rsidRDefault="0041721D" w:rsidP="002B1573">
      <w:pPr>
        <w:rPr>
          <w:rFonts w:eastAsia="Arial" w:cstheme="minorHAnsi"/>
          <w:lang w:eastAsia="en-US"/>
        </w:rPr>
      </w:pPr>
      <w:r w:rsidRPr="005A1455">
        <w:rPr>
          <w:rFonts w:eastAsia="Arial" w:cstheme="minorHAnsi"/>
          <w:lang w:eastAsia="en-US"/>
        </w:rPr>
        <w:br w:type="page"/>
      </w:r>
    </w:p>
    <w:p w14:paraId="3C1F48E7" w14:textId="77777777" w:rsidR="004A1201" w:rsidRPr="005A1455" w:rsidRDefault="004A1201" w:rsidP="004A1201">
      <w:pPr>
        <w:pStyle w:val="Heading1"/>
        <w:rPr>
          <w:rFonts w:asciiTheme="minorHAnsi" w:hAnsiTheme="minorHAnsi" w:cstheme="minorHAnsi"/>
          <w:color w:val="4C2863"/>
        </w:rPr>
      </w:pPr>
      <w:bookmarkStart w:id="0" w:name="_Toc168390488"/>
      <w:bookmarkStart w:id="1" w:name="_Toc168390856"/>
      <w:bookmarkStart w:id="2" w:name="_Toc168390922"/>
      <w:bookmarkStart w:id="3" w:name="_Toc168392054"/>
      <w:bookmarkStart w:id="4" w:name="_Toc168392411"/>
      <w:bookmarkStart w:id="5" w:name="_Toc168393584"/>
      <w:bookmarkStart w:id="6" w:name="_Toc168393626"/>
      <w:bookmarkStart w:id="7" w:name="_Toc168394300"/>
      <w:bookmarkStart w:id="8" w:name="_Toc168394438"/>
      <w:r w:rsidRPr="005A1455">
        <w:rPr>
          <w:rFonts w:asciiTheme="minorHAnsi" w:hAnsiTheme="minorHAnsi" w:cstheme="minorHAnsi"/>
          <w:color w:val="4C2863"/>
        </w:rPr>
        <w:lastRenderedPageBreak/>
        <w:t>Table of Contents</w:t>
      </w:r>
      <w:bookmarkEnd w:id="0"/>
      <w:bookmarkEnd w:id="1"/>
      <w:bookmarkEnd w:id="2"/>
      <w:bookmarkEnd w:id="3"/>
      <w:bookmarkEnd w:id="4"/>
      <w:bookmarkEnd w:id="5"/>
      <w:bookmarkEnd w:id="6"/>
      <w:bookmarkEnd w:id="7"/>
      <w:bookmarkEnd w:id="8"/>
    </w:p>
    <w:bookmarkStart w:id="9" w:name="_Toc161756578"/>
    <w:bookmarkStart w:id="10" w:name="_Toc161757501"/>
    <w:bookmarkStart w:id="11" w:name="_Toc161763926"/>
    <w:bookmarkStart w:id="12" w:name="_Toc165204981"/>
    <w:bookmarkStart w:id="13" w:name="_Toc168390489"/>
    <w:bookmarkStart w:id="14" w:name="_Toc168390857"/>
    <w:bookmarkStart w:id="15" w:name="_Toc168390923"/>
    <w:bookmarkStart w:id="16" w:name="_Toc168392055"/>
    <w:bookmarkStart w:id="17" w:name="_Toc168392412"/>
    <w:bookmarkStart w:id="18" w:name="_Toc168393585"/>
    <w:bookmarkStart w:id="19" w:name="_Toc168393627"/>
    <w:p w14:paraId="34FC96A2" w14:textId="1F8126B4" w:rsidR="00057B5C" w:rsidRPr="005A1455" w:rsidRDefault="00057B5C">
      <w:pPr>
        <w:pStyle w:val="TOC1"/>
        <w:tabs>
          <w:tab w:val="right" w:leader="dot" w:pos="9016"/>
        </w:tabs>
        <w:rPr>
          <w:b w:val="0"/>
          <w:bCs w:val="0"/>
          <w:caps w:val="0"/>
          <w:noProof/>
          <w:sz w:val="22"/>
          <w:szCs w:val="22"/>
        </w:rPr>
      </w:pPr>
      <w:r w:rsidRPr="005A1455">
        <w:rPr>
          <w:sz w:val="22"/>
          <w:szCs w:val="22"/>
        </w:rPr>
        <w:fldChar w:fldCharType="begin"/>
      </w:r>
      <w:r w:rsidRPr="005A1455">
        <w:rPr>
          <w:sz w:val="22"/>
          <w:szCs w:val="22"/>
        </w:rPr>
        <w:instrText xml:space="preserve"> TOC \o "1-2" \h \z \u </w:instrText>
      </w:r>
      <w:r w:rsidRPr="005A1455">
        <w:rPr>
          <w:sz w:val="22"/>
          <w:szCs w:val="22"/>
        </w:rPr>
        <w:fldChar w:fldCharType="separate"/>
      </w:r>
      <w:hyperlink w:anchor="_Toc168394439" w:history="1">
        <w:r w:rsidR="005A1455" w:rsidRPr="005A1455">
          <w:rPr>
            <w:rStyle w:val="Hyperlink"/>
            <w:caps w:val="0"/>
            <w:noProof/>
            <w:sz w:val="22"/>
            <w:szCs w:val="22"/>
          </w:rPr>
          <w:t>Abbreviations</w:t>
        </w:r>
        <w:r w:rsidRPr="005A1455">
          <w:rPr>
            <w:noProof/>
            <w:webHidden/>
            <w:sz w:val="22"/>
            <w:szCs w:val="22"/>
          </w:rPr>
          <w:tab/>
        </w:r>
        <w:r w:rsidRPr="005A1455">
          <w:rPr>
            <w:noProof/>
            <w:webHidden/>
            <w:sz w:val="22"/>
            <w:szCs w:val="22"/>
          </w:rPr>
          <w:fldChar w:fldCharType="begin"/>
        </w:r>
        <w:r w:rsidRPr="005A1455">
          <w:rPr>
            <w:noProof/>
            <w:webHidden/>
            <w:sz w:val="22"/>
            <w:szCs w:val="22"/>
          </w:rPr>
          <w:instrText xml:space="preserve"> PAGEREF _Toc168394439 \h </w:instrText>
        </w:r>
        <w:r w:rsidRPr="005A1455">
          <w:rPr>
            <w:noProof/>
            <w:webHidden/>
            <w:sz w:val="22"/>
            <w:szCs w:val="22"/>
          </w:rPr>
        </w:r>
        <w:r w:rsidRPr="005A1455">
          <w:rPr>
            <w:noProof/>
            <w:webHidden/>
            <w:sz w:val="22"/>
            <w:szCs w:val="22"/>
          </w:rPr>
          <w:fldChar w:fldCharType="separate"/>
        </w:r>
        <w:r w:rsidR="00BB5AD5" w:rsidRPr="005A1455">
          <w:rPr>
            <w:noProof/>
            <w:webHidden/>
            <w:sz w:val="22"/>
            <w:szCs w:val="22"/>
          </w:rPr>
          <w:t>3</w:t>
        </w:r>
        <w:r w:rsidRPr="005A1455">
          <w:rPr>
            <w:noProof/>
            <w:webHidden/>
            <w:sz w:val="22"/>
            <w:szCs w:val="22"/>
          </w:rPr>
          <w:fldChar w:fldCharType="end"/>
        </w:r>
      </w:hyperlink>
    </w:p>
    <w:p w14:paraId="592B94A6" w14:textId="294544AD" w:rsidR="00057B5C" w:rsidRPr="005A1455" w:rsidRDefault="005A1455">
      <w:pPr>
        <w:pStyle w:val="TOC1"/>
        <w:tabs>
          <w:tab w:val="right" w:leader="dot" w:pos="9016"/>
        </w:tabs>
        <w:rPr>
          <w:b w:val="0"/>
          <w:bCs w:val="0"/>
          <w:caps w:val="0"/>
          <w:noProof/>
          <w:sz w:val="22"/>
          <w:szCs w:val="22"/>
        </w:rPr>
      </w:pPr>
      <w:hyperlink w:anchor="_Toc168394440" w:history="1">
        <w:r w:rsidRPr="005A1455">
          <w:rPr>
            <w:rStyle w:val="Hyperlink"/>
            <w:caps w:val="0"/>
            <w:noProof/>
            <w:sz w:val="22"/>
            <w:szCs w:val="22"/>
          </w:rPr>
          <w:t>Glossary</w:t>
        </w:r>
        <w:r w:rsidR="00057B5C" w:rsidRPr="005A1455">
          <w:rPr>
            <w:noProof/>
            <w:webHidden/>
            <w:sz w:val="22"/>
            <w:szCs w:val="22"/>
          </w:rPr>
          <w:tab/>
        </w:r>
        <w:r w:rsidR="00057B5C" w:rsidRPr="005A1455">
          <w:rPr>
            <w:noProof/>
            <w:webHidden/>
            <w:sz w:val="22"/>
            <w:szCs w:val="22"/>
          </w:rPr>
          <w:fldChar w:fldCharType="begin"/>
        </w:r>
        <w:r w:rsidR="00057B5C" w:rsidRPr="005A1455">
          <w:rPr>
            <w:noProof/>
            <w:webHidden/>
            <w:sz w:val="22"/>
            <w:szCs w:val="22"/>
          </w:rPr>
          <w:instrText xml:space="preserve"> PAGEREF _Toc168394440 \h </w:instrText>
        </w:r>
        <w:r w:rsidR="00057B5C" w:rsidRPr="005A1455">
          <w:rPr>
            <w:noProof/>
            <w:webHidden/>
            <w:sz w:val="22"/>
            <w:szCs w:val="22"/>
          </w:rPr>
        </w:r>
        <w:r w:rsidR="00057B5C" w:rsidRPr="005A1455">
          <w:rPr>
            <w:noProof/>
            <w:webHidden/>
            <w:sz w:val="22"/>
            <w:szCs w:val="22"/>
          </w:rPr>
          <w:fldChar w:fldCharType="separate"/>
        </w:r>
        <w:r w:rsidR="00BB5AD5" w:rsidRPr="005A1455">
          <w:rPr>
            <w:noProof/>
            <w:webHidden/>
            <w:sz w:val="22"/>
            <w:szCs w:val="22"/>
          </w:rPr>
          <w:t>4</w:t>
        </w:r>
        <w:r w:rsidR="00057B5C" w:rsidRPr="005A1455">
          <w:rPr>
            <w:noProof/>
            <w:webHidden/>
            <w:sz w:val="22"/>
            <w:szCs w:val="22"/>
          </w:rPr>
          <w:fldChar w:fldCharType="end"/>
        </w:r>
      </w:hyperlink>
    </w:p>
    <w:p w14:paraId="77F28F4D" w14:textId="7B271DEF" w:rsidR="00057B5C" w:rsidRPr="005A1455" w:rsidRDefault="005A1455">
      <w:pPr>
        <w:pStyle w:val="TOC1"/>
        <w:tabs>
          <w:tab w:val="right" w:leader="dot" w:pos="9016"/>
        </w:tabs>
        <w:rPr>
          <w:b w:val="0"/>
          <w:bCs w:val="0"/>
          <w:caps w:val="0"/>
          <w:noProof/>
          <w:sz w:val="22"/>
          <w:szCs w:val="22"/>
        </w:rPr>
      </w:pPr>
      <w:hyperlink w:anchor="_Toc168394441" w:history="1">
        <w:r w:rsidRPr="005A1455">
          <w:rPr>
            <w:rStyle w:val="Hyperlink"/>
            <w:caps w:val="0"/>
            <w:noProof/>
            <w:sz w:val="22"/>
            <w:szCs w:val="22"/>
          </w:rPr>
          <w:t>Summary</w:t>
        </w:r>
        <w:r w:rsidR="00057B5C" w:rsidRPr="005A1455">
          <w:rPr>
            <w:noProof/>
            <w:webHidden/>
            <w:sz w:val="22"/>
            <w:szCs w:val="22"/>
          </w:rPr>
          <w:tab/>
        </w:r>
        <w:r w:rsidR="00057B5C" w:rsidRPr="005A1455">
          <w:rPr>
            <w:noProof/>
            <w:webHidden/>
            <w:sz w:val="22"/>
            <w:szCs w:val="22"/>
          </w:rPr>
          <w:fldChar w:fldCharType="begin"/>
        </w:r>
        <w:r w:rsidR="00057B5C" w:rsidRPr="005A1455">
          <w:rPr>
            <w:noProof/>
            <w:webHidden/>
            <w:sz w:val="22"/>
            <w:szCs w:val="22"/>
          </w:rPr>
          <w:instrText xml:space="preserve"> PAGEREF _Toc168394441 \h </w:instrText>
        </w:r>
        <w:r w:rsidR="00057B5C" w:rsidRPr="005A1455">
          <w:rPr>
            <w:noProof/>
            <w:webHidden/>
            <w:sz w:val="22"/>
            <w:szCs w:val="22"/>
          </w:rPr>
        </w:r>
        <w:r w:rsidR="00057B5C" w:rsidRPr="005A1455">
          <w:rPr>
            <w:noProof/>
            <w:webHidden/>
            <w:sz w:val="22"/>
            <w:szCs w:val="22"/>
          </w:rPr>
          <w:fldChar w:fldCharType="separate"/>
        </w:r>
        <w:r w:rsidR="00BB5AD5" w:rsidRPr="005A1455">
          <w:rPr>
            <w:noProof/>
            <w:webHidden/>
            <w:sz w:val="22"/>
            <w:szCs w:val="22"/>
          </w:rPr>
          <w:t>7</w:t>
        </w:r>
        <w:r w:rsidR="00057B5C" w:rsidRPr="005A1455">
          <w:rPr>
            <w:noProof/>
            <w:webHidden/>
            <w:sz w:val="22"/>
            <w:szCs w:val="22"/>
          </w:rPr>
          <w:fldChar w:fldCharType="end"/>
        </w:r>
      </w:hyperlink>
    </w:p>
    <w:p w14:paraId="2F706580" w14:textId="2933BF12" w:rsidR="00057B5C" w:rsidRPr="005A1455" w:rsidRDefault="005A1455">
      <w:pPr>
        <w:pStyle w:val="TOC1"/>
        <w:tabs>
          <w:tab w:val="right" w:leader="dot" w:pos="9016"/>
        </w:tabs>
        <w:rPr>
          <w:b w:val="0"/>
          <w:bCs w:val="0"/>
          <w:caps w:val="0"/>
          <w:noProof/>
          <w:sz w:val="22"/>
          <w:szCs w:val="22"/>
        </w:rPr>
      </w:pPr>
      <w:hyperlink w:anchor="_Toc168394442" w:history="1">
        <w:r w:rsidRPr="005A1455">
          <w:rPr>
            <w:rStyle w:val="Hyperlink"/>
            <w:caps w:val="0"/>
            <w:noProof/>
            <w:sz w:val="22"/>
            <w:szCs w:val="22"/>
          </w:rPr>
          <w:t>Recommendations (Summary)</w:t>
        </w:r>
        <w:r w:rsidR="00057B5C" w:rsidRPr="005A1455">
          <w:rPr>
            <w:noProof/>
            <w:webHidden/>
            <w:sz w:val="22"/>
            <w:szCs w:val="22"/>
          </w:rPr>
          <w:tab/>
        </w:r>
        <w:r w:rsidR="00057B5C" w:rsidRPr="005A1455">
          <w:rPr>
            <w:noProof/>
            <w:webHidden/>
            <w:sz w:val="22"/>
            <w:szCs w:val="22"/>
          </w:rPr>
          <w:fldChar w:fldCharType="begin"/>
        </w:r>
        <w:r w:rsidR="00057B5C" w:rsidRPr="005A1455">
          <w:rPr>
            <w:noProof/>
            <w:webHidden/>
            <w:sz w:val="22"/>
            <w:szCs w:val="22"/>
          </w:rPr>
          <w:instrText xml:space="preserve"> PAGEREF _Toc168394442 \h </w:instrText>
        </w:r>
        <w:r w:rsidR="00057B5C" w:rsidRPr="005A1455">
          <w:rPr>
            <w:noProof/>
            <w:webHidden/>
            <w:sz w:val="22"/>
            <w:szCs w:val="22"/>
          </w:rPr>
        </w:r>
        <w:r w:rsidR="00057B5C" w:rsidRPr="005A1455">
          <w:rPr>
            <w:noProof/>
            <w:webHidden/>
            <w:sz w:val="22"/>
            <w:szCs w:val="22"/>
          </w:rPr>
          <w:fldChar w:fldCharType="separate"/>
        </w:r>
        <w:r w:rsidR="00BB5AD5" w:rsidRPr="005A1455">
          <w:rPr>
            <w:noProof/>
            <w:webHidden/>
            <w:sz w:val="22"/>
            <w:szCs w:val="22"/>
          </w:rPr>
          <w:t>10</w:t>
        </w:r>
        <w:r w:rsidR="00057B5C" w:rsidRPr="005A1455">
          <w:rPr>
            <w:noProof/>
            <w:webHidden/>
            <w:sz w:val="22"/>
            <w:szCs w:val="22"/>
          </w:rPr>
          <w:fldChar w:fldCharType="end"/>
        </w:r>
      </w:hyperlink>
    </w:p>
    <w:p w14:paraId="05F2A1F7" w14:textId="42F31CEC" w:rsidR="00057B5C" w:rsidRPr="005A1455" w:rsidRDefault="00057B5C">
      <w:pPr>
        <w:pStyle w:val="TOC1"/>
        <w:tabs>
          <w:tab w:val="left" w:pos="440"/>
          <w:tab w:val="right" w:leader="dot" w:pos="9016"/>
        </w:tabs>
        <w:rPr>
          <w:b w:val="0"/>
          <w:bCs w:val="0"/>
          <w:caps w:val="0"/>
          <w:noProof/>
          <w:sz w:val="22"/>
          <w:szCs w:val="22"/>
        </w:rPr>
      </w:pPr>
      <w:hyperlink w:anchor="_Toc168394443" w:history="1">
        <w:r w:rsidRPr="005A1455">
          <w:rPr>
            <w:rStyle w:val="Hyperlink"/>
            <w:noProof/>
            <w:sz w:val="22"/>
            <w:szCs w:val="22"/>
          </w:rPr>
          <w:t>1.</w:t>
        </w:r>
        <w:r w:rsidRPr="005A1455">
          <w:rPr>
            <w:b w:val="0"/>
            <w:bCs w:val="0"/>
            <w:caps w:val="0"/>
            <w:noProof/>
            <w:sz w:val="22"/>
            <w:szCs w:val="22"/>
          </w:rPr>
          <w:tab/>
        </w:r>
        <w:r w:rsidR="005A1455" w:rsidRPr="005A1455">
          <w:rPr>
            <w:rStyle w:val="Hyperlink"/>
            <w:caps w:val="0"/>
            <w:noProof/>
            <w:sz w:val="22"/>
            <w:szCs w:val="22"/>
          </w:rPr>
          <w:t>Introduction</w:t>
        </w:r>
        <w:r w:rsidRPr="005A1455">
          <w:rPr>
            <w:noProof/>
            <w:webHidden/>
            <w:sz w:val="22"/>
            <w:szCs w:val="22"/>
          </w:rPr>
          <w:tab/>
        </w:r>
        <w:r w:rsidRPr="005A1455">
          <w:rPr>
            <w:noProof/>
            <w:webHidden/>
            <w:sz w:val="22"/>
            <w:szCs w:val="22"/>
          </w:rPr>
          <w:fldChar w:fldCharType="begin"/>
        </w:r>
        <w:r w:rsidRPr="005A1455">
          <w:rPr>
            <w:noProof/>
            <w:webHidden/>
            <w:sz w:val="22"/>
            <w:szCs w:val="22"/>
          </w:rPr>
          <w:instrText xml:space="preserve"> PAGEREF _Toc168394443 \h </w:instrText>
        </w:r>
        <w:r w:rsidRPr="005A1455">
          <w:rPr>
            <w:noProof/>
            <w:webHidden/>
            <w:sz w:val="22"/>
            <w:szCs w:val="22"/>
          </w:rPr>
        </w:r>
        <w:r w:rsidRPr="005A1455">
          <w:rPr>
            <w:noProof/>
            <w:webHidden/>
            <w:sz w:val="22"/>
            <w:szCs w:val="22"/>
          </w:rPr>
          <w:fldChar w:fldCharType="separate"/>
        </w:r>
        <w:r w:rsidR="00BB5AD5" w:rsidRPr="005A1455">
          <w:rPr>
            <w:noProof/>
            <w:webHidden/>
            <w:sz w:val="22"/>
            <w:szCs w:val="22"/>
          </w:rPr>
          <w:t>11</w:t>
        </w:r>
        <w:r w:rsidRPr="005A1455">
          <w:rPr>
            <w:noProof/>
            <w:webHidden/>
            <w:sz w:val="22"/>
            <w:szCs w:val="22"/>
          </w:rPr>
          <w:fldChar w:fldCharType="end"/>
        </w:r>
      </w:hyperlink>
    </w:p>
    <w:p w14:paraId="483C38A0" w14:textId="2CB7BB90" w:rsidR="00057B5C" w:rsidRPr="005A1455" w:rsidRDefault="005A1455" w:rsidP="00057B5C">
      <w:pPr>
        <w:pStyle w:val="TOC2"/>
        <w:rPr>
          <w:noProof/>
        </w:rPr>
      </w:pPr>
      <w:hyperlink w:anchor="_Toc168394444" w:history="1">
        <w:r w:rsidRPr="005A1455">
          <w:rPr>
            <w:rStyle w:val="Hyperlink"/>
            <w:noProof/>
            <w:sz w:val="22"/>
            <w:szCs w:val="22"/>
          </w:rPr>
          <w:t>1.1.</w:t>
        </w:r>
        <w:r w:rsidRPr="005A1455">
          <w:rPr>
            <w:noProof/>
          </w:rPr>
          <w:tab/>
        </w:r>
        <w:r w:rsidRPr="005A1455">
          <w:rPr>
            <w:rStyle w:val="Hyperlink"/>
            <w:noProof/>
            <w:sz w:val="22"/>
            <w:szCs w:val="22"/>
          </w:rPr>
          <w:t>background</w:t>
        </w:r>
        <w:r w:rsidRPr="005A1455">
          <w:rPr>
            <w:noProof/>
            <w:webHidden/>
          </w:rPr>
          <w:tab/>
        </w:r>
        <w:r w:rsidR="00057B5C" w:rsidRPr="005A1455">
          <w:rPr>
            <w:noProof/>
            <w:webHidden/>
          </w:rPr>
          <w:fldChar w:fldCharType="begin"/>
        </w:r>
        <w:r w:rsidR="00057B5C" w:rsidRPr="005A1455">
          <w:rPr>
            <w:noProof/>
            <w:webHidden/>
          </w:rPr>
          <w:instrText xml:space="preserve"> PAGEREF _Toc168394444 \h </w:instrText>
        </w:r>
        <w:r w:rsidR="00057B5C" w:rsidRPr="005A1455">
          <w:rPr>
            <w:noProof/>
            <w:webHidden/>
          </w:rPr>
        </w:r>
        <w:r w:rsidR="00057B5C" w:rsidRPr="005A1455">
          <w:rPr>
            <w:noProof/>
            <w:webHidden/>
          </w:rPr>
          <w:fldChar w:fldCharType="separate"/>
        </w:r>
        <w:r w:rsidRPr="005A1455">
          <w:rPr>
            <w:noProof/>
            <w:webHidden/>
          </w:rPr>
          <w:t>11</w:t>
        </w:r>
        <w:r w:rsidR="00057B5C" w:rsidRPr="005A1455">
          <w:rPr>
            <w:noProof/>
            <w:webHidden/>
          </w:rPr>
          <w:fldChar w:fldCharType="end"/>
        </w:r>
      </w:hyperlink>
    </w:p>
    <w:p w14:paraId="49553F4C" w14:textId="1C8F3419" w:rsidR="00057B5C" w:rsidRPr="005A1455" w:rsidRDefault="005A1455" w:rsidP="00057B5C">
      <w:pPr>
        <w:pStyle w:val="TOC2"/>
        <w:rPr>
          <w:noProof/>
        </w:rPr>
      </w:pPr>
      <w:hyperlink w:anchor="_Toc168394445" w:history="1">
        <w:r w:rsidRPr="005A1455">
          <w:rPr>
            <w:rStyle w:val="Hyperlink"/>
            <w:noProof/>
            <w:sz w:val="22"/>
            <w:szCs w:val="22"/>
          </w:rPr>
          <w:t>1.2.</w:t>
        </w:r>
        <w:r w:rsidRPr="005A1455">
          <w:rPr>
            <w:noProof/>
          </w:rPr>
          <w:tab/>
        </w:r>
        <w:r w:rsidRPr="005A1455">
          <w:rPr>
            <w:rStyle w:val="Hyperlink"/>
            <w:noProof/>
            <w:sz w:val="22"/>
            <w:szCs w:val="22"/>
          </w:rPr>
          <w:t>definitions of sex and gender</w:t>
        </w:r>
        <w:r w:rsidRPr="005A1455">
          <w:rPr>
            <w:noProof/>
            <w:webHidden/>
          </w:rPr>
          <w:tab/>
        </w:r>
        <w:r w:rsidR="00057B5C" w:rsidRPr="005A1455">
          <w:rPr>
            <w:noProof/>
            <w:webHidden/>
          </w:rPr>
          <w:fldChar w:fldCharType="begin"/>
        </w:r>
        <w:r w:rsidR="00057B5C" w:rsidRPr="005A1455">
          <w:rPr>
            <w:noProof/>
            <w:webHidden/>
          </w:rPr>
          <w:instrText xml:space="preserve"> PAGEREF _Toc168394445 \h </w:instrText>
        </w:r>
        <w:r w:rsidR="00057B5C" w:rsidRPr="005A1455">
          <w:rPr>
            <w:noProof/>
            <w:webHidden/>
          </w:rPr>
        </w:r>
        <w:r w:rsidR="00057B5C" w:rsidRPr="005A1455">
          <w:rPr>
            <w:noProof/>
            <w:webHidden/>
          </w:rPr>
          <w:fldChar w:fldCharType="separate"/>
        </w:r>
        <w:r w:rsidRPr="005A1455">
          <w:rPr>
            <w:noProof/>
            <w:webHidden/>
          </w:rPr>
          <w:t>1</w:t>
        </w:r>
        <w:r w:rsidR="00057B5C" w:rsidRPr="005A1455">
          <w:rPr>
            <w:noProof/>
            <w:webHidden/>
          </w:rPr>
          <w:fldChar w:fldCharType="end"/>
        </w:r>
      </w:hyperlink>
      <w:r w:rsidR="00DA0F96">
        <w:rPr>
          <w:noProof/>
        </w:rPr>
        <w:t>1</w:t>
      </w:r>
    </w:p>
    <w:p w14:paraId="666A1309" w14:textId="52A7BA92" w:rsidR="00057B5C" w:rsidRPr="005A1455" w:rsidRDefault="005A1455" w:rsidP="00057B5C">
      <w:pPr>
        <w:pStyle w:val="TOC2"/>
        <w:rPr>
          <w:noProof/>
        </w:rPr>
      </w:pPr>
      <w:hyperlink w:anchor="_Toc168394446" w:history="1">
        <w:r w:rsidRPr="005A1455">
          <w:rPr>
            <w:rStyle w:val="Hyperlink"/>
            <w:noProof/>
            <w:sz w:val="22"/>
            <w:szCs w:val="22"/>
          </w:rPr>
          <w:t>1.3.</w:t>
        </w:r>
        <w:r w:rsidRPr="005A1455">
          <w:rPr>
            <w:noProof/>
          </w:rPr>
          <w:tab/>
        </w:r>
        <w:r w:rsidRPr="005A1455">
          <w:rPr>
            <w:rStyle w:val="Hyperlink"/>
            <w:noProof/>
            <w:sz w:val="22"/>
            <w:szCs w:val="22"/>
          </w:rPr>
          <w:t>gender inequality, disparities, and bias in health care</w:t>
        </w:r>
        <w:r w:rsidRPr="005A1455">
          <w:rPr>
            <w:noProof/>
            <w:webHidden/>
          </w:rPr>
          <w:tab/>
        </w:r>
        <w:r w:rsidR="00057B5C" w:rsidRPr="005A1455">
          <w:rPr>
            <w:noProof/>
            <w:webHidden/>
          </w:rPr>
          <w:fldChar w:fldCharType="begin"/>
        </w:r>
        <w:r w:rsidR="00057B5C" w:rsidRPr="005A1455">
          <w:rPr>
            <w:noProof/>
            <w:webHidden/>
          </w:rPr>
          <w:instrText xml:space="preserve"> PAGEREF _Toc168394446 \h </w:instrText>
        </w:r>
        <w:r w:rsidR="00057B5C" w:rsidRPr="005A1455">
          <w:rPr>
            <w:noProof/>
            <w:webHidden/>
          </w:rPr>
        </w:r>
        <w:r w:rsidR="00057B5C" w:rsidRPr="005A1455">
          <w:rPr>
            <w:noProof/>
            <w:webHidden/>
          </w:rPr>
          <w:fldChar w:fldCharType="separate"/>
        </w:r>
        <w:r w:rsidRPr="005A1455">
          <w:rPr>
            <w:noProof/>
            <w:webHidden/>
          </w:rPr>
          <w:t>13</w:t>
        </w:r>
        <w:r w:rsidR="00057B5C" w:rsidRPr="005A1455">
          <w:rPr>
            <w:noProof/>
            <w:webHidden/>
          </w:rPr>
          <w:fldChar w:fldCharType="end"/>
        </w:r>
      </w:hyperlink>
    </w:p>
    <w:p w14:paraId="0E69249A" w14:textId="4A7E8367" w:rsidR="00057B5C" w:rsidRPr="005A1455" w:rsidRDefault="005A1455" w:rsidP="00057B5C">
      <w:pPr>
        <w:pStyle w:val="TOC2"/>
        <w:rPr>
          <w:noProof/>
        </w:rPr>
      </w:pPr>
      <w:hyperlink w:anchor="_Toc168394447" w:history="1">
        <w:r w:rsidRPr="005A1455">
          <w:rPr>
            <w:rStyle w:val="Hyperlink"/>
            <w:noProof/>
            <w:sz w:val="22"/>
            <w:szCs w:val="22"/>
          </w:rPr>
          <w:t>1.4.</w:t>
        </w:r>
        <w:r w:rsidRPr="005A1455">
          <w:rPr>
            <w:noProof/>
          </w:rPr>
          <w:tab/>
        </w:r>
        <w:r w:rsidRPr="005A1455">
          <w:rPr>
            <w:rStyle w:val="Hyperlink"/>
            <w:noProof/>
            <w:sz w:val="22"/>
            <w:szCs w:val="22"/>
          </w:rPr>
          <w:t>objectives and research questions</w:t>
        </w:r>
        <w:r w:rsidRPr="005A1455">
          <w:rPr>
            <w:noProof/>
            <w:webHidden/>
          </w:rPr>
          <w:tab/>
        </w:r>
        <w:r w:rsidR="00057B5C" w:rsidRPr="005A1455">
          <w:rPr>
            <w:noProof/>
            <w:webHidden/>
          </w:rPr>
          <w:fldChar w:fldCharType="begin"/>
        </w:r>
        <w:r w:rsidR="00057B5C" w:rsidRPr="005A1455">
          <w:rPr>
            <w:noProof/>
            <w:webHidden/>
          </w:rPr>
          <w:instrText xml:space="preserve"> PAGEREF _Toc168394447 \h </w:instrText>
        </w:r>
        <w:r w:rsidR="00057B5C" w:rsidRPr="005A1455">
          <w:rPr>
            <w:noProof/>
            <w:webHidden/>
          </w:rPr>
        </w:r>
        <w:r w:rsidR="00057B5C" w:rsidRPr="005A1455">
          <w:rPr>
            <w:noProof/>
            <w:webHidden/>
          </w:rPr>
          <w:fldChar w:fldCharType="separate"/>
        </w:r>
        <w:r w:rsidRPr="005A1455">
          <w:rPr>
            <w:noProof/>
            <w:webHidden/>
          </w:rPr>
          <w:t>1</w:t>
        </w:r>
        <w:r w:rsidR="00057B5C" w:rsidRPr="005A1455">
          <w:rPr>
            <w:noProof/>
            <w:webHidden/>
          </w:rPr>
          <w:fldChar w:fldCharType="end"/>
        </w:r>
      </w:hyperlink>
      <w:r w:rsidR="00DA0F96">
        <w:rPr>
          <w:noProof/>
        </w:rPr>
        <w:t>8</w:t>
      </w:r>
    </w:p>
    <w:p w14:paraId="72ADE3BC" w14:textId="08BD1F9B" w:rsidR="00057B5C" w:rsidRPr="005A1455" w:rsidRDefault="00057B5C">
      <w:pPr>
        <w:pStyle w:val="TOC1"/>
        <w:tabs>
          <w:tab w:val="left" w:pos="440"/>
          <w:tab w:val="right" w:leader="dot" w:pos="9016"/>
        </w:tabs>
        <w:rPr>
          <w:b w:val="0"/>
          <w:bCs w:val="0"/>
          <w:caps w:val="0"/>
          <w:noProof/>
          <w:sz w:val="22"/>
          <w:szCs w:val="22"/>
        </w:rPr>
      </w:pPr>
      <w:hyperlink w:anchor="_Toc168394448" w:history="1">
        <w:r w:rsidRPr="005A1455">
          <w:rPr>
            <w:rStyle w:val="Hyperlink"/>
            <w:noProof/>
            <w:sz w:val="22"/>
            <w:szCs w:val="22"/>
          </w:rPr>
          <w:t>2.</w:t>
        </w:r>
        <w:r w:rsidRPr="005A1455">
          <w:rPr>
            <w:b w:val="0"/>
            <w:bCs w:val="0"/>
            <w:caps w:val="0"/>
            <w:noProof/>
            <w:sz w:val="22"/>
            <w:szCs w:val="22"/>
          </w:rPr>
          <w:tab/>
        </w:r>
        <w:r w:rsidR="005A1455" w:rsidRPr="005A1455">
          <w:rPr>
            <w:rStyle w:val="Hyperlink"/>
            <w:caps w:val="0"/>
            <w:noProof/>
            <w:sz w:val="22"/>
            <w:szCs w:val="22"/>
          </w:rPr>
          <w:t>Method</w:t>
        </w:r>
        <w:r w:rsidRPr="005A1455">
          <w:rPr>
            <w:noProof/>
            <w:webHidden/>
            <w:sz w:val="22"/>
            <w:szCs w:val="22"/>
          </w:rPr>
          <w:tab/>
        </w:r>
        <w:r w:rsidRPr="005A1455">
          <w:rPr>
            <w:noProof/>
            <w:webHidden/>
            <w:sz w:val="22"/>
            <w:szCs w:val="22"/>
          </w:rPr>
          <w:fldChar w:fldCharType="begin"/>
        </w:r>
        <w:r w:rsidRPr="005A1455">
          <w:rPr>
            <w:noProof/>
            <w:webHidden/>
            <w:sz w:val="22"/>
            <w:szCs w:val="22"/>
          </w:rPr>
          <w:instrText xml:space="preserve"> PAGEREF _Toc168394448 \h </w:instrText>
        </w:r>
        <w:r w:rsidRPr="005A1455">
          <w:rPr>
            <w:noProof/>
            <w:webHidden/>
            <w:sz w:val="22"/>
            <w:szCs w:val="22"/>
          </w:rPr>
        </w:r>
        <w:r w:rsidRPr="005A1455">
          <w:rPr>
            <w:noProof/>
            <w:webHidden/>
            <w:sz w:val="22"/>
            <w:szCs w:val="22"/>
          </w:rPr>
          <w:fldChar w:fldCharType="separate"/>
        </w:r>
        <w:r w:rsidR="00BB5AD5" w:rsidRPr="005A1455">
          <w:rPr>
            <w:noProof/>
            <w:webHidden/>
            <w:sz w:val="22"/>
            <w:szCs w:val="22"/>
          </w:rPr>
          <w:t>1</w:t>
        </w:r>
        <w:r w:rsidRPr="005A1455">
          <w:rPr>
            <w:noProof/>
            <w:webHidden/>
            <w:sz w:val="22"/>
            <w:szCs w:val="22"/>
          </w:rPr>
          <w:fldChar w:fldCharType="end"/>
        </w:r>
      </w:hyperlink>
      <w:r w:rsidR="00DA0F96">
        <w:rPr>
          <w:noProof/>
          <w:sz w:val="22"/>
          <w:szCs w:val="22"/>
        </w:rPr>
        <w:t>5</w:t>
      </w:r>
    </w:p>
    <w:p w14:paraId="1406A18E" w14:textId="68C96C12" w:rsidR="00057B5C" w:rsidRPr="005A1455" w:rsidRDefault="005A1455" w:rsidP="00057B5C">
      <w:pPr>
        <w:pStyle w:val="TOC2"/>
        <w:rPr>
          <w:noProof/>
        </w:rPr>
      </w:pPr>
      <w:hyperlink w:anchor="_Toc168394449" w:history="1">
        <w:r w:rsidRPr="005A1455">
          <w:rPr>
            <w:rStyle w:val="Hyperlink"/>
            <w:noProof/>
            <w:sz w:val="22"/>
            <w:szCs w:val="22"/>
          </w:rPr>
          <w:t>2.1.</w:t>
        </w:r>
        <w:r w:rsidRPr="005A1455">
          <w:rPr>
            <w:noProof/>
          </w:rPr>
          <w:tab/>
        </w:r>
        <w:r w:rsidRPr="005A1455">
          <w:rPr>
            <w:rStyle w:val="Hyperlink"/>
            <w:noProof/>
            <w:sz w:val="22"/>
            <w:szCs w:val="22"/>
          </w:rPr>
          <w:t>search strategy</w:t>
        </w:r>
        <w:r w:rsidRPr="005A1455">
          <w:rPr>
            <w:noProof/>
            <w:webHidden/>
          </w:rPr>
          <w:tab/>
        </w:r>
        <w:r w:rsidR="00057B5C" w:rsidRPr="005A1455">
          <w:rPr>
            <w:noProof/>
            <w:webHidden/>
          </w:rPr>
          <w:fldChar w:fldCharType="begin"/>
        </w:r>
        <w:r w:rsidR="00057B5C" w:rsidRPr="005A1455">
          <w:rPr>
            <w:noProof/>
            <w:webHidden/>
          </w:rPr>
          <w:instrText xml:space="preserve"> PAGEREF _Toc168394449 \h </w:instrText>
        </w:r>
        <w:r w:rsidR="00057B5C" w:rsidRPr="005A1455">
          <w:rPr>
            <w:noProof/>
            <w:webHidden/>
          </w:rPr>
        </w:r>
        <w:r w:rsidR="00057B5C" w:rsidRPr="005A1455">
          <w:rPr>
            <w:noProof/>
            <w:webHidden/>
          </w:rPr>
          <w:fldChar w:fldCharType="separate"/>
        </w:r>
        <w:r w:rsidRPr="005A1455">
          <w:rPr>
            <w:noProof/>
            <w:webHidden/>
          </w:rPr>
          <w:t>1</w:t>
        </w:r>
        <w:r w:rsidR="00057B5C" w:rsidRPr="005A1455">
          <w:rPr>
            <w:noProof/>
            <w:webHidden/>
          </w:rPr>
          <w:fldChar w:fldCharType="end"/>
        </w:r>
      </w:hyperlink>
      <w:r w:rsidR="00DA0F96">
        <w:rPr>
          <w:noProof/>
        </w:rPr>
        <w:t>5</w:t>
      </w:r>
    </w:p>
    <w:p w14:paraId="5D707A9C" w14:textId="4FF4A5AF" w:rsidR="00057B5C" w:rsidRPr="005A1455" w:rsidRDefault="005A1455" w:rsidP="00057B5C">
      <w:pPr>
        <w:pStyle w:val="TOC2"/>
        <w:rPr>
          <w:noProof/>
        </w:rPr>
      </w:pPr>
      <w:hyperlink w:anchor="_Toc168394450" w:history="1">
        <w:r w:rsidRPr="005A1455">
          <w:rPr>
            <w:rStyle w:val="Hyperlink"/>
            <w:noProof/>
            <w:sz w:val="22"/>
            <w:szCs w:val="22"/>
          </w:rPr>
          <w:t>2.2.</w:t>
        </w:r>
        <w:r w:rsidRPr="005A1455">
          <w:rPr>
            <w:noProof/>
          </w:rPr>
          <w:tab/>
        </w:r>
        <w:r w:rsidRPr="005A1455">
          <w:rPr>
            <w:rStyle w:val="Hyperlink"/>
            <w:noProof/>
            <w:sz w:val="22"/>
            <w:szCs w:val="22"/>
          </w:rPr>
          <w:t>selection criteria</w:t>
        </w:r>
        <w:r w:rsidRPr="005A1455">
          <w:rPr>
            <w:noProof/>
            <w:webHidden/>
          </w:rPr>
          <w:tab/>
        </w:r>
        <w:r w:rsidR="00057B5C" w:rsidRPr="005A1455">
          <w:rPr>
            <w:noProof/>
            <w:webHidden/>
          </w:rPr>
          <w:fldChar w:fldCharType="begin"/>
        </w:r>
        <w:r w:rsidR="00057B5C" w:rsidRPr="005A1455">
          <w:rPr>
            <w:noProof/>
            <w:webHidden/>
          </w:rPr>
          <w:instrText xml:space="preserve"> PAGEREF _Toc168394450 \h </w:instrText>
        </w:r>
        <w:r w:rsidR="00057B5C" w:rsidRPr="005A1455">
          <w:rPr>
            <w:noProof/>
            <w:webHidden/>
          </w:rPr>
        </w:r>
        <w:r w:rsidR="00057B5C" w:rsidRPr="005A1455">
          <w:rPr>
            <w:noProof/>
            <w:webHidden/>
          </w:rPr>
          <w:fldChar w:fldCharType="separate"/>
        </w:r>
        <w:r w:rsidRPr="005A1455">
          <w:rPr>
            <w:noProof/>
            <w:webHidden/>
          </w:rPr>
          <w:t>1</w:t>
        </w:r>
        <w:r w:rsidR="00057B5C" w:rsidRPr="005A1455">
          <w:rPr>
            <w:noProof/>
            <w:webHidden/>
          </w:rPr>
          <w:fldChar w:fldCharType="end"/>
        </w:r>
      </w:hyperlink>
      <w:r w:rsidR="00DA0F96">
        <w:rPr>
          <w:noProof/>
        </w:rPr>
        <w:t>6</w:t>
      </w:r>
    </w:p>
    <w:p w14:paraId="3F1C8B16" w14:textId="435DBB52" w:rsidR="00057B5C" w:rsidRPr="005A1455" w:rsidRDefault="005A1455" w:rsidP="00057B5C">
      <w:pPr>
        <w:pStyle w:val="TOC2"/>
        <w:rPr>
          <w:noProof/>
        </w:rPr>
      </w:pPr>
      <w:hyperlink w:anchor="_Toc168394451" w:history="1">
        <w:r w:rsidRPr="005A1455">
          <w:rPr>
            <w:rStyle w:val="Hyperlink"/>
            <w:noProof/>
            <w:sz w:val="22"/>
            <w:szCs w:val="22"/>
          </w:rPr>
          <w:t>2.3.</w:t>
        </w:r>
        <w:r w:rsidRPr="005A1455">
          <w:rPr>
            <w:noProof/>
          </w:rPr>
          <w:tab/>
        </w:r>
        <w:r w:rsidRPr="005A1455">
          <w:rPr>
            <w:rStyle w:val="Hyperlink"/>
            <w:noProof/>
            <w:sz w:val="22"/>
            <w:szCs w:val="22"/>
          </w:rPr>
          <w:t>data extraction, analysis, and narrative synthesis</w:t>
        </w:r>
        <w:r w:rsidRPr="005A1455">
          <w:rPr>
            <w:noProof/>
            <w:webHidden/>
          </w:rPr>
          <w:tab/>
        </w:r>
        <w:r w:rsidR="00057B5C" w:rsidRPr="005A1455">
          <w:rPr>
            <w:noProof/>
            <w:webHidden/>
          </w:rPr>
          <w:fldChar w:fldCharType="begin"/>
        </w:r>
        <w:r w:rsidR="00057B5C" w:rsidRPr="005A1455">
          <w:rPr>
            <w:noProof/>
            <w:webHidden/>
          </w:rPr>
          <w:instrText xml:space="preserve"> PAGEREF _Toc168394451 \h </w:instrText>
        </w:r>
        <w:r w:rsidR="00057B5C" w:rsidRPr="005A1455">
          <w:rPr>
            <w:noProof/>
            <w:webHidden/>
          </w:rPr>
        </w:r>
        <w:r w:rsidR="00057B5C" w:rsidRPr="005A1455">
          <w:rPr>
            <w:noProof/>
            <w:webHidden/>
          </w:rPr>
          <w:fldChar w:fldCharType="separate"/>
        </w:r>
        <w:r w:rsidRPr="005A1455">
          <w:rPr>
            <w:noProof/>
            <w:webHidden/>
          </w:rPr>
          <w:t>1</w:t>
        </w:r>
        <w:r w:rsidR="00057B5C" w:rsidRPr="005A1455">
          <w:rPr>
            <w:noProof/>
            <w:webHidden/>
          </w:rPr>
          <w:fldChar w:fldCharType="end"/>
        </w:r>
      </w:hyperlink>
      <w:r w:rsidR="00DA0F96">
        <w:rPr>
          <w:noProof/>
        </w:rPr>
        <w:t>7</w:t>
      </w:r>
    </w:p>
    <w:p w14:paraId="4510B1B8" w14:textId="07E9A4D6" w:rsidR="00057B5C" w:rsidRPr="005A1455" w:rsidRDefault="005A1455" w:rsidP="00057B5C">
      <w:pPr>
        <w:pStyle w:val="TOC2"/>
        <w:rPr>
          <w:noProof/>
        </w:rPr>
      </w:pPr>
      <w:hyperlink w:anchor="_Toc168394452" w:history="1">
        <w:r w:rsidRPr="005A1455">
          <w:rPr>
            <w:rStyle w:val="Hyperlink"/>
            <w:noProof/>
            <w:sz w:val="22"/>
            <w:szCs w:val="22"/>
          </w:rPr>
          <w:t>2.4.</w:t>
        </w:r>
        <w:r w:rsidRPr="005A1455">
          <w:rPr>
            <w:noProof/>
          </w:rPr>
          <w:tab/>
        </w:r>
        <w:r w:rsidRPr="005A1455">
          <w:rPr>
            <w:rStyle w:val="Hyperlink"/>
            <w:noProof/>
            <w:sz w:val="22"/>
            <w:szCs w:val="22"/>
          </w:rPr>
          <w:t>quality assessment</w:t>
        </w:r>
        <w:r w:rsidRPr="005A1455">
          <w:rPr>
            <w:noProof/>
            <w:webHidden/>
          </w:rPr>
          <w:tab/>
        </w:r>
        <w:r w:rsidR="00057B5C" w:rsidRPr="005A1455">
          <w:rPr>
            <w:noProof/>
            <w:webHidden/>
          </w:rPr>
          <w:fldChar w:fldCharType="begin"/>
        </w:r>
        <w:r w:rsidR="00057B5C" w:rsidRPr="005A1455">
          <w:rPr>
            <w:noProof/>
            <w:webHidden/>
          </w:rPr>
          <w:instrText xml:space="preserve"> PAGEREF _Toc168394452 \h </w:instrText>
        </w:r>
        <w:r w:rsidR="00057B5C" w:rsidRPr="005A1455">
          <w:rPr>
            <w:noProof/>
            <w:webHidden/>
          </w:rPr>
        </w:r>
        <w:r w:rsidR="00057B5C" w:rsidRPr="005A1455">
          <w:rPr>
            <w:noProof/>
            <w:webHidden/>
          </w:rPr>
          <w:fldChar w:fldCharType="separate"/>
        </w:r>
        <w:r w:rsidRPr="005A1455">
          <w:rPr>
            <w:noProof/>
            <w:webHidden/>
          </w:rPr>
          <w:t>20</w:t>
        </w:r>
        <w:r w:rsidR="00057B5C" w:rsidRPr="005A1455">
          <w:rPr>
            <w:noProof/>
            <w:webHidden/>
          </w:rPr>
          <w:fldChar w:fldCharType="end"/>
        </w:r>
      </w:hyperlink>
    </w:p>
    <w:p w14:paraId="2C7EBACF" w14:textId="15912D72" w:rsidR="00057B5C" w:rsidRPr="005A1455" w:rsidRDefault="00057B5C">
      <w:pPr>
        <w:pStyle w:val="TOC1"/>
        <w:tabs>
          <w:tab w:val="left" w:pos="440"/>
          <w:tab w:val="right" w:leader="dot" w:pos="9016"/>
        </w:tabs>
        <w:rPr>
          <w:b w:val="0"/>
          <w:bCs w:val="0"/>
          <w:caps w:val="0"/>
          <w:noProof/>
          <w:sz w:val="22"/>
          <w:szCs w:val="22"/>
        </w:rPr>
      </w:pPr>
      <w:hyperlink w:anchor="_Toc168394453" w:history="1">
        <w:r w:rsidRPr="005A1455">
          <w:rPr>
            <w:rStyle w:val="Hyperlink"/>
            <w:noProof/>
            <w:sz w:val="22"/>
            <w:szCs w:val="22"/>
          </w:rPr>
          <w:t>3.</w:t>
        </w:r>
        <w:r w:rsidRPr="005A1455">
          <w:rPr>
            <w:b w:val="0"/>
            <w:bCs w:val="0"/>
            <w:caps w:val="0"/>
            <w:noProof/>
            <w:sz w:val="22"/>
            <w:szCs w:val="22"/>
          </w:rPr>
          <w:tab/>
        </w:r>
        <w:r w:rsidR="005A1455" w:rsidRPr="005A1455">
          <w:rPr>
            <w:rStyle w:val="Hyperlink"/>
            <w:caps w:val="0"/>
            <w:noProof/>
            <w:sz w:val="22"/>
            <w:szCs w:val="22"/>
          </w:rPr>
          <w:t>Results</w:t>
        </w:r>
        <w:r w:rsidRPr="005A1455">
          <w:rPr>
            <w:noProof/>
            <w:webHidden/>
            <w:sz w:val="22"/>
            <w:szCs w:val="22"/>
          </w:rPr>
          <w:tab/>
        </w:r>
        <w:r w:rsidRPr="005A1455">
          <w:rPr>
            <w:noProof/>
            <w:webHidden/>
            <w:sz w:val="22"/>
            <w:szCs w:val="22"/>
          </w:rPr>
          <w:fldChar w:fldCharType="begin"/>
        </w:r>
        <w:r w:rsidRPr="005A1455">
          <w:rPr>
            <w:noProof/>
            <w:webHidden/>
            <w:sz w:val="22"/>
            <w:szCs w:val="22"/>
          </w:rPr>
          <w:instrText xml:space="preserve"> PAGEREF _Toc168394453 \h </w:instrText>
        </w:r>
        <w:r w:rsidRPr="005A1455">
          <w:rPr>
            <w:noProof/>
            <w:webHidden/>
            <w:sz w:val="22"/>
            <w:szCs w:val="22"/>
          </w:rPr>
        </w:r>
        <w:r w:rsidRPr="005A1455">
          <w:rPr>
            <w:noProof/>
            <w:webHidden/>
            <w:sz w:val="22"/>
            <w:szCs w:val="22"/>
          </w:rPr>
          <w:fldChar w:fldCharType="separate"/>
        </w:r>
        <w:r w:rsidR="00DA0F96">
          <w:rPr>
            <w:noProof/>
            <w:webHidden/>
            <w:sz w:val="22"/>
            <w:szCs w:val="22"/>
          </w:rPr>
          <w:t>19</w:t>
        </w:r>
        <w:r w:rsidRPr="005A1455">
          <w:rPr>
            <w:noProof/>
            <w:webHidden/>
            <w:sz w:val="22"/>
            <w:szCs w:val="22"/>
          </w:rPr>
          <w:fldChar w:fldCharType="end"/>
        </w:r>
      </w:hyperlink>
    </w:p>
    <w:p w14:paraId="14D15E4F" w14:textId="715511FA" w:rsidR="00057B5C" w:rsidRPr="005A1455" w:rsidRDefault="005A1455" w:rsidP="00057B5C">
      <w:pPr>
        <w:pStyle w:val="TOC2"/>
        <w:rPr>
          <w:noProof/>
        </w:rPr>
      </w:pPr>
      <w:hyperlink w:anchor="_Toc168394454" w:history="1">
        <w:r w:rsidRPr="005A1455">
          <w:rPr>
            <w:rStyle w:val="Hyperlink"/>
            <w:noProof/>
            <w:sz w:val="22"/>
            <w:szCs w:val="22"/>
          </w:rPr>
          <w:t>3.1.</w:t>
        </w:r>
        <w:r w:rsidRPr="005A1455">
          <w:rPr>
            <w:noProof/>
          </w:rPr>
          <w:tab/>
        </w:r>
        <w:r w:rsidRPr="005A1455">
          <w:rPr>
            <w:rStyle w:val="Hyperlink"/>
            <w:noProof/>
            <w:sz w:val="22"/>
            <w:szCs w:val="22"/>
          </w:rPr>
          <w:t>screening process and papers included</w:t>
        </w:r>
        <w:r w:rsidRPr="005A1455">
          <w:rPr>
            <w:noProof/>
            <w:webHidden/>
          </w:rPr>
          <w:tab/>
        </w:r>
      </w:hyperlink>
      <w:r w:rsidR="00DA0F96">
        <w:rPr>
          <w:noProof/>
        </w:rPr>
        <w:t>19</w:t>
      </w:r>
    </w:p>
    <w:p w14:paraId="3F1BBEA3" w14:textId="28F9769D" w:rsidR="00057B5C" w:rsidRPr="005A1455" w:rsidRDefault="005A1455" w:rsidP="00057B5C">
      <w:pPr>
        <w:pStyle w:val="TOC2"/>
        <w:rPr>
          <w:noProof/>
        </w:rPr>
      </w:pPr>
      <w:hyperlink w:anchor="_Toc168394455" w:history="1">
        <w:r w:rsidRPr="005A1455">
          <w:rPr>
            <w:rStyle w:val="Hyperlink"/>
            <w:noProof/>
            <w:sz w:val="22"/>
            <w:szCs w:val="22"/>
          </w:rPr>
          <w:t>3.2.</w:t>
        </w:r>
        <w:r w:rsidRPr="005A1455">
          <w:rPr>
            <w:noProof/>
          </w:rPr>
          <w:tab/>
        </w:r>
        <w:r w:rsidRPr="005A1455">
          <w:rPr>
            <w:rStyle w:val="Hyperlink"/>
            <w:noProof/>
            <w:sz w:val="22"/>
            <w:szCs w:val="22"/>
          </w:rPr>
          <w:t>reporting of sex and gender</w:t>
        </w:r>
        <w:r w:rsidRPr="005A1455">
          <w:rPr>
            <w:noProof/>
            <w:webHidden/>
          </w:rPr>
          <w:tab/>
        </w:r>
        <w:r w:rsidR="00DA0F96">
          <w:rPr>
            <w:noProof/>
            <w:webHidden/>
          </w:rPr>
          <w:t>20</w:t>
        </w:r>
      </w:hyperlink>
    </w:p>
    <w:p w14:paraId="266D4710" w14:textId="3AC720EB" w:rsidR="00057B5C" w:rsidRPr="005A1455" w:rsidRDefault="005A1455" w:rsidP="00057B5C">
      <w:pPr>
        <w:pStyle w:val="TOC2"/>
        <w:rPr>
          <w:noProof/>
        </w:rPr>
      </w:pPr>
      <w:hyperlink w:anchor="_Toc168394456" w:history="1">
        <w:r w:rsidRPr="005A1455">
          <w:rPr>
            <w:rStyle w:val="Hyperlink"/>
            <w:noProof/>
            <w:sz w:val="22"/>
            <w:szCs w:val="22"/>
          </w:rPr>
          <w:t>3.3.</w:t>
        </w:r>
        <w:r w:rsidRPr="005A1455">
          <w:rPr>
            <w:noProof/>
          </w:rPr>
          <w:tab/>
        </w:r>
        <w:r w:rsidRPr="005A1455">
          <w:rPr>
            <w:rStyle w:val="Hyperlink"/>
            <w:noProof/>
            <w:sz w:val="22"/>
            <w:szCs w:val="22"/>
          </w:rPr>
          <w:t>question 1: what are the barriers to gender equity in healthcare and services experienced by women in australia?</w:t>
        </w:r>
        <w:r w:rsidRPr="005A1455">
          <w:rPr>
            <w:noProof/>
            <w:webHidden/>
          </w:rPr>
          <w:tab/>
        </w:r>
        <w:r w:rsidR="00057B5C" w:rsidRPr="005A1455">
          <w:rPr>
            <w:noProof/>
            <w:webHidden/>
          </w:rPr>
          <w:fldChar w:fldCharType="begin"/>
        </w:r>
        <w:r w:rsidR="00057B5C" w:rsidRPr="005A1455">
          <w:rPr>
            <w:noProof/>
            <w:webHidden/>
          </w:rPr>
          <w:instrText xml:space="preserve"> PAGEREF _Toc168394456 \h </w:instrText>
        </w:r>
        <w:r w:rsidR="00057B5C" w:rsidRPr="005A1455">
          <w:rPr>
            <w:noProof/>
            <w:webHidden/>
          </w:rPr>
        </w:r>
        <w:r w:rsidR="00057B5C" w:rsidRPr="005A1455">
          <w:rPr>
            <w:noProof/>
            <w:webHidden/>
          </w:rPr>
          <w:fldChar w:fldCharType="separate"/>
        </w:r>
        <w:r w:rsidRPr="005A1455">
          <w:rPr>
            <w:noProof/>
            <w:webHidden/>
          </w:rPr>
          <w:t>2</w:t>
        </w:r>
        <w:r w:rsidR="00057B5C" w:rsidRPr="005A1455">
          <w:rPr>
            <w:noProof/>
            <w:webHidden/>
          </w:rPr>
          <w:fldChar w:fldCharType="end"/>
        </w:r>
      </w:hyperlink>
      <w:r w:rsidR="00DA0F96">
        <w:rPr>
          <w:noProof/>
        </w:rPr>
        <w:t>1</w:t>
      </w:r>
    </w:p>
    <w:p w14:paraId="00FA4B9E" w14:textId="14A386A4" w:rsidR="00057B5C" w:rsidRPr="005A1455" w:rsidRDefault="005A1455" w:rsidP="00057B5C">
      <w:pPr>
        <w:pStyle w:val="TOC2"/>
        <w:rPr>
          <w:noProof/>
        </w:rPr>
      </w:pPr>
      <w:hyperlink w:anchor="_Toc168394458" w:history="1">
        <w:r w:rsidRPr="005A1455">
          <w:rPr>
            <w:rStyle w:val="Hyperlink"/>
            <w:noProof/>
            <w:sz w:val="22"/>
            <w:szCs w:val="22"/>
          </w:rPr>
          <w:t>3.4.</w:t>
        </w:r>
        <w:r w:rsidRPr="005A1455">
          <w:rPr>
            <w:noProof/>
          </w:rPr>
          <w:tab/>
        </w:r>
        <w:r w:rsidRPr="005A1455">
          <w:rPr>
            <w:rStyle w:val="Hyperlink"/>
            <w:noProof/>
            <w:sz w:val="22"/>
            <w:szCs w:val="22"/>
          </w:rPr>
          <w:t>question 2: are there clinical guidelines, medical treatments, devices and diagnostic tools that do not take into account sex and gender differences?</w:t>
        </w:r>
        <w:r w:rsidRPr="005A1455">
          <w:rPr>
            <w:noProof/>
            <w:webHidden/>
          </w:rPr>
          <w:tab/>
        </w:r>
        <w:r w:rsidR="00057B5C" w:rsidRPr="005A1455">
          <w:rPr>
            <w:noProof/>
            <w:webHidden/>
          </w:rPr>
          <w:fldChar w:fldCharType="begin"/>
        </w:r>
        <w:r w:rsidR="00057B5C" w:rsidRPr="005A1455">
          <w:rPr>
            <w:noProof/>
            <w:webHidden/>
          </w:rPr>
          <w:instrText xml:space="preserve"> PAGEREF _Toc168394458 \h </w:instrText>
        </w:r>
        <w:r w:rsidR="00057B5C" w:rsidRPr="005A1455">
          <w:rPr>
            <w:noProof/>
            <w:webHidden/>
          </w:rPr>
        </w:r>
        <w:r w:rsidR="00057B5C" w:rsidRPr="005A1455">
          <w:rPr>
            <w:noProof/>
            <w:webHidden/>
          </w:rPr>
          <w:fldChar w:fldCharType="separate"/>
        </w:r>
        <w:r w:rsidRPr="005A1455">
          <w:rPr>
            <w:noProof/>
            <w:webHidden/>
          </w:rPr>
          <w:t>2</w:t>
        </w:r>
        <w:r w:rsidR="00057B5C" w:rsidRPr="005A1455">
          <w:rPr>
            <w:noProof/>
            <w:webHidden/>
          </w:rPr>
          <w:fldChar w:fldCharType="end"/>
        </w:r>
      </w:hyperlink>
      <w:r w:rsidR="00DA0F96">
        <w:rPr>
          <w:noProof/>
        </w:rPr>
        <w:t>5</w:t>
      </w:r>
    </w:p>
    <w:p w14:paraId="1D339CA8" w14:textId="11BA7416" w:rsidR="00057B5C" w:rsidRPr="005A1455" w:rsidRDefault="005A1455" w:rsidP="00057B5C">
      <w:pPr>
        <w:pStyle w:val="TOC2"/>
        <w:rPr>
          <w:noProof/>
        </w:rPr>
      </w:pPr>
      <w:hyperlink w:anchor="_Toc168394459" w:history="1">
        <w:r w:rsidRPr="005A1455">
          <w:rPr>
            <w:rStyle w:val="Hyperlink"/>
            <w:noProof/>
            <w:sz w:val="22"/>
            <w:szCs w:val="22"/>
          </w:rPr>
          <w:t>3.5.</w:t>
        </w:r>
        <w:r w:rsidRPr="005A1455">
          <w:rPr>
            <w:noProof/>
          </w:rPr>
          <w:tab/>
        </w:r>
        <w:r w:rsidRPr="005A1455">
          <w:rPr>
            <w:rStyle w:val="Hyperlink"/>
            <w:noProof/>
            <w:sz w:val="22"/>
            <w:szCs w:val="22"/>
          </w:rPr>
          <w:t>question 3: what existing measures, health promotion tools, interventions, or programs are there in australia and overseas that apply a gendered approach?</w:t>
        </w:r>
        <w:r w:rsidRPr="005A1455">
          <w:rPr>
            <w:noProof/>
            <w:webHidden/>
          </w:rPr>
          <w:tab/>
        </w:r>
        <w:r w:rsidR="00057B5C" w:rsidRPr="005A1455">
          <w:rPr>
            <w:noProof/>
            <w:webHidden/>
          </w:rPr>
          <w:fldChar w:fldCharType="begin"/>
        </w:r>
        <w:r w:rsidR="00057B5C" w:rsidRPr="005A1455">
          <w:rPr>
            <w:noProof/>
            <w:webHidden/>
          </w:rPr>
          <w:instrText xml:space="preserve"> PAGEREF _Toc168394459 \h </w:instrText>
        </w:r>
        <w:r w:rsidR="00057B5C" w:rsidRPr="005A1455">
          <w:rPr>
            <w:noProof/>
            <w:webHidden/>
          </w:rPr>
        </w:r>
        <w:r w:rsidR="00057B5C" w:rsidRPr="005A1455">
          <w:rPr>
            <w:noProof/>
            <w:webHidden/>
          </w:rPr>
          <w:fldChar w:fldCharType="separate"/>
        </w:r>
        <w:r w:rsidR="00057B5C" w:rsidRPr="005A1455">
          <w:rPr>
            <w:noProof/>
            <w:webHidden/>
          </w:rPr>
          <w:fldChar w:fldCharType="end"/>
        </w:r>
      </w:hyperlink>
      <w:r w:rsidR="00DA0F96">
        <w:rPr>
          <w:noProof/>
        </w:rPr>
        <w:t>28</w:t>
      </w:r>
    </w:p>
    <w:p w14:paraId="600D8B9B" w14:textId="6D5EB4F2" w:rsidR="00057B5C" w:rsidRPr="005A1455" w:rsidRDefault="005A1455" w:rsidP="00057B5C">
      <w:pPr>
        <w:pStyle w:val="TOC2"/>
        <w:rPr>
          <w:noProof/>
        </w:rPr>
      </w:pPr>
      <w:hyperlink w:anchor="_Toc168394460" w:history="1">
        <w:r w:rsidRPr="005A1455">
          <w:rPr>
            <w:rStyle w:val="Hyperlink"/>
            <w:noProof/>
            <w:sz w:val="22"/>
            <w:szCs w:val="22"/>
          </w:rPr>
          <w:t>3.6.</w:t>
        </w:r>
        <w:r w:rsidRPr="005A1455">
          <w:rPr>
            <w:noProof/>
          </w:rPr>
          <w:tab/>
        </w:r>
        <w:r w:rsidRPr="005A1455">
          <w:rPr>
            <w:rStyle w:val="Hyperlink"/>
            <w:noProof/>
            <w:sz w:val="22"/>
            <w:szCs w:val="22"/>
          </w:rPr>
          <w:t>question 4: are there any existing measures, health promotion tools, interventions, or programs that could be tailored and piloted nationally to improve health equity and health literacy for women in priority populations?</w:t>
        </w:r>
        <w:r w:rsidRPr="005A1455">
          <w:rPr>
            <w:noProof/>
            <w:webHidden/>
          </w:rPr>
          <w:tab/>
        </w:r>
        <w:r w:rsidR="00057B5C" w:rsidRPr="005A1455">
          <w:rPr>
            <w:noProof/>
            <w:webHidden/>
          </w:rPr>
          <w:fldChar w:fldCharType="begin"/>
        </w:r>
        <w:r w:rsidR="00057B5C" w:rsidRPr="005A1455">
          <w:rPr>
            <w:noProof/>
            <w:webHidden/>
          </w:rPr>
          <w:instrText xml:space="preserve"> PAGEREF _Toc168394460 \h </w:instrText>
        </w:r>
        <w:r w:rsidR="00057B5C" w:rsidRPr="005A1455">
          <w:rPr>
            <w:noProof/>
            <w:webHidden/>
          </w:rPr>
        </w:r>
        <w:r w:rsidR="00057B5C" w:rsidRPr="005A1455">
          <w:rPr>
            <w:noProof/>
            <w:webHidden/>
          </w:rPr>
          <w:fldChar w:fldCharType="separate"/>
        </w:r>
        <w:r w:rsidRPr="005A1455">
          <w:rPr>
            <w:noProof/>
            <w:webHidden/>
          </w:rPr>
          <w:t>3</w:t>
        </w:r>
        <w:r w:rsidR="00057B5C" w:rsidRPr="005A1455">
          <w:rPr>
            <w:noProof/>
            <w:webHidden/>
          </w:rPr>
          <w:fldChar w:fldCharType="end"/>
        </w:r>
      </w:hyperlink>
      <w:r w:rsidR="00DA0F96">
        <w:rPr>
          <w:noProof/>
        </w:rPr>
        <w:t>1</w:t>
      </w:r>
    </w:p>
    <w:p w14:paraId="02B1B5F5" w14:textId="616B42C9" w:rsidR="00057B5C" w:rsidRPr="005A1455" w:rsidRDefault="005A1455" w:rsidP="00057B5C">
      <w:pPr>
        <w:pStyle w:val="TOC2"/>
        <w:rPr>
          <w:noProof/>
        </w:rPr>
      </w:pPr>
      <w:hyperlink w:anchor="_Toc168394461" w:history="1">
        <w:r w:rsidRPr="005A1455">
          <w:rPr>
            <w:rStyle w:val="Hyperlink"/>
            <w:noProof/>
            <w:sz w:val="22"/>
            <w:szCs w:val="22"/>
          </w:rPr>
          <w:t>3.7.</w:t>
        </w:r>
        <w:r w:rsidRPr="005A1455">
          <w:rPr>
            <w:noProof/>
          </w:rPr>
          <w:tab/>
        </w:r>
        <w:r w:rsidRPr="005A1455">
          <w:rPr>
            <w:rStyle w:val="Hyperlink"/>
            <w:noProof/>
            <w:sz w:val="22"/>
            <w:szCs w:val="22"/>
          </w:rPr>
          <w:t>question 5: what are the gaps in data collection? (e.g., instances where standard reporting does not include disaggregation by sex and/or gender and identify disparities in health outcomes on the basis of sex.)</w:t>
        </w:r>
        <w:r w:rsidRPr="005A1455">
          <w:rPr>
            <w:noProof/>
            <w:webHidden/>
          </w:rPr>
          <w:tab/>
        </w:r>
        <w:r w:rsidR="00057B5C" w:rsidRPr="005A1455">
          <w:rPr>
            <w:noProof/>
            <w:webHidden/>
          </w:rPr>
          <w:fldChar w:fldCharType="begin"/>
        </w:r>
        <w:r w:rsidR="00057B5C" w:rsidRPr="005A1455">
          <w:rPr>
            <w:noProof/>
            <w:webHidden/>
          </w:rPr>
          <w:instrText xml:space="preserve"> PAGEREF _Toc168394461 \h </w:instrText>
        </w:r>
        <w:r w:rsidR="00057B5C" w:rsidRPr="005A1455">
          <w:rPr>
            <w:noProof/>
            <w:webHidden/>
          </w:rPr>
        </w:r>
        <w:r w:rsidR="00057B5C" w:rsidRPr="005A1455">
          <w:rPr>
            <w:noProof/>
            <w:webHidden/>
          </w:rPr>
          <w:fldChar w:fldCharType="separate"/>
        </w:r>
        <w:r w:rsidRPr="005A1455">
          <w:rPr>
            <w:noProof/>
            <w:webHidden/>
          </w:rPr>
          <w:t>3</w:t>
        </w:r>
        <w:r w:rsidR="00057B5C" w:rsidRPr="005A1455">
          <w:rPr>
            <w:noProof/>
            <w:webHidden/>
          </w:rPr>
          <w:fldChar w:fldCharType="end"/>
        </w:r>
      </w:hyperlink>
      <w:r w:rsidR="00DA0F96">
        <w:rPr>
          <w:noProof/>
        </w:rPr>
        <w:t>3</w:t>
      </w:r>
    </w:p>
    <w:p w14:paraId="2AFFD5FE" w14:textId="07F0FDE1" w:rsidR="00057B5C" w:rsidRPr="005A1455" w:rsidRDefault="00057B5C">
      <w:pPr>
        <w:pStyle w:val="TOC1"/>
        <w:tabs>
          <w:tab w:val="left" w:pos="440"/>
          <w:tab w:val="right" w:leader="dot" w:pos="9016"/>
        </w:tabs>
        <w:rPr>
          <w:b w:val="0"/>
          <w:bCs w:val="0"/>
          <w:caps w:val="0"/>
          <w:noProof/>
          <w:sz w:val="22"/>
          <w:szCs w:val="22"/>
        </w:rPr>
      </w:pPr>
      <w:hyperlink w:anchor="_Toc168394463" w:history="1">
        <w:r w:rsidRPr="005A1455">
          <w:rPr>
            <w:rStyle w:val="Hyperlink"/>
            <w:noProof/>
            <w:sz w:val="22"/>
            <w:szCs w:val="22"/>
          </w:rPr>
          <w:t>4.</w:t>
        </w:r>
        <w:r w:rsidRPr="005A1455">
          <w:rPr>
            <w:b w:val="0"/>
            <w:bCs w:val="0"/>
            <w:caps w:val="0"/>
            <w:noProof/>
            <w:sz w:val="22"/>
            <w:szCs w:val="22"/>
          </w:rPr>
          <w:tab/>
        </w:r>
        <w:r w:rsidR="005A1455" w:rsidRPr="005A1455">
          <w:rPr>
            <w:rStyle w:val="Hyperlink"/>
            <w:caps w:val="0"/>
            <w:noProof/>
            <w:sz w:val="22"/>
            <w:szCs w:val="22"/>
          </w:rPr>
          <w:t>Conclusion</w:t>
        </w:r>
        <w:r w:rsidRPr="005A1455">
          <w:rPr>
            <w:noProof/>
            <w:webHidden/>
            <w:sz w:val="22"/>
            <w:szCs w:val="22"/>
          </w:rPr>
          <w:tab/>
        </w:r>
        <w:r w:rsidRPr="005A1455">
          <w:rPr>
            <w:noProof/>
            <w:webHidden/>
            <w:sz w:val="22"/>
            <w:szCs w:val="22"/>
          </w:rPr>
          <w:fldChar w:fldCharType="begin"/>
        </w:r>
        <w:r w:rsidRPr="005A1455">
          <w:rPr>
            <w:noProof/>
            <w:webHidden/>
            <w:sz w:val="22"/>
            <w:szCs w:val="22"/>
          </w:rPr>
          <w:instrText xml:space="preserve"> PAGEREF _Toc168394463 \h </w:instrText>
        </w:r>
        <w:r w:rsidRPr="005A1455">
          <w:rPr>
            <w:noProof/>
            <w:webHidden/>
            <w:sz w:val="22"/>
            <w:szCs w:val="22"/>
          </w:rPr>
        </w:r>
        <w:r w:rsidRPr="005A1455">
          <w:rPr>
            <w:noProof/>
            <w:webHidden/>
            <w:sz w:val="22"/>
            <w:szCs w:val="22"/>
          </w:rPr>
          <w:fldChar w:fldCharType="separate"/>
        </w:r>
        <w:r w:rsidR="00BB5AD5" w:rsidRPr="005A1455">
          <w:rPr>
            <w:noProof/>
            <w:webHidden/>
            <w:sz w:val="22"/>
            <w:szCs w:val="22"/>
          </w:rPr>
          <w:t>3</w:t>
        </w:r>
        <w:r w:rsidRPr="005A1455">
          <w:rPr>
            <w:noProof/>
            <w:webHidden/>
            <w:sz w:val="22"/>
            <w:szCs w:val="22"/>
          </w:rPr>
          <w:fldChar w:fldCharType="end"/>
        </w:r>
      </w:hyperlink>
      <w:r w:rsidR="00DA0F96">
        <w:rPr>
          <w:noProof/>
          <w:sz w:val="22"/>
          <w:szCs w:val="22"/>
        </w:rPr>
        <w:t>6</w:t>
      </w:r>
    </w:p>
    <w:p w14:paraId="33C13396" w14:textId="5C983CA1" w:rsidR="00057B5C" w:rsidRPr="005A1455" w:rsidRDefault="00057B5C">
      <w:pPr>
        <w:pStyle w:val="TOC1"/>
        <w:tabs>
          <w:tab w:val="left" w:pos="440"/>
          <w:tab w:val="right" w:leader="dot" w:pos="9016"/>
        </w:tabs>
        <w:rPr>
          <w:b w:val="0"/>
          <w:bCs w:val="0"/>
          <w:caps w:val="0"/>
          <w:noProof/>
          <w:sz w:val="22"/>
          <w:szCs w:val="22"/>
        </w:rPr>
      </w:pPr>
      <w:hyperlink w:anchor="_Toc168394464" w:history="1">
        <w:r w:rsidRPr="005A1455">
          <w:rPr>
            <w:rStyle w:val="Hyperlink"/>
            <w:noProof/>
            <w:sz w:val="22"/>
            <w:szCs w:val="22"/>
          </w:rPr>
          <w:t>5.</w:t>
        </w:r>
        <w:r w:rsidRPr="005A1455">
          <w:rPr>
            <w:b w:val="0"/>
            <w:bCs w:val="0"/>
            <w:caps w:val="0"/>
            <w:noProof/>
            <w:sz w:val="22"/>
            <w:szCs w:val="22"/>
          </w:rPr>
          <w:tab/>
        </w:r>
        <w:r w:rsidR="005A1455" w:rsidRPr="005A1455">
          <w:rPr>
            <w:rStyle w:val="Hyperlink"/>
            <w:caps w:val="0"/>
            <w:noProof/>
            <w:sz w:val="22"/>
            <w:szCs w:val="22"/>
          </w:rPr>
          <w:t>Recommendations</w:t>
        </w:r>
        <w:r w:rsidRPr="005A1455">
          <w:rPr>
            <w:noProof/>
            <w:webHidden/>
            <w:sz w:val="22"/>
            <w:szCs w:val="22"/>
          </w:rPr>
          <w:tab/>
        </w:r>
        <w:r w:rsidR="00DA0F96">
          <w:rPr>
            <w:noProof/>
            <w:webHidden/>
            <w:sz w:val="22"/>
            <w:szCs w:val="22"/>
          </w:rPr>
          <w:t>38</w:t>
        </w:r>
      </w:hyperlink>
    </w:p>
    <w:p w14:paraId="15E4D1D1" w14:textId="6E5D226E" w:rsidR="00057B5C" w:rsidRPr="005A1455" w:rsidRDefault="005A1455">
      <w:pPr>
        <w:pStyle w:val="TOC1"/>
        <w:tabs>
          <w:tab w:val="right" w:leader="dot" w:pos="9016"/>
        </w:tabs>
        <w:rPr>
          <w:b w:val="0"/>
          <w:bCs w:val="0"/>
          <w:caps w:val="0"/>
          <w:noProof/>
          <w:sz w:val="22"/>
          <w:szCs w:val="22"/>
        </w:rPr>
      </w:pPr>
      <w:hyperlink w:anchor="_Toc168394465" w:history="1">
        <w:r w:rsidRPr="005A1455">
          <w:rPr>
            <w:rStyle w:val="Hyperlink"/>
            <w:caps w:val="0"/>
            <w:noProof/>
            <w:sz w:val="22"/>
            <w:szCs w:val="22"/>
          </w:rPr>
          <w:t>References</w:t>
        </w:r>
        <w:r w:rsidR="00057B5C" w:rsidRPr="005A1455">
          <w:rPr>
            <w:noProof/>
            <w:webHidden/>
            <w:sz w:val="22"/>
            <w:szCs w:val="22"/>
          </w:rPr>
          <w:tab/>
        </w:r>
        <w:r w:rsidR="00057B5C" w:rsidRPr="005A1455">
          <w:rPr>
            <w:noProof/>
            <w:webHidden/>
            <w:sz w:val="22"/>
            <w:szCs w:val="22"/>
          </w:rPr>
          <w:fldChar w:fldCharType="begin"/>
        </w:r>
        <w:r w:rsidR="00057B5C" w:rsidRPr="005A1455">
          <w:rPr>
            <w:noProof/>
            <w:webHidden/>
            <w:sz w:val="22"/>
            <w:szCs w:val="22"/>
          </w:rPr>
          <w:instrText xml:space="preserve"> PAGEREF _Toc168394465 \h </w:instrText>
        </w:r>
        <w:r w:rsidR="00057B5C" w:rsidRPr="005A1455">
          <w:rPr>
            <w:noProof/>
            <w:webHidden/>
            <w:sz w:val="22"/>
            <w:szCs w:val="22"/>
          </w:rPr>
        </w:r>
        <w:r w:rsidR="00057B5C" w:rsidRPr="005A1455">
          <w:rPr>
            <w:noProof/>
            <w:webHidden/>
            <w:sz w:val="22"/>
            <w:szCs w:val="22"/>
          </w:rPr>
          <w:fldChar w:fldCharType="separate"/>
        </w:r>
        <w:r w:rsidR="00BB5AD5" w:rsidRPr="005A1455">
          <w:rPr>
            <w:noProof/>
            <w:webHidden/>
            <w:sz w:val="22"/>
            <w:szCs w:val="22"/>
          </w:rPr>
          <w:t>4</w:t>
        </w:r>
        <w:r w:rsidR="00057B5C" w:rsidRPr="005A1455">
          <w:rPr>
            <w:noProof/>
            <w:webHidden/>
            <w:sz w:val="22"/>
            <w:szCs w:val="22"/>
          </w:rPr>
          <w:fldChar w:fldCharType="end"/>
        </w:r>
      </w:hyperlink>
      <w:r w:rsidR="00DA0F96">
        <w:rPr>
          <w:noProof/>
          <w:sz w:val="22"/>
          <w:szCs w:val="22"/>
        </w:rPr>
        <w:t>2</w:t>
      </w:r>
    </w:p>
    <w:p w14:paraId="06520DFB" w14:textId="1B3D08A9" w:rsidR="00057B5C" w:rsidRPr="005A1455" w:rsidRDefault="005A1455">
      <w:pPr>
        <w:pStyle w:val="TOC1"/>
        <w:tabs>
          <w:tab w:val="right" w:leader="dot" w:pos="9016"/>
        </w:tabs>
        <w:rPr>
          <w:b w:val="0"/>
          <w:bCs w:val="0"/>
          <w:caps w:val="0"/>
          <w:noProof/>
          <w:sz w:val="22"/>
          <w:szCs w:val="22"/>
        </w:rPr>
      </w:pPr>
      <w:hyperlink w:anchor="_Toc168394466" w:history="1">
        <w:r w:rsidRPr="005A1455">
          <w:rPr>
            <w:rStyle w:val="Hyperlink"/>
            <w:caps w:val="0"/>
            <w:noProof/>
            <w:sz w:val="22"/>
            <w:szCs w:val="22"/>
          </w:rPr>
          <w:t>Appendices</w:t>
        </w:r>
        <w:r w:rsidR="00057B5C" w:rsidRPr="005A1455">
          <w:rPr>
            <w:noProof/>
            <w:webHidden/>
            <w:sz w:val="22"/>
            <w:szCs w:val="22"/>
          </w:rPr>
          <w:tab/>
        </w:r>
        <w:r w:rsidR="00057B5C" w:rsidRPr="005A1455">
          <w:rPr>
            <w:noProof/>
            <w:webHidden/>
            <w:sz w:val="22"/>
            <w:szCs w:val="22"/>
          </w:rPr>
          <w:fldChar w:fldCharType="begin"/>
        </w:r>
        <w:r w:rsidR="00057B5C" w:rsidRPr="005A1455">
          <w:rPr>
            <w:noProof/>
            <w:webHidden/>
            <w:sz w:val="22"/>
            <w:szCs w:val="22"/>
          </w:rPr>
          <w:instrText xml:space="preserve"> PAGEREF _Toc168394466 \h </w:instrText>
        </w:r>
        <w:r w:rsidR="00057B5C" w:rsidRPr="005A1455">
          <w:rPr>
            <w:noProof/>
            <w:webHidden/>
            <w:sz w:val="22"/>
            <w:szCs w:val="22"/>
          </w:rPr>
        </w:r>
        <w:r w:rsidR="00057B5C" w:rsidRPr="005A1455">
          <w:rPr>
            <w:noProof/>
            <w:webHidden/>
            <w:sz w:val="22"/>
            <w:szCs w:val="22"/>
          </w:rPr>
          <w:fldChar w:fldCharType="separate"/>
        </w:r>
        <w:r w:rsidR="00BB5AD5" w:rsidRPr="005A1455">
          <w:rPr>
            <w:noProof/>
            <w:webHidden/>
            <w:sz w:val="22"/>
            <w:szCs w:val="22"/>
          </w:rPr>
          <w:t>5</w:t>
        </w:r>
        <w:r w:rsidR="00057B5C" w:rsidRPr="005A1455">
          <w:rPr>
            <w:noProof/>
            <w:webHidden/>
            <w:sz w:val="22"/>
            <w:szCs w:val="22"/>
          </w:rPr>
          <w:fldChar w:fldCharType="end"/>
        </w:r>
      </w:hyperlink>
      <w:r w:rsidR="00DA0F96">
        <w:rPr>
          <w:noProof/>
          <w:sz w:val="22"/>
          <w:szCs w:val="22"/>
        </w:rPr>
        <w:t>0</w:t>
      </w:r>
    </w:p>
    <w:p w14:paraId="14EEFB80" w14:textId="0A5628EA" w:rsidR="00057B5C" w:rsidRPr="005A1455" w:rsidRDefault="005A1455" w:rsidP="00057B5C">
      <w:pPr>
        <w:pStyle w:val="TOC2"/>
        <w:rPr>
          <w:noProof/>
        </w:rPr>
      </w:pPr>
      <w:hyperlink w:anchor="_Toc168394467" w:history="1">
        <w:r w:rsidRPr="005A1455">
          <w:rPr>
            <w:rStyle w:val="Hyperlink"/>
            <w:noProof/>
            <w:sz w:val="22"/>
            <w:szCs w:val="22"/>
            <w:lang w:eastAsia="en-GB"/>
          </w:rPr>
          <w:t>appendix a.  Concept grids and database search strategies for each question</w:t>
        </w:r>
        <w:r w:rsidR="00057B5C" w:rsidRPr="005A1455">
          <w:rPr>
            <w:noProof/>
            <w:webHidden/>
          </w:rPr>
          <w:tab/>
        </w:r>
        <w:r w:rsidR="00057B5C" w:rsidRPr="005A1455">
          <w:rPr>
            <w:noProof/>
            <w:webHidden/>
          </w:rPr>
          <w:fldChar w:fldCharType="begin"/>
        </w:r>
        <w:r w:rsidR="00057B5C" w:rsidRPr="005A1455">
          <w:rPr>
            <w:noProof/>
            <w:webHidden/>
          </w:rPr>
          <w:instrText xml:space="preserve"> PAGEREF _Toc168394467 \h </w:instrText>
        </w:r>
        <w:r w:rsidR="00057B5C" w:rsidRPr="005A1455">
          <w:rPr>
            <w:noProof/>
            <w:webHidden/>
          </w:rPr>
        </w:r>
        <w:r w:rsidR="00057B5C" w:rsidRPr="005A1455">
          <w:rPr>
            <w:noProof/>
            <w:webHidden/>
          </w:rPr>
          <w:fldChar w:fldCharType="separate"/>
        </w:r>
        <w:r w:rsidR="00BB5AD5" w:rsidRPr="005A1455">
          <w:rPr>
            <w:noProof/>
            <w:webHidden/>
          </w:rPr>
          <w:t>5</w:t>
        </w:r>
        <w:r w:rsidR="00057B5C" w:rsidRPr="005A1455">
          <w:rPr>
            <w:noProof/>
            <w:webHidden/>
          </w:rPr>
          <w:fldChar w:fldCharType="end"/>
        </w:r>
      </w:hyperlink>
      <w:r w:rsidR="00DA0F96">
        <w:rPr>
          <w:noProof/>
        </w:rPr>
        <w:t>0</w:t>
      </w:r>
    </w:p>
    <w:p w14:paraId="2F332283" w14:textId="5D833597" w:rsidR="00057B5C" w:rsidRPr="005A1455" w:rsidRDefault="005A1455" w:rsidP="00057B5C">
      <w:pPr>
        <w:pStyle w:val="TOC2"/>
        <w:rPr>
          <w:noProof/>
        </w:rPr>
      </w:pPr>
      <w:hyperlink w:anchor="_Toc168394468" w:history="1">
        <w:r w:rsidRPr="005A1455">
          <w:rPr>
            <w:rStyle w:val="Hyperlink"/>
            <w:noProof/>
            <w:sz w:val="22"/>
            <w:szCs w:val="22"/>
          </w:rPr>
          <w:t>appendix b.  Data extraction table by research questions</w:t>
        </w:r>
        <w:r w:rsidR="00057B5C" w:rsidRPr="005A1455">
          <w:rPr>
            <w:noProof/>
            <w:webHidden/>
          </w:rPr>
          <w:tab/>
        </w:r>
        <w:r w:rsidR="00057B5C" w:rsidRPr="005A1455">
          <w:rPr>
            <w:noProof/>
            <w:webHidden/>
          </w:rPr>
          <w:fldChar w:fldCharType="begin"/>
        </w:r>
        <w:r w:rsidR="00057B5C" w:rsidRPr="005A1455">
          <w:rPr>
            <w:noProof/>
            <w:webHidden/>
          </w:rPr>
          <w:instrText xml:space="preserve"> PAGEREF _Toc168394468 \h </w:instrText>
        </w:r>
        <w:r w:rsidR="00057B5C" w:rsidRPr="005A1455">
          <w:rPr>
            <w:noProof/>
            <w:webHidden/>
          </w:rPr>
        </w:r>
        <w:r w:rsidR="00057B5C" w:rsidRPr="005A1455">
          <w:rPr>
            <w:noProof/>
            <w:webHidden/>
          </w:rPr>
          <w:fldChar w:fldCharType="separate"/>
        </w:r>
        <w:r w:rsidR="00BB5AD5" w:rsidRPr="005A1455">
          <w:rPr>
            <w:noProof/>
            <w:webHidden/>
          </w:rPr>
          <w:t>71</w:t>
        </w:r>
        <w:r w:rsidR="00057B5C" w:rsidRPr="005A1455">
          <w:rPr>
            <w:noProof/>
            <w:webHidden/>
          </w:rPr>
          <w:fldChar w:fldCharType="end"/>
        </w:r>
      </w:hyperlink>
    </w:p>
    <w:p w14:paraId="57BFBA3B" w14:textId="1A0B175F" w:rsidR="00057B5C" w:rsidRPr="005A1455" w:rsidRDefault="005A1455" w:rsidP="00057B5C">
      <w:pPr>
        <w:pStyle w:val="TOC2"/>
        <w:rPr>
          <w:noProof/>
        </w:rPr>
      </w:pPr>
      <w:hyperlink w:anchor="_Toc168394469" w:history="1">
        <w:r w:rsidRPr="005A1455">
          <w:rPr>
            <w:rStyle w:val="Hyperlink"/>
            <w:noProof/>
            <w:sz w:val="22"/>
            <w:szCs w:val="22"/>
          </w:rPr>
          <w:t>appendix c.  Reporting of sex and/or gender in the studies included</w:t>
        </w:r>
        <w:r w:rsidR="00057B5C" w:rsidRPr="005A1455">
          <w:rPr>
            <w:noProof/>
            <w:webHidden/>
          </w:rPr>
          <w:tab/>
        </w:r>
        <w:r w:rsidR="00057B5C" w:rsidRPr="005A1455">
          <w:rPr>
            <w:noProof/>
            <w:webHidden/>
          </w:rPr>
          <w:fldChar w:fldCharType="begin"/>
        </w:r>
        <w:r w:rsidR="00057B5C" w:rsidRPr="005A1455">
          <w:rPr>
            <w:noProof/>
            <w:webHidden/>
          </w:rPr>
          <w:instrText xml:space="preserve"> PAGEREF _Toc168394469 \h </w:instrText>
        </w:r>
        <w:r w:rsidR="00057B5C" w:rsidRPr="005A1455">
          <w:rPr>
            <w:noProof/>
            <w:webHidden/>
          </w:rPr>
        </w:r>
        <w:r w:rsidR="00057B5C" w:rsidRPr="005A1455">
          <w:rPr>
            <w:noProof/>
            <w:webHidden/>
          </w:rPr>
          <w:fldChar w:fldCharType="separate"/>
        </w:r>
        <w:r w:rsidR="00BB5AD5" w:rsidRPr="005A1455">
          <w:rPr>
            <w:noProof/>
            <w:webHidden/>
          </w:rPr>
          <w:t>9</w:t>
        </w:r>
        <w:r w:rsidR="00DA0F96">
          <w:rPr>
            <w:noProof/>
            <w:webHidden/>
          </w:rPr>
          <w:t>9</w:t>
        </w:r>
        <w:r w:rsidR="00057B5C" w:rsidRPr="005A1455">
          <w:rPr>
            <w:noProof/>
            <w:webHidden/>
          </w:rPr>
          <w:fldChar w:fldCharType="end"/>
        </w:r>
      </w:hyperlink>
    </w:p>
    <w:p w14:paraId="71583D93" w14:textId="41DD3E49" w:rsidR="00057B5C" w:rsidRPr="005A1455" w:rsidRDefault="005A1455" w:rsidP="00057B5C">
      <w:pPr>
        <w:pStyle w:val="TOC2"/>
        <w:rPr>
          <w:rStyle w:val="Hyperlink"/>
          <w:noProof/>
          <w:sz w:val="22"/>
          <w:szCs w:val="22"/>
        </w:rPr>
      </w:pPr>
      <w:hyperlink w:anchor="_Toc168394470" w:history="1">
        <w:r w:rsidRPr="005A1455">
          <w:rPr>
            <w:rStyle w:val="Hyperlink"/>
            <w:noProof/>
            <w:sz w:val="22"/>
            <w:szCs w:val="22"/>
          </w:rPr>
          <w:t>appendix d.  Clinical practice guidelines</w:t>
        </w:r>
        <w:r w:rsidR="00057B5C" w:rsidRPr="005A1455">
          <w:rPr>
            <w:noProof/>
            <w:webHidden/>
          </w:rPr>
          <w:tab/>
        </w:r>
        <w:r w:rsidR="00057B5C" w:rsidRPr="005A1455">
          <w:rPr>
            <w:noProof/>
            <w:webHidden/>
          </w:rPr>
          <w:fldChar w:fldCharType="begin"/>
        </w:r>
        <w:r w:rsidR="00057B5C" w:rsidRPr="005A1455">
          <w:rPr>
            <w:noProof/>
            <w:webHidden/>
          </w:rPr>
          <w:instrText xml:space="preserve"> PAGEREF _Toc168394470 \h </w:instrText>
        </w:r>
        <w:r w:rsidR="00057B5C" w:rsidRPr="005A1455">
          <w:rPr>
            <w:noProof/>
            <w:webHidden/>
          </w:rPr>
        </w:r>
        <w:r w:rsidR="00057B5C" w:rsidRPr="005A1455">
          <w:rPr>
            <w:noProof/>
            <w:webHidden/>
          </w:rPr>
          <w:fldChar w:fldCharType="separate"/>
        </w:r>
        <w:r w:rsidR="00BB5AD5" w:rsidRPr="005A1455">
          <w:rPr>
            <w:noProof/>
            <w:webHidden/>
          </w:rPr>
          <w:t>10</w:t>
        </w:r>
        <w:r w:rsidR="00057B5C" w:rsidRPr="005A1455">
          <w:rPr>
            <w:noProof/>
            <w:webHidden/>
          </w:rPr>
          <w:fldChar w:fldCharType="end"/>
        </w:r>
      </w:hyperlink>
      <w:r w:rsidR="00DA0F96">
        <w:rPr>
          <w:noProof/>
        </w:rPr>
        <w:t>2</w:t>
      </w:r>
    </w:p>
    <w:p w14:paraId="31AD51AA" w14:textId="77777777" w:rsidR="007501C1" w:rsidRPr="005A1455" w:rsidRDefault="007501C1" w:rsidP="007501C1">
      <w:pPr>
        <w:rPr>
          <w:rFonts w:cstheme="minorHAnsi"/>
        </w:rPr>
        <w:sectPr w:rsidR="007501C1" w:rsidRPr="005A1455" w:rsidSect="00E23ABF">
          <w:headerReference w:type="default" r:id="rId10"/>
          <w:footerReference w:type="default" r:id="rId11"/>
          <w:pgSz w:w="11906" w:h="16838"/>
          <w:pgMar w:top="1440" w:right="1440" w:bottom="1440" w:left="1440" w:header="708" w:footer="708" w:gutter="0"/>
          <w:pgNumType w:start="1"/>
          <w:cols w:space="708"/>
          <w:docGrid w:linePitch="360"/>
        </w:sectPr>
      </w:pPr>
    </w:p>
    <w:p w14:paraId="210B725D" w14:textId="08009158" w:rsidR="00EB2B55" w:rsidRPr="005A1455" w:rsidRDefault="00057B5C" w:rsidP="003414BB">
      <w:pPr>
        <w:pStyle w:val="Heading1"/>
        <w:spacing w:before="0" w:after="120"/>
        <w:rPr>
          <w:rFonts w:asciiTheme="minorHAnsi" w:hAnsiTheme="minorHAnsi" w:cstheme="minorHAnsi"/>
          <w:b/>
          <w:bCs/>
          <w:color w:val="4C2863"/>
          <w:sz w:val="40"/>
          <w:szCs w:val="40"/>
        </w:rPr>
      </w:pPr>
      <w:r w:rsidRPr="005A1455">
        <w:rPr>
          <w:rFonts w:asciiTheme="minorHAnsi" w:hAnsiTheme="minorHAnsi" w:cstheme="minorHAnsi"/>
          <w:sz w:val="22"/>
          <w:szCs w:val="22"/>
        </w:rPr>
        <w:lastRenderedPageBreak/>
        <w:fldChar w:fldCharType="end"/>
      </w:r>
      <w:bookmarkStart w:id="20" w:name="_Toc168394301"/>
      <w:bookmarkStart w:id="21" w:name="_Toc168394439"/>
      <w:r w:rsidR="00EB2B55" w:rsidRPr="005A1455">
        <w:rPr>
          <w:rFonts w:asciiTheme="minorHAnsi" w:hAnsiTheme="minorHAnsi" w:cstheme="minorHAnsi"/>
          <w:b/>
          <w:bCs/>
          <w:color w:val="4C2863"/>
          <w:sz w:val="40"/>
          <w:szCs w:val="40"/>
        </w:rPr>
        <w:t>Abbreviations</w:t>
      </w:r>
      <w:bookmarkEnd w:id="9"/>
      <w:bookmarkEnd w:id="10"/>
      <w:bookmarkEnd w:id="11"/>
      <w:bookmarkEnd w:id="12"/>
      <w:bookmarkEnd w:id="13"/>
      <w:bookmarkEnd w:id="14"/>
      <w:bookmarkEnd w:id="15"/>
      <w:bookmarkEnd w:id="16"/>
      <w:bookmarkEnd w:id="17"/>
      <w:bookmarkEnd w:id="18"/>
      <w:bookmarkEnd w:id="19"/>
      <w:bookmarkEnd w:id="20"/>
      <w:bookmarkEnd w:id="2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EB2B55" w:rsidRPr="005A1455" w14:paraId="3ABF1872" w14:textId="77777777" w:rsidTr="003414BB">
        <w:tc>
          <w:tcPr>
            <w:tcW w:w="2263" w:type="dxa"/>
          </w:tcPr>
          <w:p w14:paraId="4F2F2802" w14:textId="77777777" w:rsidR="00EB2B55" w:rsidRPr="005A1455" w:rsidRDefault="00EB2B55" w:rsidP="003414BB">
            <w:pPr>
              <w:rPr>
                <w:rFonts w:cstheme="minorHAnsi"/>
                <w:sz w:val="20"/>
                <w:szCs w:val="20"/>
              </w:rPr>
            </w:pPr>
            <w:r w:rsidRPr="005A1455">
              <w:rPr>
                <w:rFonts w:cstheme="minorHAnsi"/>
                <w:sz w:val="20"/>
                <w:szCs w:val="20"/>
              </w:rPr>
              <w:t>ACS</w:t>
            </w:r>
          </w:p>
        </w:tc>
        <w:tc>
          <w:tcPr>
            <w:tcW w:w="6753" w:type="dxa"/>
          </w:tcPr>
          <w:p w14:paraId="5F1EC6D7" w14:textId="77777777" w:rsidR="00EB2B55" w:rsidRPr="005A1455" w:rsidRDefault="00EB2B55" w:rsidP="003414BB">
            <w:pPr>
              <w:rPr>
                <w:rFonts w:cstheme="minorHAnsi"/>
                <w:sz w:val="20"/>
                <w:szCs w:val="20"/>
              </w:rPr>
            </w:pPr>
            <w:r w:rsidRPr="005A1455">
              <w:rPr>
                <w:rFonts w:cstheme="minorHAnsi"/>
                <w:sz w:val="20"/>
                <w:szCs w:val="20"/>
              </w:rPr>
              <w:t>Acute coronary syndrome</w:t>
            </w:r>
          </w:p>
        </w:tc>
      </w:tr>
      <w:tr w:rsidR="00EB2B55" w:rsidRPr="005A1455" w14:paraId="36CDBDA2" w14:textId="77777777" w:rsidTr="003414BB">
        <w:tc>
          <w:tcPr>
            <w:tcW w:w="2263" w:type="dxa"/>
          </w:tcPr>
          <w:p w14:paraId="5019AE4C" w14:textId="77777777" w:rsidR="00EB2B55" w:rsidRPr="005A1455" w:rsidRDefault="00EB2B55" w:rsidP="003414BB">
            <w:pPr>
              <w:rPr>
                <w:rFonts w:cstheme="minorHAnsi"/>
                <w:sz w:val="20"/>
                <w:szCs w:val="20"/>
              </w:rPr>
            </w:pPr>
            <w:r w:rsidRPr="005A1455">
              <w:rPr>
                <w:rFonts w:cstheme="minorHAnsi"/>
                <w:sz w:val="20"/>
                <w:szCs w:val="20"/>
              </w:rPr>
              <w:t>ADL</w:t>
            </w:r>
          </w:p>
        </w:tc>
        <w:tc>
          <w:tcPr>
            <w:tcW w:w="6753" w:type="dxa"/>
          </w:tcPr>
          <w:p w14:paraId="04406E22" w14:textId="77777777" w:rsidR="00EB2B55" w:rsidRPr="005A1455" w:rsidRDefault="00EB2B55" w:rsidP="003414BB">
            <w:pPr>
              <w:rPr>
                <w:rFonts w:cstheme="minorHAnsi"/>
                <w:sz w:val="20"/>
                <w:szCs w:val="20"/>
              </w:rPr>
            </w:pPr>
            <w:r w:rsidRPr="005A1455">
              <w:rPr>
                <w:rFonts w:cstheme="minorHAnsi"/>
                <w:sz w:val="20"/>
                <w:szCs w:val="20"/>
              </w:rPr>
              <w:t>Activities of daily living</w:t>
            </w:r>
          </w:p>
        </w:tc>
      </w:tr>
      <w:tr w:rsidR="00EB2B55" w:rsidRPr="005A1455" w14:paraId="20AA1963" w14:textId="77777777" w:rsidTr="003414BB">
        <w:tc>
          <w:tcPr>
            <w:tcW w:w="2263" w:type="dxa"/>
          </w:tcPr>
          <w:p w14:paraId="0DF0BAEF" w14:textId="77777777" w:rsidR="00EB2B55" w:rsidRPr="005A1455" w:rsidRDefault="00EB2B55" w:rsidP="003414BB">
            <w:pPr>
              <w:rPr>
                <w:rFonts w:cstheme="minorHAnsi"/>
                <w:sz w:val="20"/>
                <w:szCs w:val="20"/>
              </w:rPr>
            </w:pPr>
            <w:r w:rsidRPr="005A1455">
              <w:rPr>
                <w:rFonts w:cstheme="minorHAnsi"/>
                <w:sz w:val="20"/>
                <w:szCs w:val="20"/>
              </w:rPr>
              <w:t>AGREE</w:t>
            </w:r>
          </w:p>
        </w:tc>
        <w:tc>
          <w:tcPr>
            <w:tcW w:w="6753" w:type="dxa"/>
          </w:tcPr>
          <w:p w14:paraId="67401673" w14:textId="23C7C8A1" w:rsidR="00EB2B55" w:rsidRPr="005A1455" w:rsidRDefault="00EB2B55" w:rsidP="003414BB">
            <w:pPr>
              <w:rPr>
                <w:rFonts w:cstheme="minorHAnsi"/>
                <w:sz w:val="20"/>
                <w:szCs w:val="20"/>
              </w:rPr>
            </w:pPr>
            <w:r w:rsidRPr="005A1455">
              <w:rPr>
                <w:rFonts w:cstheme="minorHAnsi"/>
                <w:sz w:val="20"/>
                <w:szCs w:val="20"/>
              </w:rPr>
              <w:t>Appraisal of Guidelines</w:t>
            </w:r>
            <w:r w:rsidR="00E40537" w:rsidRPr="005A1455">
              <w:rPr>
                <w:rFonts w:cstheme="minorHAnsi"/>
                <w:sz w:val="20"/>
                <w:szCs w:val="20"/>
              </w:rPr>
              <w:t xml:space="preserve"> for</w:t>
            </w:r>
            <w:r w:rsidRPr="005A1455">
              <w:rPr>
                <w:rFonts w:cstheme="minorHAnsi"/>
                <w:sz w:val="20"/>
                <w:szCs w:val="20"/>
              </w:rPr>
              <w:t xml:space="preserve"> Research and Evaluation</w:t>
            </w:r>
          </w:p>
        </w:tc>
      </w:tr>
      <w:tr w:rsidR="00EB2B55" w:rsidRPr="005A1455" w14:paraId="6A012D4C" w14:textId="77777777" w:rsidTr="003414BB">
        <w:tc>
          <w:tcPr>
            <w:tcW w:w="2263" w:type="dxa"/>
          </w:tcPr>
          <w:p w14:paraId="389CBC1D" w14:textId="77777777" w:rsidR="00EB2B55" w:rsidRPr="005A1455" w:rsidRDefault="00EB2B55" w:rsidP="003414BB">
            <w:pPr>
              <w:rPr>
                <w:rFonts w:cstheme="minorHAnsi"/>
                <w:sz w:val="20"/>
                <w:szCs w:val="20"/>
              </w:rPr>
            </w:pPr>
            <w:r w:rsidRPr="005A1455">
              <w:rPr>
                <w:rFonts w:cstheme="minorHAnsi"/>
                <w:sz w:val="20"/>
                <w:szCs w:val="20"/>
              </w:rPr>
              <w:t>AMI</w:t>
            </w:r>
          </w:p>
        </w:tc>
        <w:tc>
          <w:tcPr>
            <w:tcW w:w="6753" w:type="dxa"/>
          </w:tcPr>
          <w:p w14:paraId="6FE97382" w14:textId="77777777" w:rsidR="00EB2B55" w:rsidRPr="005A1455" w:rsidRDefault="00EB2B55" w:rsidP="003414BB">
            <w:pPr>
              <w:rPr>
                <w:rFonts w:cstheme="minorHAnsi"/>
                <w:sz w:val="20"/>
                <w:szCs w:val="20"/>
              </w:rPr>
            </w:pPr>
            <w:r w:rsidRPr="005A1455">
              <w:rPr>
                <w:rFonts w:cstheme="minorHAnsi"/>
                <w:sz w:val="20"/>
                <w:szCs w:val="20"/>
              </w:rPr>
              <w:t>Acute myocardial infarction</w:t>
            </w:r>
          </w:p>
        </w:tc>
      </w:tr>
      <w:tr w:rsidR="00EB2B55" w:rsidRPr="005A1455" w14:paraId="18F98876" w14:textId="77777777" w:rsidTr="003414BB">
        <w:tc>
          <w:tcPr>
            <w:tcW w:w="2263" w:type="dxa"/>
          </w:tcPr>
          <w:p w14:paraId="4A33AC2D" w14:textId="77777777" w:rsidR="00EB2B55" w:rsidRPr="005A1455" w:rsidRDefault="00EB2B55" w:rsidP="003414BB">
            <w:pPr>
              <w:rPr>
                <w:rFonts w:cstheme="minorHAnsi"/>
                <w:sz w:val="20"/>
                <w:szCs w:val="20"/>
              </w:rPr>
            </w:pPr>
            <w:r w:rsidRPr="005A1455">
              <w:rPr>
                <w:rFonts w:cstheme="minorHAnsi"/>
                <w:sz w:val="20"/>
                <w:szCs w:val="20"/>
              </w:rPr>
              <w:t>ANZDATA</w:t>
            </w:r>
          </w:p>
        </w:tc>
        <w:tc>
          <w:tcPr>
            <w:tcW w:w="6753" w:type="dxa"/>
          </w:tcPr>
          <w:p w14:paraId="3B6125F2" w14:textId="77777777" w:rsidR="00EB2B55" w:rsidRPr="005A1455" w:rsidRDefault="00EB2B55" w:rsidP="003414BB">
            <w:pPr>
              <w:rPr>
                <w:rFonts w:cstheme="minorHAnsi"/>
                <w:sz w:val="20"/>
                <w:szCs w:val="20"/>
              </w:rPr>
            </w:pPr>
            <w:r w:rsidRPr="005A1455">
              <w:rPr>
                <w:rFonts w:cstheme="minorHAnsi"/>
                <w:sz w:val="20"/>
                <w:szCs w:val="20"/>
              </w:rPr>
              <w:t>Australian and New Zealand Dialysis and Transplantation</w:t>
            </w:r>
          </w:p>
        </w:tc>
      </w:tr>
      <w:tr w:rsidR="00EB2B55" w:rsidRPr="005A1455" w14:paraId="6A9C7C56" w14:textId="77777777" w:rsidTr="003414BB">
        <w:tc>
          <w:tcPr>
            <w:tcW w:w="2263" w:type="dxa"/>
          </w:tcPr>
          <w:p w14:paraId="37F4DEA6" w14:textId="77777777" w:rsidR="00EB2B55" w:rsidRPr="005A1455" w:rsidRDefault="00EB2B55" w:rsidP="003414BB">
            <w:pPr>
              <w:rPr>
                <w:rFonts w:cstheme="minorHAnsi"/>
                <w:sz w:val="20"/>
                <w:szCs w:val="20"/>
              </w:rPr>
            </w:pPr>
            <w:r w:rsidRPr="005A1455">
              <w:rPr>
                <w:rFonts w:cstheme="minorHAnsi"/>
                <w:sz w:val="20"/>
                <w:szCs w:val="20"/>
              </w:rPr>
              <w:t xml:space="preserve">ANZOD </w:t>
            </w:r>
          </w:p>
        </w:tc>
        <w:tc>
          <w:tcPr>
            <w:tcW w:w="6753" w:type="dxa"/>
          </w:tcPr>
          <w:p w14:paraId="480E6098" w14:textId="77777777" w:rsidR="00EB2B55" w:rsidRPr="005A1455" w:rsidRDefault="00EB2B55" w:rsidP="003414BB">
            <w:pPr>
              <w:rPr>
                <w:rFonts w:cstheme="minorHAnsi"/>
                <w:sz w:val="20"/>
                <w:szCs w:val="20"/>
              </w:rPr>
            </w:pPr>
            <w:r w:rsidRPr="005A1455">
              <w:rPr>
                <w:rFonts w:cstheme="minorHAnsi"/>
                <w:sz w:val="20"/>
                <w:szCs w:val="20"/>
              </w:rPr>
              <w:t>Australian and New Zealand Organ Donor</w:t>
            </w:r>
          </w:p>
        </w:tc>
      </w:tr>
      <w:tr w:rsidR="00EB2B55" w:rsidRPr="005A1455" w14:paraId="73A4BC1E" w14:textId="77777777" w:rsidTr="003414BB">
        <w:tc>
          <w:tcPr>
            <w:tcW w:w="2263" w:type="dxa"/>
          </w:tcPr>
          <w:p w14:paraId="105AD646" w14:textId="77777777" w:rsidR="00EB2B55" w:rsidRPr="005A1455" w:rsidRDefault="00EB2B55" w:rsidP="003414BB">
            <w:pPr>
              <w:rPr>
                <w:rFonts w:cstheme="minorHAnsi"/>
                <w:sz w:val="20"/>
                <w:szCs w:val="20"/>
              </w:rPr>
            </w:pPr>
            <w:r w:rsidRPr="005A1455">
              <w:rPr>
                <w:rFonts w:cstheme="minorHAnsi"/>
                <w:sz w:val="20"/>
                <w:szCs w:val="20"/>
              </w:rPr>
              <w:t>AT</w:t>
            </w:r>
          </w:p>
        </w:tc>
        <w:tc>
          <w:tcPr>
            <w:tcW w:w="6753" w:type="dxa"/>
          </w:tcPr>
          <w:p w14:paraId="07DAE58B" w14:textId="77777777" w:rsidR="00EB2B55" w:rsidRPr="005A1455" w:rsidRDefault="00EB2B55" w:rsidP="003414BB">
            <w:pPr>
              <w:rPr>
                <w:rFonts w:cstheme="minorHAnsi"/>
                <w:sz w:val="20"/>
                <w:szCs w:val="20"/>
              </w:rPr>
            </w:pPr>
            <w:r w:rsidRPr="005A1455">
              <w:rPr>
                <w:rFonts w:cstheme="minorHAnsi"/>
                <w:sz w:val="20"/>
                <w:szCs w:val="20"/>
              </w:rPr>
              <w:t>Aerobic training</w:t>
            </w:r>
          </w:p>
        </w:tc>
      </w:tr>
      <w:tr w:rsidR="00EB2B55" w:rsidRPr="005A1455" w14:paraId="74A788FA" w14:textId="77777777" w:rsidTr="003414BB">
        <w:tc>
          <w:tcPr>
            <w:tcW w:w="2263" w:type="dxa"/>
          </w:tcPr>
          <w:p w14:paraId="11D1B4B3" w14:textId="77777777" w:rsidR="00EB2B55" w:rsidRPr="005A1455" w:rsidRDefault="00EB2B55" w:rsidP="003414BB">
            <w:pPr>
              <w:rPr>
                <w:rFonts w:cstheme="minorHAnsi"/>
                <w:sz w:val="20"/>
                <w:szCs w:val="20"/>
              </w:rPr>
            </w:pPr>
            <w:r w:rsidRPr="005A1455">
              <w:rPr>
                <w:rFonts w:cstheme="minorHAnsi"/>
                <w:sz w:val="20"/>
                <w:szCs w:val="20"/>
              </w:rPr>
              <w:t>BDNF</w:t>
            </w:r>
          </w:p>
        </w:tc>
        <w:tc>
          <w:tcPr>
            <w:tcW w:w="6753" w:type="dxa"/>
          </w:tcPr>
          <w:p w14:paraId="350DFCC9" w14:textId="77777777" w:rsidR="00EB2B55" w:rsidRPr="005A1455" w:rsidRDefault="00EB2B55" w:rsidP="003414BB">
            <w:pPr>
              <w:rPr>
                <w:rFonts w:cstheme="minorHAnsi"/>
                <w:sz w:val="20"/>
                <w:szCs w:val="20"/>
              </w:rPr>
            </w:pPr>
            <w:r w:rsidRPr="005A1455">
              <w:rPr>
                <w:rFonts w:cstheme="minorHAnsi"/>
                <w:sz w:val="20"/>
                <w:szCs w:val="20"/>
              </w:rPr>
              <w:t>Brain-derived neurotrophic factor</w:t>
            </w:r>
          </w:p>
        </w:tc>
      </w:tr>
      <w:tr w:rsidR="00EB2B55" w:rsidRPr="005A1455" w14:paraId="03FACEED" w14:textId="77777777" w:rsidTr="003414BB">
        <w:tc>
          <w:tcPr>
            <w:tcW w:w="2263" w:type="dxa"/>
          </w:tcPr>
          <w:p w14:paraId="07C495D4" w14:textId="77777777" w:rsidR="00EB2B55" w:rsidRPr="005A1455" w:rsidRDefault="00EB2B55" w:rsidP="003414BB">
            <w:pPr>
              <w:rPr>
                <w:rFonts w:cstheme="minorHAnsi"/>
                <w:sz w:val="20"/>
                <w:szCs w:val="20"/>
              </w:rPr>
            </w:pPr>
            <w:r w:rsidRPr="005A1455">
              <w:rPr>
                <w:rFonts w:cstheme="minorHAnsi"/>
                <w:sz w:val="20"/>
                <w:szCs w:val="20"/>
              </w:rPr>
              <w:t xml:space="preserve">BMI </w:t>
            </w:r>
          </w:p>
          <w:p w14:paraId="5A3ED67B" w14:textId="7ADD8A9C" w:rsidR="00E2557F" w:rsidRPr="005A1455" w:rsidRDefault="00A93F11" w:rsidP="003414BB">
            <w:pPr>
              <w:rPr>
                <w:rFonts w:cstheme="minorHAnsi"/>
                <w:sz w:val="20"/>
                <w:szCs w:val="20"/>
              </w:rPr>
            </w:pPr>
            <w:r w:rsidRPr="005A1455">
              <w:rPr>
                <w:rFonts w:cstheme="minorHAnsi"/>
                <w:sz w:val="20"/>
                <w:szCs w:val="20"/>
              </w:rPr>
              <w:t>BNLA</w:t>
            </w:r>
          </w:p>
        </w:tc>
        <w:tc>
          <w:tcPr>
            <w:tcW w:w="6753" w:type="dxa"/>
          </w:tcPr>
          <w:p w14:paraId="44FB8C7E" w14:textId="77777777" w:rsidR="00EB2B55" w:rsidRPr="005A1455" w:rsidRDefault="00EB2B55" w:rsidP="003414BB">
            <w:pPr>
              <w:rPr>
                <w:rFonts w:cstheme="minorHAnsi"/>
                <w:sz w:val="20"/>
                <w:szCs w:val="20"/>
              </w:rPr>
            </w:pPr>
            <w:r w:rsidRPr="005A1455">
              <w:rPr>
                <w:rFonts w:cstheme="minorHAnsi"/>
                <w:sz w:val="20"/>
                <w:szCs w:val="20"/>
              </w:rPr>
              <w:t>Body mass index</w:t>
            </w:r>
          </w:p>
          <w:p w14:paraId="37B709AC" w14:textId="362534C0" w:rsidR="00E2557F" w:rsidRPr="005A1455" w:rsidRDefault="00A93F11" w:rsidP="00E2557F">
            <w:pPr>
              <w:rPr>
                <w:rFonts w:cstheme="minorHAnsi"/>
                <w:sz w:val="20"/>
                <w:szCs w:val="20"/>
              </w:rPr>
            </w:pPr>
            <w:r w:rsidRPr="005A1455">
              <w:rPr>
                <w:rFonts w:cstheme="minorHAnsi"/>
                <w:sz w:val="20"/>
                <w:szCs w:val="20"/>
              </w:rPr>
              <w:t xml:space="preserve">Building a New Life in </w:t>
            </w:r>
            <w:r w:rsidR="00E2557F" w:rsidRPr="005A1455">
              <w:rPr>
                <w:rFonts w:cstheme="minorHAnsi"/>
                <w:sz w:val="20"/>
                <w:szCs w:val="20"/>
              </w:rPr>
              <w:t>Australia</w:t>
            </w:r>
          </w:p>
        </w:tc>
      </w:tr>
      <w:tr w:rsidR="00EB2B55" w:rsidRPr="005A1455" w14:paraId="7A83E197" w14:textId="77777777" w:rsidTr="003414BB">
        <w:tc>
          <w:tcPr>
            <w:tcW w:w="2263" w:type="dxa"/>
          </w:tcPr>
          <w:p w14:paraId="47E0F97E" w14:textId="77777777" w:rsidR="00EB2B55" w:rsidRPr="005A1455" w:rsidRDefault="00EB2B55" w:rsidP="003414BB">
            <w:pPr>
              <w:rPr>
                <w:rFonts w:cstheme="minorHAnsi"/>
                <w:sz w:val="20"/>
                <w:szCs w:val="20"/>
              </w:rPr>
            </w:pPr>
            <w:r w:rsidRPr="005A1455">
              <w:rPr>
                <w:rFonts w:cstheme="minorHAnsi"/>
                <w:sz w:val="20"/>
                <w:szCs w:val="20"/>
              </w:rPr>
              <w:t>CAD</w:t>
            </w:r>
          </w:p>
        </w:tc>
        <w:tc>
          <w:tcPr>
            <w:tcW w:w="6753" w:type="dxa"/>
          </w:tcPr>
          <w:p w14:paraId="1CD034BC" w14:textId="77777777" w:rsidR="00EB2B55" w:rsidRPr="005A1455" w:rsidRDefault="00EB2B55" w:rsidP="003414BB">
            <w:pPr>
              <w:rPr>
                <w:rFonts w:cstheme="minorHAnsi"/>
                <w:sz w:val="20"/>
                <w:szCs w:val="20"/>
              </w:rPr>
            </w:pPr>
            <w:r w:rsidRPr="005A1455">
              <w:rPr>
                <w:rFonts w:cstheme="minorHAnsi"/>
                <w:sz w:val="20"/>
                <w:szCs w:val="20"/>
              </w:rPr>
              <w:t>Coronary artery disease</w:t>
            </w:r>
          </w:p>
        </w:tc>
      </w:tr>
      <w:tr w:rsidR="00EB2B55" w:rsidRPr="005A1455" w14:paraId="70896F2A" w14:textId="77777777" w:rsidTr="003414BB">
        <w:tc>
          <w:tcPr>
            <w:tcW w:w="2263" w:type="dxa"/>
          </w:tcPr>
          <w:p w14:paraId="30726122" w14:textId="77777777" w:rsidR="00EB2B55" w:rsidRPr="005A1455" w:rsidRDefault="00EB2B55" w:rsidP="003414BB">
            <w:pPr>
              <w:rPr>
                <w:rFonts w:cstheme="minorHAnsi"/>
                <w:sz w:val="20"/>
                <w:szCs w:val="20"/>
              </w:rPr>
            </w:pPr>
            <w:r w:rsidRPr="005A1455">
              <w:rPr>
                <w:rFonts w:cstheme="minorHAnsi"/>
                <w:sz w:val="20"/>
                <w:szCs w:val="20"/>
              </w:rPr>
              <w:t>CALD</w:t>
            </w:r>
          </w:p>
        </w:tc>
        <w:tc>
          <w:tcPr>
            <w:tcW w:w="6753" w:type="dxa"/>
          </w:tcPr>
          <w:p w14:paraId="2F0511D2" w14:textId="77777777" w:rsidR="00EB2B55" w:rsidRPr="005A1455" w:rsidRDefault="00EB2B55" w:rsidP="003414BB">
            <w:pPr>
              <w:rPr>
                <w:rFonts w:cstheme="minorHAnsi"/>
                <w:sz w:val="20"/>
                <w:szCs w:val="20"/>
              </w:rPr>
            </w:pPr>
            <w:r w:rsidRPr="005A1455">
              <w:rPr>
                <w:rFonts w:cstheme="minorHAnsi"/>
                <w:sz w:val="20"/>
                <w:szCs w:val="20"/>
              </w:rPr>
              <w:t>Culturally and linguistically diverse</w:t>
            </w:r>
          </w:p>
        </w:tc>
      </w:tr>
      <w:tr w:rsidR="00EB2B55" w:rsidRPr="005A1455" w14:paraId="09E5A3EE" w14:textId="77777777" w:rsidTr="003414BB">
        <w:tc>
          <w:tcPr>
            <w:tcW w:w="2263" w:type="dxa"/>
          </w:tcPr>
          <w:p w14:paraId="637AA234" w14:textId="77777777" w:rsidR="00EB2B55" w:rsidRPr="005A1455" w:rsidRDefault="00EB2B55" w:rsidP="003414BB">
            <w:pPr>
              <w:rPr>
                <w:rFonts w:cstheme="minorHAnsi"/>
                <w:sz w:val="20"/>
                <w:szCs w:val="20"/>
              </w:rPr>
            </w:pPr>
            <w:r w:rsidRPr="005A1455">
              <w:rPr>
                <w:rFonts w:cstheme="minorHAnsi"/>
                <w:sz w:val="20"/>
                <w:szCs w:val="20"/>
              </w:rPr>
              <w:t>CARI</w:t>
            </w:r>
          </w:p>
        </w:tc>
        <w:tc>
          <w:tcPr>
            <w:tcW w:w="6753" w:type="dxa"/>
          </w:tcPr>
          <w:p w14:paraId="72ADA025" w14:textId="55DD89F4" w:rsidR="00EB2B55" w:rsidRPr="005A1455" w:rsidRDefault="00EB2B55" w:rsidP="003414BB">
            <w:pPr>
              <w:rPr>
                <w:rFonts w:cstheme="minorHAnsi"/>
                <w:sz w:val="20"/>
                <w:szCs w:val="20"/>
              </w:rPr>
            </w:pPr>
            <w:r w:rsidRPr="005A1455">
              <w:rPr>
                <w:rFonts w:cstheme="minorHAnsi"/>
                <w:sz w:val="20"/>
                <w:szCs w:val="20"/>
              </w:rPr>
              <w:t>Caring for Australian</w:t>
            </w:r>
            <w:r w:rsidR="006108CD" w:rsidRPr="005A1455">
              <w:rPr>
                <w:rFonts w:cstheme="minorHAnsi"/>
                <w:sz w:val="20"/>
                <w:szCs w:val="20"/>
              </w:rPr>
              <w:t>s</w:t>
            </w:r>
            <w:r w:rsidRPr="005A1455">
              <w:rPr>
                <w:rFonts w:cstheme="minorHAnsi"/>
                <w:sz w:val="20"/>
                <w:szCs w:val="20"/>
              </w:rPr>
              <w:t xml:space="preserve"> and New Zealanders with Kidney Impairment</w:t>
            </w:r>
          </w:p>
        </w:tc>
      </w:tr>
      <w:tr w:rsidR="00EB2B55" w:rsidRPr="005A1455" w14:paraId="570D38F0" w14:textId="77777777" w:rsidTr="003414BB">
        <w:tc>
          <w:tcPr>
            <w:tcW w:w="2263" w:type="dxa"/>
          </w:tcPr>
          <w:p w14:paraId="49CE97EF" w14:textId="77777777" w:rsidR="00EB2B55" w:rsidRPr="005A1455" w:rsidRDefault="00EB2B55" w:rsidP="003414BB">
            <w:pPr>
              <w:rPr>
                <w:rFonts w:cstheme="minorHAnsi"/>
                <w:sz w:val="20"/>
                <w:szCs w:val="20"/>
              </w:rPr>
            </w:pPr>
            <w:r w:rsidRPr="005A1455">
              <w:rPr>
                <w:rFonts w:cstheme="minorHAnsi"/>
                <w:sz w:val="20"/>
                <w:szCs w:val="20"/>
              </w:rPr>
              <w:t>CCU</w:t>
            </w:r>
          </w:p>
        </w:tc>
        <w:tc>
          <w:tcPr>
            <w:tcW w:w="6753" w:type="dxa"/>
          </w:tcPr>
          <w:p w14:paraId="15A787B0" w14:textId="77777777" w:rsidR="00EB2B55" w:rsidRPr="005A1455" w:rsidRDefault="00EB2B55" w:rsidP="003414BB">
            <w:pPr>
              <w:rPr>
                <w:rFonts w:cstheme="minorHAnsi"/>
                <w:sz w:val="20"/>
                <w:szCs w:val="20"/>
              </w:rPr>
            </w:pPr>
            <w:r w:rsidRPr="005A1455">
              <w:rPr>
                <w:rFonts w:cstheme="minorHAnsi"/>
                <w:sz w:val="20"/>
                <w:szCs w:val="20"/>
              </w:rPr>
              <w:t>Cardiac Care Unit</w:t>
            </w:r>
          </w:p>
        </w:tc>
      </w:tr>
      <w:tr w:rsidR="00EB2B55" w:rsidRPr="005A1455" w14:paraId="62168B73" w14:textId="77777777" w:rsidTr="003414BB">
        <w:tc>
          <w:tcPr>
            <w:tcW w:w="2263" w:type="dxa"/>
          </w:tcPr>
          <w:p w14:paraId="19C09A3D" w14:textId="77777777" w:rsidR="00EB2B55" w:rsidRPr="005A1455" w:rsidRDefault="00EB2B55" w:rsidP="003414BB">
            <w:pPr>
              <w:rPr>
                <w:rFonts w:cstheme="minorHAnsi"/>
                <w:sz w:val="20"/>
                <w:szCs w:val="20"/>
              </w:rPr>
            </w:pPr>
            <w:r w:rsidRPr="005A1455">
              <w:rPr>
                <w:rFonts w:cstheme="minorHAnsi"/>
                <w:sz w:val="20"/>
                <w:szCs w:val="20"/>
              </w:rPr>
              <w:t>CHD</w:t>
            </w:r>
          </w:p>
          <w:p w14:paraId="314E2C66" w14:textId="7F7C08CC" w:rsidR="00E2557F" w:rsidRPr="005A1455" w:rsidRDefault="00E2557F" w:rsidP="003414BB">
            <w:pPr>
              <w:rPr>
                <w:rFonts w:cstheme="minorHAnsi"/>
                <w:sz w:val="20"/>
                <w:szCs w:val="20"/>
              </w:rPr>
            </w:pPr>
            <w:r w:rsidRPr="005A1455">
              <w:rPr>
                <w:rFonts w:cstheme="minorHAnsi"/>
                <w:sz w:val="20"/>
                <w:szCs w:val="20"/>
              </w:rPr>
              <w:t>CI</w:t>
            </w:r>
          </w:p>
        </w:tc>
        <w:tc>
          <w:tcPr>
            <w:tcW w:w="6753" w:type="dxa"/>
          </w:tcPr>
          <w:p w14:paraId="75F35E46" w14:textId="77777777" w:rsidR="00EB2B55" w:rsidRPr="005A1455" w:rsidRDefault="00EB2B55" w:rsidP="003414BB">
            <w:pPr>
              <w:rPr>
                <w:rFonts w:cstheme="minorHAnsi"/>
                <w:sz w:val="20"/>
                <w:szCs w:val="20"/>
              </w:rPr>
            </w:pPr>
            <w:r w:rsidRPr="005A1455">
              <w:rPr>
                <w:rFonts w:cstheme="minorHAnsi"/>
                <w:sz w:val="20"/>
                <w:szCs w:val="20"/>
              </w:rPr>
              <w:t>Coronary heart disease</w:t>
            </w:r>
          </w:p>
          <w:p w14:paraId="1F0A1D66" w14:textId="77C9B3A1" w:rsidR="00E2557F" w:rsidRPr="005A1455" w:rsidRDefault="00E2557F" w:rsidP="003414BB">
            <w:pPr>
              <w:rPr>
                <w:rFonts w:cstheme="minorHAnsi"/>
                <w:sz w:val="20"/>
                <w:szCs w:val="20"/>
              </w:rPr>
            </w:pPr>
            <w:r w:rsidRPr="005A1455">
              <w:rPr>
                <w:rFonts w:cstheme="minorHAnsi"/>
                <w:sz w:val="20"/>
                <w:szCs w:val="20"/>
              </w:rPr>
              <w:t>Confidence intervals</w:t>
            </w:r>
          </w:p>
        </w:tc>
      </w:tr>
      <w:tr w:rsidR="00EB2B55" w:rsidRPr="005A1455" w14:paraId="4C94D746" w14:textId="77777777" w:rsidTr="003414BB">
        <w:tc>
          <w:tcPr>
            <w:tcW w:w="2263" w:type="dxa"/>
          </w:tcPr>
          <w:p w14:paraId="15F099DD" w14:textId="77777777" w:rsidR="00EB2B55" w:rsidRPr="005A1455" w:rsidRDefault="00EB2B55" w:rsidP="003414BB">
            <w:pPr>
              <w:rPr>
                <w:rFonts w:cstheme="minorHAnsi"/>
                <w:sz w:val="20"/>
                <w:szCs w:val="20"/>
              </w:rPr>
            </w:pPr>
            <w:r w:rsidRPr="005A1455">
              <w:rPr>
                <w:rFonts w:cstheme="minorHAnsi"/>
                <w:sz w:val="20"/>
                <w:szCs w:val="20"/>
              </w:rPr>
              <w:t>COPD</w:t>
            </w:r>
          </w:p>
        </w:tc>
        <w:tc>
          <w:tcPr>
            <w:tcW w:w="6753" w:type="dxa"/>
          </w:tcPr>
          <w:p w14:paraId="4A4B7A04" w14:textId="77777777" w:rsidR="00EB2B55" w:rsidRPr="005A1455" w:rsidRDefault="00EB2B55" w:rsidP="003414BB">
            <w:pPr>
              <w:rPr>
                <w:rFonts w:cstheme="minorHAnsi"/>
                <w:sz w:val="20"/>
                <w:szCs w:val="20"/>
              </w:rPr>
            </w:pPr>
            <w:r w:rsidRPr="005A1455">
              <w:rPr>
                <w:rFonts w:cstheme="minorHAnsi"/>
                <w:sz w:val="20"/>
                <w:szCs w:val="20"/>
              </w:rPr>
              <w:t>Chronic obstructive pulmonary disease</w:t>
            </w:r>
          </w:p>
        </w:tc>
      </w:tr>
      <w:tr w:rsidR="00EB2B55" w:rsidRPr="005A1455" w14:paraId="4793DEBB" w14:textId="77777777" w:rsidTr="003414BB">
        <w:tc>
          <w:tcPr>
            <w:tcW w:w="2263" w:type="dxa"/>
          </w:tcPr>
          <w:p w14:paraId="051380E2" w14:textId="77777777" w:rsidR="00EB2B55" w:rsidRPr="005A1455" w:rsidRDefault="00EB2B55" w:rsidP="003414BB">
            <w:pPr>
              <w:rPr>
                <w:rFonts w:cstheme="minorHAnsi"/>
                <w:sz w:val="20"/>
                <w:szCs w:val="20"/>
              </w:rPr>
            </w:pPr>
            <w:r w:rsidRPr="005A1455">
              <w:rPr>
                <w:rFonts w:cstheme="minorHAnsi"/>
                <w:sz w:val="20"/>
                <w:szCs w:val="20"/>
              </w:rPr>
              <w:t>COVID</w:t>
            </w:r>
          </w:p>
        </w:tc>
        <w:tc>
          <w:tcPr>
            <w:tcW w:w="6753" w:type="dxa"/>
          </w:tcPr>
          <w:p w14:paraId="58441985" w14:textId="77777777" w:rsidR="00EB2B55" w:rsidRPr="005A1455" w:rsidRDefault="00EB2B55" w:rsidP="003414BB">
            <w:pPr>
              <w:rPr>
                <w:rFonts w:cstheme="minorHAnsi"/>
                <w:sz w:val="20"/>
                <w:szCs w:val="20"/>
              </w:rPr>
            </w:pPr>
            <w:r w:rsidRPr="005A1455">
              <w:rPr>
                <w:rFonts w:cstheme="minorHAnsi"/>
                <w:sz w:val="20"/>
                <w:szCs w:val="20"/>
              </w:rPr>
              <w:t>Coronavirus disease</w:t>
            </w:r>
          </w:p>
        </w:tc>
      </w:tr>
      <w:tr w:rsidR="00EB2B55" w:rsidRPr="005A1455" w14:paraId="2E1261A4" w14:textId="77777777" w:rsidTr="003414BB">
        <w:tc>
          <w:tcPr>
            <w:tcW w:w="2263" w:type="dxa"/>
          </w:tcPr>
          <w:p w14:paraId="0ED4767E" w14:textId="77777777" w:rsidR="00EB2B55" w:rsidRPr="005A1455" w:rsidRDefault="00EB2B55" w:rsidP="003414BB">
            <w:pPr>
              <w:rPr>
                <w:rFonts w:cstheme="minorHAnsi"/>
                <w:sz w:val="20"/>
                <w:szCs w:val="20"/>
              </w:rPr>
            </w:pPr>
            <w:r w:rsidRPr="005A1455">
              <w:rPr>
                <w:rFonts w:cstheme="minorHAnsi"/>
                <w:sz w:val="20"/>
                <w:szCs w:val="20"/>
              </w:rPr>
              <w:t>CVD</w:t>
            </w:r>
          </w:p>
        </w:tc>
        <w:tc>
          <w:tcPr>
            <w:tcW w:w="6753" w:type="dxa"/>
          </w:tcPr>
          <w:p w14:paraId="07D268FD" w14:textId="77777777" w:rsidR="00EB2B55" w:rsidRPr="005A1455" w:rsidRDefault="00EB2B55" w:rsidP="003414BB">
            <w:pPr>
              <w:rPr>
                <w:rFonts w:cstheme="minorHAnsi"/>
                <w:sz w:val="20"/>
                <w:szCs w:val="20"/>
              </w:rPr>
            </w:pPr>
            <w:r w:rsidRPr="005A1455">
              <w:rPr>
                <w:rFonts w:cstheme="minorHAnsi"/>
                <w:sz w:val="20"/>
                <w:szCs w:val="20"/>
              </w:rPr>
              <w:t>Cardiovascular disease</w:t>
            </w:r>
          </w:p>
        </w:tc>
      </w:tr>
      <w:tr w:rsidR="00EB2B55" w:rsidRPr="005A1455" w14:paraId="2B6FE466" w14:textId="77777777" w:rsidTr="003414BB">
        <w:tc>
          <w:tcPr>
            <w:tcW w:w="2263" w:type="dxa"/>
          </w:tcPr>
          <w:p w14:paraId="12389F1B" w14:textId="77777777" w:rsidR="00EB2B55" w:rsidRPr="005A1455" w:rsidRDefault="00EB2B55" w:rsidP="003414BB">
            <w:pPr>
              <w:rPr>
                <w:rFonts w:cstheme="minorHAnsi"/>
                <w:sz w:val="20"/>
                <w:szCs w:val="20"/>
              </w:rPr>
            </w:pPr>
            <w:r w:rsidRPr="005A1455">
              <w:rPr>
                <w:rFonts w:cstheme="minorHAnsi"/>
                <w:sz w:val="20"/>
                <w:szCs w:val="20"/>
              </w:rPr>
              <w:t>CRT</w:t>
            </w:r>
          </w:p>
        </w:tc>
        <w:tc>
          <w:tcPr>
            <w:tcW w:w="6753" w:type="dxa"/>
          </w:tcPr>
          <w:p w14:paraId="213C9013" w14:textId="1DAD5AE8" w:rsidR="00EB2B55" w:rsidRPr="005A1455" w:rsidRDefault="00EB2B55" w:rsidP="003414BB">
            <w:pPr>
              <w:rPr>
                <w:rFonts w:cstheme="minorHAnsi"/>
                <w:sz w:val="20"/>
                <w:szCs w:val="20"/>
              </w:rPr>
            </w:pPr>
            <w:r w:rsidRPr="005A1455">
              <w:rPr>
                <w:rFonts w:cstheme="minorHAnsi"/>
                <w:sz w:val="20"/>
                <w:szCs w:val="20"/>
              </w:rPr>
              <w:t xml:space="preserve">Cardiac </w:t>
            </w:r>
            <w:r w:rsidR="00C512C3" w:rsidRPr="005A1455">
              <w:rPr>
                <w:rFonts w:cstheme="minorHAnsi"/>
                <w:sz w:val="20"/>
                <w:szCs w:val="20"/>
              </w:rPr>
              <w:t xml:space="preserve">resynchronisation </w:t>
            </w:r>
            <w:r w:rsidRPr="005A1455">
              <w:rPr>
                <w:rFonts w:cstheme="minorHAnsi"/>
                <w:sz w:val="20"/>
                <w:szCs w:val="20"/>
              </w:rPr>
              <w:t>therapy</w:t>
            </w:r>
          </w:p>
        </w:tc>
      </w:tr>
      <w:tr w:rsidR="00EB2B55" w:rsidRPr="005A1455" w14:paraId="2460D731" w14:textId="77777777" w:rsidTr="003414BB">
        <w:tc>
          <w:tcPr>
            <w:tcW w:w="2263" w:type="dxa"/>
          </w:tcPr>
          <w:p w14:paraId="7E99D912" w14:textId="77777777" w:rsidR="00EB2B55" w:rsidRPr="005A1455" w:rsidRDefault="00EB2B55" w:rsidP="003414BB">
            <w:pPr>
              <w:rPr>
                <w:rFonts w:cstheme="minorHAnsi"/>
                <w:sz w:val="20"/>
                <w:szCs w:val="20"/>
              </w:rPr>
            </w:pPr>
            <w:proofErr w:type="spellStart"/>
            <w:r w:rsidRPr="005A1455">
              <w:rPr>
                <w:rFonts w:cstheme="minorHAnsi"/>
                <w:sz w:val="20"/>
                <w:szCs w:val="20"/>
              </w:rPr>
              <w:t>DoH</w:t>
            </w:r>
            <w:proofErr w:type="spellEnd"/>
          </w:p>
        </w:tc>
        <w:tc>
          <w:tcPr>
            <w:tcW w:w="6753" w:type="dxa"/>
          </w:tcPr>
          <w:p w14:paraId="6F297455" w14:textId="77777777" w:rsidR="00EB2B55" w:rsidRPr="005A1455" w:rsidRDefault="00EB2B55" w:rsidP="003414BB">
            <w:pPr>
              <w:rPr>
                <w:rFonts w:cstheme="minorHAnsi"/>
                <w:sz w:val="20"/>
                <w:szCs w:val="20"/>
              </w:rPr>
            </w:pPr>
            <w:r w:rsidRPr="005A1455">
              <w:rPr>
                <w:rFonts w:cstheme="minorHAnsi"/>
                <w:sz w:val="20"/>
                <w:szCs w:val="20"/>
              </w:rPr>
              <w:t>Department of Health</w:t>
            </w:r>
          </w:p>
        </w:tc>
      </w:tr>
      <w:tr w:rsidR="00EB2B55" w:rsidRPr="005A1455" w14:paraId="77261822" w14:textId="77777777" w:rsidTr="003414BB">
        <w:tc>
          <w:tcPr>
            <w:tcW w:w="2263" w:type="dxa"/>
          </w:tcPr>
          <w:p w14:paraId="322C4573" w14:textId="77777777" w:rsidR="00EB2B55" w:rsidRPr="005A1455" w:rsidRDefault="00EB2B55" w:rsidP="003414BB">
            <w:pPr>
              <w:rPr>
                <w:rFonts w:cstheme="minorHAnsi"/>
                <w:sz w:val="20"/>
                <w:szCs w:val="20"/>
              </w:rPr>
            </w:pPr>
            <w:r w:rsidRPr="005A1455">
              <w:rPr>
                <w:rFonts w:cstheme="minorHAnsi"/>
                <w:sz w:val="20"/>
                <w:szCs w:val="20"/>
              </w:rPr>
              <w:t>ED</w:t>
            </w:r>
          </w:p>
        </w:tc>
        <w:tc>
          <w:tcPr>
            <w:tcW w:w="6753" w:type="dxa"/>
          </w:tcPr>
          <w:p w14:paraId="67710DAA" w14:textId="77777777" w:rsidR="00EB2B55" w:rsidRPr="005A1455" w:rsidRDefault="00EB2B55" w:rsidP="003414BB">
            <w:pPr>
              <w:rPr>
                <w:rFonts w:cstheme="minorHAnsi"/>
                <w:sz w:val="20"/>
                <w:szCs w:val="20"/>
              </w:rPr>
            </w:pPr>
            <w:r w:rsidRPr="005A1455">
              <w:rPr>
                <w:rFonts w:cstheme="minorHAnsi"/>
                <w:sz w:val="20"/>
                <w:szCs w:val="20"/>
              </w:rPr>
              <w:t xml:space="preserve">Emergency department </w:t>
            </w:r>
          </w:p>
        </w:tc>
      </w:tr>
      <w:tr w:rsidR="00EB2B55" w:rsidRPr="005A1455" w14:paraId="6DC641D0" w14:textId="77777777" w:rsidTr="003414BB">
        <w:tc>
          <w:tcPr>
            <w:tcW w:w="2263" w:type="dxa"/>
          </w:tcPr>
          <w:p w14:paraId="0B78C757" w14:textId="77777777" w:rsidR="00EB2B55" w:rsidRPr="005A1455" w:rsidRDefault="00EB2B55" w:rsidP="003414BB">
            <w:pPr>
              <w:rPr>
                <w:rFonts w:cstheme="minorHAnsi"/>
                <w:sz w:val="20"/>
                <w:szCs w:val="20"/>
              </w:rPr>
            </w:pPr>
            <w:r w:rsidRPr="005A1455">
              <w:rPr>
                <w:rFonts w:cstheme="minorHAnsi"/>
                <w:sz w:val="20"/>
                <w:szCs w:val="20"/>
              </w:rPr>
              <w:t>ESKD</w:t>
            </w:r>
          </w:p>
        </w:tc>
        <w:tc>
          <w:tcPr>
            <w:tcW w:w="6753" w:type="dxa"/>
          </w:tcPr>
          <w:p w14:paraId="3384192A" w14:textId="77777777" w:rsidR="00EB2B55" w:rsidRPr="005A1455" w:rsidRDefault="00EB2B55" w:rsidP="003414BB">
            <w:pPr>
              <w:rPr>
                <w:rFonts w:cstheme="minorHAnsi"/>
                <w:sz w:val="20"/>
                <w:szCs w:val="20"/>
              </w:rPr>
            </w:pPr>
            <w:r w:rsidRPr="005A1455">
              <w:rPr>
                <w:rFonts w:cstheme="minorHAnsi"/>
                <w:sz w:val="20"/>
                <w:szCs w:val="20"/>
              </w:rPr>
              <w:t>End stage kidney disease</w:t>
            </w:r>
          </w:p>
        </w:tc>
      </w:tr>
      <w:tr w:rsidR="00EB2B55" w:rsidRPr="005A1455" w14:paraId="3AC20AD8" w14:textId="77777777" w:rsidTr="003414BB">
        <w:tc>
          <w:tcPr>
            <w:tcW w:w="2263" w:type="dxa"/>
          </w:tcPr>
          <w:p w14:paraId="69D7B56E" w14:textId="77777777" w:rsidR="00EB2B55" w:rsidRPr="005A1455" w:rsidRDefault="00EB2B55" w:rsidP="003414BB">
            <w:pPr>
              <w:rPr>
                <w:rFonts w:cstheme="minorHAnsi"/>
                <w:sz w:val="20"/>
                <w:szCs w:val="20"/>
              </w:rPr>
            </w:pPr>
            <w:r w:rsidRPr="005A1455">
              <w:rPr>
                <w:rFonts w:cstheme="minorHAnsi"/>
                <w:sz w:val="20"/>
                <w:szCs w:val="20"/>
              </w:rPr>
              <w:t>FAAB</w:t>
            </w:r>
          </w:p>
        </w:tc>
        <w:tc>
          <w:tcPr>
            <w:tcW w:w="6753" w:type="dxa"/>
          </w:tcPr>
          <w:p w14:paraId="13583A52" w14:textId="2AA7D033" w:rsidR="00EB2B55" w:rsidRPr="005A1455" w:rsidRDefault="00EB2B55" w:rsidP="003414BB">
            <w:pPr>
              <w:rPr>
                <w:rFonts w:cstheme="minorHAnsi"/>
                <w:sz w:val="20"/>
                <w:szCs w:val="20"/>
              </w:rPr>
            </w:pPr>
            <w:r w:rsidRPr="005A1455">
              <w:rPr>
                <w:rFonts w:cstheme="minorHAnsi"/>
                <w:sz w:val="20"/>
                <w:szCs w:val="20"/>
              </w:rPr>
              <w:t xml:space="preserve">Female </w:t>
            </w:r>
            <w:r w:rsidR="00C512C3" w:rsidRPr="005A1455">
              <w:rPr>
                <w:rFonts w:cstheme="minorHAnsi"/>
                <w:sz w:val="20"/>
                <w:szCs w:val="20"/>
              </w:rPr>
              <w:t xml:space="preserve">assigned </w:t>
            </w:r>
            <w:r w:rsidRPr="005A1455">
              <w:rPr>
                <w:rFonts w:cstheme="minorHAnsi"/>
                <w:sz w:val="20"/>
                <w:szCs w:val="20"/>
              </w:rPr>
              <w:t>at birth</w:t>
            </w:r>
          </w:p>
        </w:tc>
      </w:tr>
      <w:tr w:rsidR="00EB2B55" w:rsidRPr="005A1455" w14:paraId="1A5A2BF8" w14:textId="77777777" w:rsidTr="003414BB">
        <w:tc>
          <w:tcPr>
            <w:tcW w:w="2263" w:type="dxa"/>
          </w:tcPr>
          <w:p w14:paraId="4126DD01" w14:textId="77777777" w:rsidR="00EB2B55" w:rsidRPr="005A1455" w:rsidRDefault="00EB2B55" w:rsidP="003414BB">
            <w:pPr>
              <w:rPr>
                <w:rFonts w:cstheme="minorHAnsi"/>
                <w:sz w:val="20"/>
                <w:szCs w:val="20"/>
              </w:rPr>
            </w:pPr>
            <w:r w:rsidRPr="005A1455">
              <w:rPr>
                <w:rFonts w:cstheme="minorHAnsi"/>
                <w:sz w:val="20"/>
                <w:szCs w:val="20"/>
              </w:rPr>
              <w:t>GP</w:t>
            </w:r>
          </w:p>
        </w:tc>
        <w:tc>
          <w:tcPr>
            <w:tcW w:w="6753" w:type="dxa"/>
          </w:tcPr>
          <w:p w14:paraId="0AF955B8" w14:textId="77777777" w:rsidR="00EB2B55" w:rsidRPr="005A1455" w:rsidRDefault="00EB2B55" w:rsidP="003414BB">
            <w:pPr>
              <w:rPr>
                <w:rFonts w:cstheme="minorHAnsi"/>
                <w:sz w:val="20"/>
                <w:szCs w:val="20"/>
              </w:rPr>
            </w:pPr>
            <w:r w:rsidRPr="005A1455">
              <w:rPr>
                <w:rFonts w:cstheme="minorHAnsi"/>
                <w:sz w:val="20"/>
                <w:szCs w:val="20"/>
              </w:rPr>
              <w:t>General practitioner</w:t>
            </w:r>
          </w:p>
        </w:tc>
      </w:tr>
      <w:tr w:rsidR="00EB2B55" w:rsidRPr="005A1455" w14:paraId="55B97CC6" w14:textId="77777777" w:rsidTr="003414BB">
        <w:tc>
          <w:tcPr>
            <w:tcW w:w="2263" w:type="dxa"/>
          </w:tcPr>
          <w:p w14:paraId="10557E72" w14:textId="77777777" w:rsidR="00EB2B55" w:rsidRPr="005A1455" w:rsidRDefault="00EB2B55" w:rsidP="003414BB">
            <w:pPr>
              <w:rPr>
                <w:rFonts w:cstheme="minorHAnsi"/>
                <w:sz w:val="20"/>
                <w:szCs w:val="20"/>
              </w:rPr>
            </w:pPr>
            <w:r w:rsidRPr="005A1455">
              <w:rPr>
                <w:rFonts w:cstheme="minorHAnsi"/>
                <w:sz w:val="20"/>
                <w:szCs w:val="20"/>
              </w:rPr>
              <w:t>GRADE</w:t>
            </w:r>
          </w:p>
        </w:tc>
        <w:tc>
          <w:tcPr>
            <w:tcW w:w="6753" w:type="dxa"/>
          </w:tcPr>
          <w:p w14:paraId="3AE09B7A" w14:textId="77777777" w:rsidR="00EB2B55" w:rsidRPr="005A1455" w:rsidRDefault="00EB2B55" w:rsidP="003414BB">
            <w:pPr>
              <w:rPr>
                <w:rFonts w:cstheme="minorHAnsi"/>
                <w:sz w:val="20"/>
                <w:szCs w:val="20"/>
              </w:rPr>
            </w:pPr>
            <w:r w:rsidRPr="005A1455">
              <w:rPr>
                <w:rFonts w:cstheme="minorHAnsi"/>
                <w:sz w:val="20"/>
                <w:szCs w:val="20"/>
              </w:rPr>
              <w:t>Grading of Recommendations Assessment, Development and Evaluation</w:t>
            </w:r>
          </w:p>
        </w:tc>
      </w:tr>
      <w:tr w:rsidR="00EB2B55" w:rsidRPr="005A1455" w14:paraId="133408D5" w14:textId="77777777" w:rsidTr="003414BB">
        <w:tc>
          <w:tcPr>
            <w:tcW w:w="2263" w:type="dxa"/>
          </w:tcPr>
          <w:p w14:paraId="7F981449" w14:textId="77777777" w:rsidR="00EB2B55" w:rsidRPr="005A1455" w:rsidRDefault="00EB2B55" w:rsidP="003414BB">
            <w:pPr>
              <w:rPr>
                <w:rFonts w:cstheme="minorHAnsi"/>
                <w:sz w:val="20"/>
                <w:szCs w:val="20"/>
              </w:rPr>
            </w:pPr>
            <w:r w:rsidRPr="005A1455">
              <w:rPr>
                <w:rFonts w:cstheme="minorHAnsi"/>
                <w:sz w:val="20"/>
                <w:szCs w:val="20"/>
              </w:rPr>
              <w:t>HF</w:t>
            </w:r>
          </w:p>
          <w:p w14:paraId="47F48F85" w14:textId="6DEB4151" w:rsidR="00A11FA0" w:rsidRPr="005A1455" w:rsidRDefault="00A11FA0" w:rsidP="003414BB">
            <w:pPr>
              <w:rPr>
                <w:rFonts w:cstheme="minorHAnsi"/>
                <w:sz w:val="20"/>
                <w:szCs w:val="20"/>
              </w:rPr>
            </w:pPr>
            <w:r w:rsidRPr="005A1455">
              <w:rPr>
                <w:rFonts w:cstheme="minorHAnsi"/>
                <w:sz w:val="20"/>
                <w:szCs w:val="20"/>
              </w:rPr>
              <w:t>HILDA</w:t>
            </w:r>
          </w:p>
        </w:tc>
        <w:tc>
          <w:tcPr>
            <w:tcW w:w="6753" w:type="dxa"/>
          </w:tcPr>
          <w:p w14:paraId="6F26271A" w14:textId="77777777" w:rsidR="00EB2B55" w:rsidRPr="005A1455" w:rsidRDefault="00EB2B55" w:rsidP="003414BB">
            <w:pPr>
              <w:rPr>
                <w:rFonts w:cstheme="minorHAnsi"/>
                <w:sz w:val="20"/>
                <w:szCs w:val="20"/>
              </w:rPr>
            </w:pPr>
            <w:r w:rsidRPr="005A1455">
              <w:rPr>
                <w:rFonts w:cstheme="minorHAnsi"/>
                <w:sz w:val="20"/>
                <w:szCs w:val="20"/>
              </w:rPr>
              <w:t>Heart Failure</w:t>
            </w:r>
          </w:p>
          <w:p w14:paraId="0C32C81F" w14:textId="0DAB5456" w:rsidR="00C51DC4" w:rsidRPr="005A1455" w:rsidRDefault="00B92334" w:rsidP="00855B40">
            <w:pPr>
              <w:pStyle w:val="NormalWeb"/>
              <w:spacing w:before="0" w:beforeAutospacing="0" w:after="0" w:afterAutospacing="0"/>
              <w:rPr>
                <w:rFonts w:asciiTheme="minorHAnsi" w:hAnsiTheme="minorHAnsi" w:cstheme="minorHAnsi"/>
                <w:color w:val="2D2D2D"/>
                <w:spacing w:val="-2"/>
                <w:sz w:val="20"/>
                <w:szCs w:val="20"/>
              </w:rPr>
            </w:pPr>
            <w:r w:rsidRPr="005A1455">
              <w:rPr>
                <w:rFonts w:asciiTheme="minorHAnsi" w:hAnsiTheme="minorHAnsi" w:cstheme="minorHAnsi"/>
                <w:sz w:val="20"/>
                <w:szCs w:val="20"/>
              </w:rPr>
              <w:t>Household, Income and Labour Dynamics in Australia</w:t>
            </w:r>
          </w:p>
        </w:tc>
      </w:tr>
      <w:tr w:rsidR="00EB2B55" w:rsidRPr="005A1455" w14:paraId="32BDBD31" w14:textId="77777777" w:rsidTr="003414BB">
        <w:tc>
          <w:tcPr>
            <w:tcW w:w="2263" w:type="dxa"/>
          </w:tcPr>
          <w:p w14:paraId="4E43965D" w14:textId="77777777" w:rsidR="00EB2B55" w:rsidRPr="005A1455" w:rsidRDefault="00EB2B55" w:rsidP="003414BB">
            <w:pPr>
              <w:rPr>
                <w:rFonts w:cstheme="minorHAnsi"/>
                <w:sz w:val="20"/>
                <w:szCs w:val="20"/>
              </w:rPr>
            </w:pPr>
            <w:r w:rsidRPr="005A1455">
              <w:rPr>
                <w:rFonts w:cstheme="minorHAnsi"/>
                <w:sz w:val="20"/>
                <w:szCs w:val="20"/>
              </w:rPr>
              <w:t>HIV</w:t>
            </w:r>
          </w:p>
        </w:tc>
        <w:tc>
          <w:tcPr>
            <w:tcW w:w="6753" w:type="dxa"/>
          </w:tcPr>
          <w:p w14:paraId="11EC5677" w14:textId="77777777" w:rsidR="00EB2B55" w:rsidRPr="005A1455" w:rsidRDefault="00EB2B55" w:rsidP="003414BB">
            <w:pPr>
              <w:rPr>
                <w:rFonts w:cstheme="minorHAnsi"/>
                <w:sz w:val="20"/>
                <w:szCs w:val="20"/>
              </w:rPr>
            </w:pPr>
            <w:r w:rsidRPr="005A1455">
              <w:rPr>
                <w:rFonts w:cstheme="minorHAnsi"/>
                <w:sz w:val="20"/>
                <w:szCs w:val="20"/>
              </w:rPr>
              <w:t>Human immunodeficiency virus</w:t>
            </w:r>
          </w:p>
        </w:tc>
      </w:tr>
      <w:tr w:rsidR="00EB2B55" w:rsidRPr="005A1455" w14:paraId="3772BB63" w14:textId="77777777" w:rsidTr="003414BB">
        <w:tc>
          <w:tcPr>
            <w:tcW w:w="2263" w:type="dxa"/>
          </w:tcPr>
          <w:p w14:paraId="340FCFDA" w14:textId="77777777" w:rsidR="00EB2B55" w:rsidRPr="005A1455" w:rsidRDefault="00EB2B55" w:rsidP="003414BB">
            <w:pPr>
              <w:rPr>
                <w:rFonts w:cstheme="minorHAnsi"/>
                <w:sz w:val="20"/>
                <w:szCs w:val="20"/>
              </w:rPr>
            </w:pPr>
            <w:r w:rsidRPr="005A1455">
              <w:rPr>
                <w:rFonts w:cstheme="minorHAnsi"/>
                <w:sz w:val="20"/>
                <w:szCs w:val="20"/>
              </w:rPr>
              <w:t>ICD</w:t>
            </w:r>
          </w:p>
        </w:tc>
        <w:tc>
          <w:tcPr>
            <w:tcW w:w="6753" w:type="dxa"/>
          </w:tcPr>
          <w:p w14:paraId="5DA5A9DF" w14:textId="77777777" w:rsidR="00EB2B55" w:rsidRPr="005A1455" w:rsidRDefault="00EB2B55" w:rsidP="003414BB">
            <w:pPr>
              <w:rPr>
                <w:rFonts w:cstheme="minorHAnsi"/>
                <w:sz w:val="20"/>
                <w:szCs w:val="20"/>
              </w:rPr>
            </w:pPr>
            <w:r w:rsidRPr="005A1455">
              <w:rPr>
                <w:rFonts w:cstheme="minorHAnsi"/>
                <w:sz w:val="20"/>
                <w:szCs w:val="20"/>
              </w:rPr>
              <w:t>Implantable cardioverter defibrillators</w:t>
            </w:r>
          </w:p>
        </w:tc>
      </w:tr>
      <w:tr w:rsidR="00EB2B55" w:rsidRPr="005A1455" w14:paraId="3A8C2C4E" w14:textId="77777777" w:rsidTr="003414BB">
        <w:tc>
          <w:tcPr>
            <w:tcW w:w="2263" w:type="dxa"/>
          </w:tcPr>
          <w:p w14:paraId="478B839B" w14:textId="77777777" w:rsidR="00EB2B55" w:rsidRPr="005A1455" w:rsidRDefault="00EB2B55" w:rsidP="003414BB">
            <w:pPr>
              <w:rPr>
                <w:rFonts w:cstheme="minorHAnsi"/>
                <w:sz w:val="20"/>
                <w:szCs w:val="20"/>
              </w:rPr>
            </w:pPr>
            <w:r w:rsidRPr="005A1455">
              <w:rPr>
                <w:rFonts w:cstheme="minorHAnsi"/>
                <w:sz w:val="20"/>
                <w:szCs w:val="20"/>
              </w:rPr>
              <w:t>ICMJE</w:t>
            </w:r>
          </w:p>
        </w:tc>
        <w:tc>
          <w:tcPr>
            <w:tcW w:w="6753" w:type="dxa"/>
          </w:tcPr>
          <w:p w14:paraId="4E44A574" w14:textId="77777777" w:rsidR="00EB2B55" w:rsidRPr="005A1455" w:rsidRDefault="00EB2B55" w:rsidP="003414BB">
            <w:pPr>
              <w:rPr>
                <w:rFonts w:cstheme="minorHAnsi"/>
                <w:sz w:val="20"/>
                <w:szCs w:val="20"/>
              </w:rPr>
            </w:pPr>
            <w:r w:rsidRPr="005A1455">
              <w:rPr>
                <w:rFonts w:cstheme="minorHAnsi"/>
                <w:sz w:val="20"/>
                <w:szCs w:val="20"/>
              </w:rPr>
              <w:t>International Committee of Medical Journal Editors</w:t>
            </w:r>
          </w:p>
        </w:tc>
      </w:tr>
      <w:tr w:rsidR="00EB2B55" w:rsidRPr="005A1455" w14:paraId="374062AE" w14:textId="77777777" w:rsidTr="003414BB">
        <w:tc>
          <w:tcPr>
            <w:tcW w:w="2263" w:type="dxa"/>
          </w:tcPr>
          <w:p w14:paraId="2E8C8C05" w14:textId="77777777" w:rsidR="00EB2B55" w:rsidRPr="005A1455" w:rsidRDefault="00EB2B55" w:rsidP="003414BB">
            <w:pPr>
              <w:rPr>
                <w:rFonts w:cstheme="minorHAnsi"/>
                <w:sz w:val="20"/>
                <w:szCs w:val="20"/>
              </w:rPr>
            </w:pPr>
            <w:r w:rsidRPr="005A1455">
              <w:rPr>
                <w:rFonts w:cstheme="minorHAnsi"/>
                <w:sz w:val="20"/>
                <w:szCs w:val="20"/>
              </w:rPr>
              <w:t>ICU</w:t>
            </w:r>
          </w:p>
        </w:tc>
        <w:tc>
          <w:tcPr>
            <w:tcW w:w="6753" w:type="dxa"/>
          </w:tcPr>
          <w:p w14:paraId="60E473EE" w14:textId="77777777" w:rsidR="00EB2B55" w:rsidRPr="005A1455" w:rsidRDefault="00EB2B55" w:rsidP="003414BB">
            <w:pPr>
              <w:rPr>
                <w:rFonts w:cstheme="minorHAnsi"/>
                <w:sz w:val="20"/>
                <w:szCs w:val="20"/>
              </w:rPr>
            </w:pPr>
            <w:r w:rsidRPr="005A1455">
              <w:rPr>
                <w:rFonts w:cstheme="minorHAnsi"/>
                <w:sz w:val="20"/>
                <w:szCs w:val="20"/>
              </w:rPr>
              <w:t>Intensive Care Unit</w:t>
            </w:r>
          </w:p>
        </w:tc>
      </w:tr>
      <w:tr w:rsidR="00EB2B55" w:rsidRPr="005A1455" w14:paraId="56BB9B5E" w14:textId="77777777" w:rsidTr="003414BB">
        <w:tc>
          <w:tcPr>
            <w:tcW w:w="2263" w:type="dxa"/>
          </w:tcPr>
          <w:p w14:paraId="3C16724C" w14:textId="45632BFB" w:rsidR="00EB2B55" w:rsidRPr="005A1455" w:rsidRDefault="00EB2B55" w:rsidP="003414BB">
            <w:pPr>
              <w:rPr>
                <w:rFonts w:cstheme="minorHAnsi"/>
                <w:sz w:val="20"/>
                <w:szCs w:val="20"/>
              </w:rPr>
            </w:pPr>
            <w:r w:rsidRPr="005A1455">
              <w:rPr>
                <w:rFonts w:cstheme="minorHAnsi"/>
                <w:sz w:val="20"/>
                <w:szCs w:val="20"/>
              </w:rPr>
              <w:t>LGBTQ</w:t>
            </w:r>
            <w:r w:rsidR="00A17E12" w:rsidRPr="005A1455">
              <w:rPr>
                <w:rFonts w:cstheme="minorHAnsi"/>
                <w:sz w:val="20"/>
                <w:szCs w:val="20"/>
              </w:rPr>
              <w:t>I</w:t>
            </w:r>
          </w:p>
        </w:tc>
        <w:tc>
          <w:tcPr>
            <w:tcW w:w="6753" w:type="dxa"/>
          </w:tcPr>
          <w:p w14:paraId="442B9338" w14:textId="084001FC" w:rsidR="00EB2B55" w:rsidRPr="005A1455" w:rsidRDefault="00EB2B55" w:rsidP="003414BB">
            <w:pPr>
              <w:rPr>
                <w:rFonts w:cstheme="minorHAnsi"/>
                <w:sz w:val="20"/>
                <w:szCs w:val="20"/>
              </w:rPr>
            </w:pPr>
            <w:r w:rsidRPr="005A1455">
              <w:rPr>
                <w:rFonts w:cstheme="minorHAnsi"/>
                <w:sz w:val="20"/>
                <w:szCs w:val="20"/>
              </w:rPr>
              <w:t>Lesbian, gay, bisexual, transgender, queer or questioning,</w:t>
            </w:r>
            <w:r w:rsidR="00A17E12" w:rsidRPr="005A1455">
              <w:rPr>
                <w:rFonts w:cstheme="minorHAnsi"/>
                <w:sz w:val="20"/>
                <w:szCs w:val="20"/>
              </w:rPr>
              <w:t xml:space="preserve"> intersex</w:t>
            </w:r>
          </w:p>
        </w:tc>
      </w:tr>
      <w:tr w:rsidR="00EB2B55" w:rsidRPr="005A1455" w14:paraId="4A94231B" w14:textId="77777777" w:rsidTr="003414BB">
        <w:tc>
          <w:tcPr>
            <w:tcW w:w="2263" w:type="dxa"/>
          </w:tcPr>
          <w:p w14:paraId="76443EAF" w14:textId="77777777" w:rsidR="00EB2B55" w:rsidRPr="005A1455" w:rsidRDefault="00EB2B55" w:rsidP="003414BB">
            <w:pPr>
              <w:rPr>
                <w:rFonts w:cstheme="minorHAnsi"/>
                <w:sz w:val="20"/>
                <w:szCs w:val="20"/>
              </w:rPr>
            </w:pPr>
            <w:r w:rsidRPr="005A1455">
              <w:rPr>
                <w:rFonts w:cstheme="minorHAnsi"/>
                <w:sz w:val="20"/>
                <w:szCs w:val="20"/>
              </w:rPr>
              <w:t>LVEF</w:t>
            </w:r>
          </w:p>
        </w:tc>
        <w:tc>
          <w:tcPr>
            <w:tcW w:w="6753" w:type="dxa"/>
          </w:tcPr>
          <w:p w14:paraId="3325C21A" w14:textId="77777777" w:rsidR="00EB2B55" w:rsidRPr="005A1455" w:rsidRDefault="00EB2B55" w:rsidP="003414BB">
            <w:pPr>
              <w:rPr>
                <w:rFonts w:cstheme="minorHAnsi"/>
                <w:sz w:val="20"/>
                <w:szCs w:val="20"/>
              </w:rPr>
            </w:pPr>
            <w:r w:rsidRPr="005A1455">
              <w:rPr>
                <w:rFonts w:cstheme="minorHAnsi"/>
                <w:sz w:val="20"/>
                <w:szCs w:val="20"/>
              </w:rPr>
              <w:t>Left ventricular ejection fraction</w:t>
            </w:r>
          </w:p>
        </w:tc>
      </w:tr>
      <w:tr w:rsidR="00EB2B55" w:rsidRPr="005A1455" w14:paraId="6AC1A601" w14:textId="77777777" w:rsidTr="003414BB">
        <w:tc>
          <w:tcPr>
            <w:tcW w:w="2263" w:type="dxa"/>
          </w:tcPr>
          <w:p w14:paraId="30139D79" w14:textId="77777777" w:rsidR="00EB2B55" w:rsidRPr="005A1455" w:rsidRDefault="00EB2B55" w:rsidP="003414BB">
            <w:pPr>
              <w:rPr>
                <w:rFonts w:cstheme="minorHAnsi"/>
                <w:sz w:val="20"/>
                <w:szCs w:val="20"/>
              </w:rPr>
            </w:pPr>
            <w:r w:rsidRPr="005A1455">
              <w:rPr>
                <w:rFonts w:cstheme="minorHAnsi"/>
                <w:sz w:val="20"/>
                <w:szCs w:val="20"/>
              </w:rPr>
              <w:t>MAAB</w:t>
            </w:r>
          </w:p>
        </w:tc>
        <w:tc>
          <w:tcPr>
            <w:tcW w:w="6753" w:type="dxa"/>
          </w:tcPr>
          <w:p w14:paraId="7B8CFC8D" w14:textId="5264686A" w:rsidR="00EB2B55" w:rsidRPr="005A1455" w:rsidRDefault="00EB2B55" w:rsidP="003414BB">
            <w:pPr>
              <w:rPr>
                <w:rFonts w:cstheme="minorHAnsi"/>
                <w:sz w:val="20"/>
                <w:szCs w:val="20"/>
              </w:rPr>
            </w:pPr>
            <w:r w:rsidRPr="005A1455">
              <w:rPr>
                <w:rFonts w:cstheme="minorHAnsi"/>
                <w:sz w:val="20"/>
                <w:szCs w:val="20"/>
              </w:rPr>
              <w:t xml:space="preserve">Male </w:t>
            </w:r>
            <w:r w:rsidR="00A17E12" w:rsidRPr="005A1455">
              <w:rPr>
                <w:rFonts w:cstheme="minorHAnsi"/>
                <w:sz w:val="20"/>
                <w:szCs w:val="20"/>
              </w:rPr>
              <w:t xml:space="preserve">assigned </w:t>
            </w:r>
            <w:r w:rsidRPr="005A1455">
              <w:rPr>
                <w:rFonts w:cstheme="minorHAnsi"/>
                <w:sz w:val="20"/>
                <w:szCs w:val="20"/>
              </w:rPr>
              <w:t>at birth</w:t>
            </w:r>
          </w:p>
        </w:tc>
      </w:tr>
      <w:tr w:rsidR="00EB2B55" w:rsidRPr="005A1455" w14:paraId="01C6C2A9" w14:textId="77777777" w:rsidTr="003414BB">
        <w:tc>
          <w:tcPr>
            <w:tcW w:w="2263" w:type="dxa"/>
          </w:tcPr>
          <w:p w14:paraId="220A6D13" w14:textId="77777777" w:rsidR="00EB2B55" w:rsidRPr="005A1455" w:rsidRDefault="00EB2B55" w:rsidP="003414BB">
            <w:pPr>
              <w:rPr>
                <w:rFonts w:cstheme="minorHAnsi"/>
                <w:sz w:val="20"/>
                <w:szCs w:val="20"/>
              </w:rPr>
            </w:pPr>
            <w:r w:rsidRPr="005A1455">
              <w:rPr>
                <w:rFonts w:cstheme="minorHAnsi"/>
                <w:sz w:val="20"/>
                <w:szCs w:val="20"/>
              </w:rPr>
              <w:t>NHMRC</w:t>
            </w:r>
          </w:p>
        </w:tc>
        <w:tc>
          <w:tcPr>
            <w:tcW w:w="6753" w:type="dxa"/>
          </w:tcPr>
          <w:p w14:paraId="05073D49" w14:textId="77777777" w:rsidR="00EB2B55" w:rsidRPr="005A1455" w:rsidRDefault="00EB2B55" w:rsidP="003414BB">
            <w:pPr>
              <w:rPr>
                <w:rFonts w:cstheme="minorHAnsi"/>
                <w:sz w:val="20"/>
                <w:szCs w:val="20"/>
              </w:rPr>
            </w:pPr>
            <w:r w:rsidRPr="005A1455">
              <w:rPr>
                <w:rFonts w:cstheme="minorHAnsi"/>
                <w:sz w:val="20"/>
                <w:szCs w:val="20"/>
              </w:rPr>
              <w:t>National Health and Medical Research Council</w:t>
            </w:r>
          </w:p>
        </w:tc>
      </w:tr>
      <w:tr w:rsidR="00EB2B55" w:rsidRPr="005A1455" w14:paraId="52404F9A" w14:textId="77777777" w:rsidTr="003414BB">
        <w:tc>
          <w:tcPr>
            <w:tcW w:w="2263" w:type="dxa"/>
          </w:tcPr>
          <w:p w14:paraId="41267628" w14:textId="77777777" w:rsidR="00EB2B55" w:rsidRPr="005A1455" w:rsidRDefault="00EB2B55" w:rsidP="003414BB">
            <w:pPr>
              <w:rPr>
                <w:rFonts w:cstheme="minorHAnsi"/>
                <w:sz w:val="20"/>
                <w:szCs w:val="20"/>
              </w:rPr>
            </w:pPr>
            <w:r w:rsidRPr="005A1455">
              <w:rPr>
                <w:rFonts w:cstheme="minorHAnsi"/>
                <w:sz w:val="20"/>
                <w:szCs w:val="20"/>
              </w:rPr>
              <w:t>OT</w:t>
            </w:r>
          </w:p>
        </w:tc>
        <w:tc>
          <w:tcPr>
            <w:tcW w:w="6753" w:type="dxa"/>
          </w:tcPr>
          <w:p w14:paraId="7B8FAF2D" w14:textId="77777777" w:rsidR="00EB2B55" w:rsidRPr="005A1455" w:rsidRDefault="00EB2B55" w:rsidP="003414BB">
            <w:pPr>
              <w:rPr>
                <w:rFonts w:cstheme="minorHAnsi"/>
                <w:sz w:val="20"/>
                <w:szCs w:val="20"/>
              </w:rPr>
            </w:pPr>
            <w:r w:rsidRPr="005A1455">
              <w:rPr>
                <w:rFonts w:cstheme="minorHAnsi"/>
                <w:sz w:val="20"/>
                <w:szCs w:val="20"/>
              </w:rPr>
              <w:t>Occupational therapy/therapist</w:t>
            </w:r>
          </w:p>
        </w:tc>
      </w:tr>
      <w:tr w:rsidR="00EB2B55" w:rsidRPr="005A1455" w14:paraId="1CE23FFA" w14:textId="77777777" w:rsidTr="003414BB">
        <w:tc>
          <w:tcPr>
            <w:tcW w:w="2263" w:type="dxa"/>
          </w:tcPr>
          <w:p w14:paraId="083AA356" w14:textId="77777777" w:rsidR="00EB2B55" w:rsidRPr="005A1455" w:rsidRDefault="00EB2B55" w:rsidP="003414BB">
            <w:pPr>
              <w:rPr>
                <w:rFonts w:cstheme="minorHAnsi"/>
                <w:sz w:val="20"/>
                <w:szCs w:val="20"/>
              </w:rPr>
            </w:pPr>
            <w:r w:rsidRPr="005A1455">
              <w:rPr>
                <w:rFonts w:cstheme="minorHAnsi"/>
                <w:sz w:val="20"/>
                <w:szCs w:val="20"/>
              </w:rPr>
              <w:t>Ophelia</w:t>
            </w:r>
          </w:p>
        </w:tc>
        <w:tc>
          <w:tcPr>
            <w:tcW w:w="6753" w:type="dxa"/>
          </w:tcPr>
          <w:p w14:paraId="4C98CC4B" w14:textId="1B7C84CB" w:rsidR="00EB2B55" w:rsidRPr="005A1455" w:rsidRDefault="00A17E12" w:rsidP="003414BB">
            <w:pPr>
              <w:rPr>
                <w:rFonts w:cstheme="minorHAnsi"/>
                <w:sz w:val="20"/>
                <w:szCs w:val="20"/>
              </w:rPr>
            </w:pPr>
            <w:r w:rsidRPr="005A1455">
              <w:rPr>
                <w:rFonts w:cstheme="minorHAnsi"/>
                <w:sz w:val="20"/>
                <w:szCs w:val="20"/>
              </w:rPr>
              <w:t xml:space="preserve">Optimising </w:t>
            </w:r>
            <w:r w:rsidR="00EB2B55" w:rsidRPr="005A1455">
              <w:rPr>
                <w:rFonts w:cstheme="minorHAnsi"/>
                <w:sz w:val="20"/>
                <w:szCs w:val="20"/>
              </w:rPr>
              <w:t>Health Literacy and Access</w:t>
            </w:r>
          </w:p>
        </w:tc>
      </w:tr>
      <w:tr w:rsidR="00EB2B55" w:rsidRPr="005A1455" w14:paraId="78E94DE7" w14:textId="77777777" w:rsidTr="003414BB">
        <w:tc>
          <w:tcPr>
            <w:tcW w:w="2263" w:type="dxa"/>
          </w:tcPr>
          <w:p w14:paraId="2EBD0E6C" w14:textId="77777777" w:rsidR="00EB2B55" w:rsidRPr="005A1455" w:rsidRDefault="00EB2B55" w:rsidP="003414BB">
            <w:pPr>
              <w:rPr>
                <w:rFonts w:cstheme="minorHAnsi"/>
                <w:sz w:val="20"/>
                <w:szCs w:val="20"/>
              </w:rPr>
            </w:pPr>
            <w:r w:rsidRPr="005A1455">
              <w:rPr>
                <w:rFonts w:cstheme="minorHAnsi"/>
                <w:sz w:val="20"/>
                <w:szCs w:val="20"/>
              </w:rPr>
              <w:t>PAHO</w:t>
            </w:r>
          </w:p>
        </w:tc>
        <w:tc>
          <w:tcPr>
            <w:tcW w:w="6753" w:type="dxa"/>
          </w:tcPr>
          <w:p w14:paraId="25DF0C58" w14:textId="77777777" w:rsidR="00EB2B55" w:rsidRPr="005A1455" w:rsidRDefault="00EB2B55" w:rsidP="003414BB">
            <w:pPr>
              <w:rPr>
                <w:rFonts w:cstheme="minorHAnsi"/>
                <w:sz w:val="20"/>
                <w:szCs w:val="20"/>
              </w:rPr>
            </w:pPr>
            <w:r w:rsidRPr="005A1455">
              <w:rPr>
                <w:rFonts w:cstheme="minorHAnsi"/>
                <w:sz w:val="20"/>
                <w:szCs w:val="20"/>
              </w:rPr>
              <w:t>Pan American Health Organization</w:t>
            </w:r>
          </w:p>
        </w:tc>
      </w:tr>
      <w:tr w:rsidR="00EB2B55" w:rsidRPr="005A1455" w14:paraId="0BCDDFD6" w14:textId="77777777" w:rsidTr="003414BB">
        <w:tc>
          <w:tcPr>
            <w:tcW w:w="2263" w:type="dxa"/>
          </w:tcPr>
          <w:p w14:paraId="295E9121" w14:textId="77777777" w:rsidR="00EB2B55" w:rsidRPr="005A1455" w:rsidRDefault="00EB2B55" w:rsidP="003414BB">
            <w:pPr>
              <w:rPr>
                <w:rFonts w:cstheme="minorHAnsi"/>
                <w:sz w:val="20"/>
                <w:szCs w:val="20"/>
              </w:rPr>
            </w:pPr>
            <w:r w:rsidRPr="005A1455">
              <w:rPr>
                <w:rFonts w:cstheme="minorHAnsi"/>
                <w:sz w:val="20"/>
                <w:szCs w:val="20"/>
              </w:rPr>
              <w:t>PCI</w:t>
            </w:r>
          </w:p>
        </w:tc>
        <w:tc>
          <w:tcPr>
            <w:tcW w:w="6753" w:type="dxa"/>
          </w:tcPr>
          <w:p w14:paraId="2BF25C5B" w14:textId="77777777" w:rsidR="00EB2B55" w:rsidRPr="005A1455" w:rsidRDefault="00EB2B55" w:rsidP="003414BB">
            <w:pPr>
              <w:rPr>
                <w:rFonts w:cstheme="minorHAnsi"/>
                <w:sz w:val="20"/>
                <w:szCs w:val="20"/>
              </w:rPr>
            </w:pPr>
            <w:r w:rsidRPr="005A1455">
              <w:rPr>
                <w:rFonts w:cstheme="minorHAnsi"/>
                <w:sz w:val="20"/>
                <w:szCs w:val="20"/>
              </w:rPr>
              <w:t>Percutaneous coronary intervention</w:t>
            </w:r>
          </w:p>
        </w:tc>
      </w:tr>
      <w:tr w:rsidR="00EB2B55" w:rsidRPr="005A1455" w14:paraId="1DA68F8F" w14:textId="77777777" w:rsidTr="003414BB">
        <w:tc>
          <w:tcPr>
            <w:tcW w:w="2263" w:type="dxa"/>
          </w:tcPr>
          <w:p w14:paraId="7410C0DF" w14:textId="77777777" w:rsidR="00EB2B55" w:rsidRPr="005A1455" w:rsidRDefault="00EB2B55" w:rsidP="003414BB">
            <w:pPr>
              <w:rPr>
                <w:rFonts w:cstheme="minorHAnsi"/>
                <w:sz w:val="20"/>
                <w:szCs w:val="20"/>
              </w:rPr>
            </w:pPr>
            <w:r w:rsidRPr="005A1455">
              <w:rPr>
                <w:rFonts w:cstheme="minorHAnsi"/>
                <w:sz w:val="20"/>
                <w:szCs w:val="20"/>
              </w:rPr>
              <w:t>PRISMA</w:t>
            </w:r>
          </w:p>
        </w:tc>
        <w:tc>
          <w:tcPr>
            <w:tcW w:w="6753" w:type="dxa"/>
          </w:tcPr>
          <w:p w14:paraId="41C42AB1" w14:textId="77777777" w:rsidR="00EB2B55" w:rsidRPr="005A1455" w:rsidRDefault="00EB2B55" w:rsidP="003414BB">
            <w:pPr>
              <w:rPr>
                <w:rFonts w:cstheme="minorHAnsi"/>
                <w:sz w:val="20"/>
                <w:szCs w:val="20"/>
              </w:rPr>
            </w:pPr>
            <w:r w:rsidRPr="005A1455">
              <w:rPr>
                <w:rFonts w:cstheme="minorHAnsi"/>
                <w:sz w:val="20"/>
                <w:szCs w:val="20"/>
              </w:rPr>
              <w:t>Preferred Reporting Items for Systematic reviews and Meta-Analyses</w:t>
            </w:r>
          </w:p>
        </w:tc>
      </w:tr>
      <w:tr w:rsidR="00EB2B55" w:rsidRPr="005A1455" w14:paraId="3AD8D405" w14:textId="77777777" w:rsidTr="003414BB">
        <w:tc>
          <w:tcPr>
            <w:tcW w:w="2263" w:type="dxa"/>
          </w:tcPr>
          <w:p w14:paraId="19DE30D3" w14:textId="77777777" w:rsidR="00EB2B55" w:rsidRPr="005A1455" w:rsidRDefault="00EB2B55" w:rsidP="003414BB">
            <w:pPr>
              <w:rPr>
                <w:rFonts w:cstheme="minorHAnsi"/>
                <w:sz w:val="20"/>
                <w:szCs w:val="20"/>
              </w:rPr>
            </w:pPr>
            <w:r w:rsidRPr="005A1455">
              <w:rPr>
                <w:rFonts w:cstheme="minorHAnsi"/>
                <w:sz w:val="20"/>
                <w:szCs w:val="20"/>
              </w:rPr>
              <w:t>PT</w:t>
            </w:r>
          </w:p>
        </w:tc>
        <w:tc>
          <w:tcPr>
            <w:tcW w:w="6753" w:type="dxa"/>
          </w:tcPr>
          <w:p w14:paraId="7C03DA40" w14:textId="2612DF77" w:rsidR="00EB2B55" w:rsidRPr="005A1455" w:rsidRDefault="00EB2B55" w:rsidP="003414BB">
            <w:pPr>
              <w:rPr>
                <w:rFonts w:cstheme="minorHAnsi"/>
                <w:sz w:val="20"/>
                <w:szCs w:val="20"/>
              </w:rPr>
            </w:pPr>
            <w:r w:rsidRPr="005A1455">
              <w:rPr>
                <w:rFonts w:cstheme="minorHAnsi"/>
                <w:sz w:val="20"/>
                <w:szCs w:val="20"/>
              </w:rPr>
              <w:t>Physical therapy/therapists</w:t>
            </w:r>
            <w:r w:rsidR="00A17E12" w:rsidRPr="005A1455">
              <w:rPr>
                <w:rFonts w:cstheme="minorHAnsi"/>
                <w:sz w:val="20"/>
                <w:szCs w:val="20"/>
              </w:rPr>
              <w:t>, physiotherapists</w:t>
            </w:r>
          </w:p>
        </w:tc>
      </w:tr>
      <w:tr w:rsidR="00EB2B55" w:rsidRPr="005A1455" w14:paraId="256FF775" w14:textId="77777777" w:rsidTr="003414BB">
        <w:tc>
          <w:tcPr>
            <w:tcW w:w="2263" w:type="dxa"/>
          </w:tcPr>
          <w:p w14:paraId="2B4A8694" w14:textId="12FF22A9" w:rsidR="00EB2B55" w:rsidRPr="005A1455" w:rsidRDefault="00A17E12" w:rsidP="003414BB">
            <w:pPr>
              <w:rPr>
                <w:rFonts w:cstheme="minorHAnsi"/>
                <w:sz w:val="20"/>
                <w:szCs w:val="20"/>
              </w:rPr>
            </w:pPr>
            <w:proofErr w:type="spellStart"/>
            <w:r w:rsidRPr="005A1455">
              <w:rPr>
                <w:rFonts w:cstheme="minorHAnsi"/>
                <w:sz w:val="20"/>
                <w:szCs w:val="20"/>
              </w:rPr>
              <w:t>QoC</w:t>
            </w:r>
            <w:proofErr w:type="spellEnd"/>
          </w:p>
        </w:tc>
        <w:tc>
          <w:tcPr>
            <w:tcW w:w="6753" w:type="dxa"/>
          </w:tcPr>
          <w:p w14:paraId="6519AF89" w14:textId="77777777" w:rsidR="00EB2B55" w:rsidRPr="005A1455" w:rsidRDefault="00EB2B55" w:rsidP="003414BB">
            <w:pPr>
              <w:rPr>
                <w:rFonts w:cstheme="minorHAnsi"/>
                <w:sz w:val="20"/>
                <w:szCs w:val="20"/>
              </w:rPr>
            </w:pPr>
            <w:r w:rsidRPr="005A1455">
              <w:rPr>
                <w:rFonts w:cstheme="minorHAnsi"/>
                <w:sz w:val="20"/>
                <w:szCs w:val="20"/>
              </w:rPr>
              <w:t>Quality of care</w:t>
            </w:r>
          </w:p>
        </w:tc>
      </w:tr>
      <w:tr w:rsidR="00EB2B55" w:rsidRPr="005A1455" w14:paraId="725ECA59" w14:textId="77777777" w:rsidTr="003414BB">
        <w:tc>
          <w:tcPr>
            <w:tcW w:w="2263" w:type="dxa"/>
          </w:tcPr>
          <w:p w14:paraId="5375116E" w14:textId="77777777" w:rsidR="00EB2B55" w:rsidRPr="005A1455" w:rsidRDefault="00EB2B55" w:rsidP="003414BB">
            <w:pPr>
              <w:rPr>
                <w:rFonts w:cstheme="minorHAnsi"/>
                <w:sz w:val="20"/>
                <w:szCs w:val="20"/>
              </w:rPr>
            </w:pPr>
            <w:r w:rsidRPr="005A1455">
              <w:rPr>
                <w:rFonts w:cstheme="minorHAnsi"/>
                <w:sz w:val="20"/>
                <w:szCs w:val="20"/>
              </w:rPr>
              <w:t>RANZCP</w:t>
            </w:r>
          </w:p>
        </w:tc>
        <w:tc>
          <w:tcPr>
            <w:tcW w:w="6753" w:type="dxa"/>
          </w:tcPr>
          <w:p w14:paraId="4D2A7F34" w14:textId="77777777" w:rsidR="00EB2B55" w:rsidRPr="005A1455" w:rsidRDefault="00EB2B55" w:rsidP="003414BB">
            <w:pPr>
              <w:rPr>
                <w:rFonts w:cstheme="minorHAnsi"/>
                <w:sz w:val="20"/>
                <w:szCs w:val="20"/>
              </w:rPr>
            </w:pPr>
            <w:r w:rsidRPr="005A1455">
              <w:rPr>
                <w:rFonts w:cstheme="minorHAnsi"/>
                <w:sz w:val="20"/>
                <w:szCs w:val="20"/>
              </w:rPr>
              <w:t>Royal Australian and New Zealand College of Psychiatrists</w:t>
            </w:r>
          </w:p>
        </w:tc>
      </w:tr>
      <w:tr w:rsidR="00EB2B55" w:rsidRPr="005A1455" w14:paraId="74A41138" w14:textId="77777777" w:rsidTr="003414BB">
        <w:tc>
          <w:tcPr>
            <w:tcW w:w="2263" w:type="dxa"/>
          </w:tcPr>
          <w:p w14:paraId="3985BE14" w14:textId="77777777" w:rsidR="00EB2B55" w:rsidRPr="005A1455" w:rsidRDefault="00EB2B55" w:rsidP="003414BB">
            <w:pPr>
              <w:rPr>
                <w:rFonts w:cstheme="minorHAnsi"/>
                <w:sz w:val="20"/>
                <w:szCs w:val="20"/>
              </w:rPr>
            </w:pPr>
            <w:r w:rsidRPr="005A1455">
              <w:rPr>
                <w:rFonts w:cstheme="minorHAnsi"/>
                <w:sz w:val="20"/>
                <w:szCs w:val="20"/>
              </w:rPr>
              <w:t>RCT</w:t>
            </w:r>
          </w:p>
        </w:tc>
        <w:tc>
          <w:tcPr>
            <w:tcW w:w="6753" w:type="dxa"/>
          </w:tcPr>
          <w:p w14:paraId="5AD9E7F2" w14:textId="60E168BC" w:rsidR="00EB2B55" w:rsidRPr="005A1455" w:rsidRDefault="00A17E12" w:rsidP="003414BB">
            <w:pPr>
              <w:rPr>
                <w:rFonts w:cstheme="minorHAnsi"/>
                <w:sz w:val="20"/>
                <w:szCs w:val="20"/>
              </w:rPr>
            </w:pPr>
            <w:r w:rsidRPr="005A1455">
              <w:rPr>
                <w:rFonts w:cstheme="minorHAnsi"/>
                <w:sz w:val="20"/>
                <w:szCs w:val="20"/>
              </w:rPr>
              <w:t xml:space="preserve">Randomised </w:t>
            </w:r>
            <w:r w:rsidR="00EB2B55" w:rsidRPr="005A1455">
              <w:rPr>
                <w:rFonts w:cstheme="minorHAnsi"/>
                <w:sz w:val="20"/>
                <w:szCs w:val="20"/>
              </w:rPr>
              <w:t>Controlled Trial</w:t>
            </w:r>
          </w:p>
        </w:tc>
      </w:tr>
      <w:tr w:rsidR="00EB2B55" w:rsidRPr="005A1455" w14:paraId="7BFD7626" w14:textId="77777777" w:rsidTr="003414BB">
        <w:tc>
          <w:tcPr>
            <w:tcW w:w="2263" w:type="dxa"/>
          </w:tcPr>
          <w:p w14:paraId="5535772C" w14:textId="77777777" w:rsidR="00EB2B55" w:rsidRPr="005A1455" w:rsidRDefault="00EB2B55" w:rsidP="003414BB">
            <w:pPr>
              <w:rPr>
                <w:rFonts w:cstheme="minorHAnsi"/>
                <w:sz w:val="20"/>
                <w:szCs w:val="20"/>
              </w:rPr>
            </w:pPr>
            <w:r w:rsidRPr="005A1455">
              <w:rPr>
                <w:rFonts w:cstheme="minorHAnsi"/>
                <w:sz w:val="20"/>
                <w:szCs w:val="20"/>
              </w:rPr>
              <w:t>SAGER</w:t>
            </w:r>
          </w:p>
        </w:tc>
        <w:tc>
          <w:tcPr>
            <w:tcW w:w="6753" w:type="dxa"/>
          </w:tcPr>
          <w:p w14:paraId="7F29A720" w14:textId="77777777" w:rsidR="00EB2B55" w:rsidRPr="005A1455" w:rsidRDefault="00EB2B55" w:rsidP="003414BB">
            <w:pPr>
              <w:rPr>
                <w:rFonts w:cstheme="minorHAnsi"/>
                <w:sz w:val="20"/>
                <w:szCs w:val="20"/>
              </w:rPr>
            </w:pPr>
            <w:r w:rsidRPr="005A1455">
              <w:rPr>
                <w:rFonts w:cstheme="minorHAnsi"/>
                <w:sz w:val="20"/>
                <w:szCs w:val="20"/>
              </w:rPr>
              <w:t>Sex and Gender Equity in Research</w:t>
            </w:r>
          </w:p>
        </w:tc>
      </w:tr>
      <w:tr w:rsidR="00EB2B55" w:rsidRPr="005A1455" w14:paraId="66930F91" w14:textId="77777777" w:rsidTr="003414BB">
        <w:tc>
          <w:tcPr>
            <w:tcW w:w="2263" w:type="dxa"/>
          </w:tcPr>
          <w:p w14:paraId="45AA9600" w14:textId="77777777" w:rsidR="00EB2B55" w:rsidRPr="005A1455" w:rsidRDefault="00EB2B55" w:rsidP="003414BB">
            <w:pPr>
              <w:rPr>
                <w:rFonts w:cstheme="minorHAnsi"/>
                <w:sz w:val="20"/>
                <w:szCs w:val="20"/>
              </w:rPr>
            </w:pPr>
            <w:r w:rsidRPr="005A1455">
              <w:rPr>
                <w:rFonts w:cstheme="minorHAnsi"/>
                <w:sz w:val="20"/>
                <w:szCs w:val="20"/>
              </w:rPr>
              <w:t>SIVCI</w:t>
            </w:r>
          </w:p>
        </w:tc>
        <w:tc>
          <w:tcPr>
            <w:tcW w:w="6753" w:type="dxa"/>
          </w:tcPr>
          <w:p w14:paraId="3C496421" w14:textId="77777777" w:rsidR="00EB2B55" w:rsidRPr="005A1455" w:rsidRDefault="00EB2B55" w:rsidP="003414BB">
            <w:pPr>
              <w:rPr>
                <w:rFonts w:cstheme="minorHAnsi"/>
                <w:sz w:val="20"/>
                <w:szCs w:val="20"/>
              </w:rPr>
            </w:pPr>
            <w:r w:rsidRPr="005A1455">
              <w:rPr>
                <w:rFonts w:cstheme="minorHAnsi"/>
                <w:sz w:val="20"/>
                <w:szCs w:val="20"/>
              </w:rPr>
              <w:t>Subcortical ischemic vascular cognitive impairment</w:t>
            </w:r>
          </w:p>
        </w:tc>
      </w:tr>
      <w:tr w:rsidR="00EB2B55" w:rsidRPr="005A1455" w14:paraId="27F67EBE" w14:textId="77777777" w:rsidTr="003414BB">
        <w:tc>
          <w:tcPr>
            <w:tcW w:w="2263" w:type="dxa"/>
          </w:tcPr>
          <w:p w14:paraId="32C915C1" w14:textId="77777777" w:rsidR="00EB2B55" w:rsidRPr="005A1455" w:rsidRDefault="00EB2B55" w:rsidP="003414BB">
            <w:pPr>
              <w:rPr>
                <w:rFonts w:cstheme="minorHAnsi"/>
                <w:sz w:val="20"/>
                <w:szCs w:val="20"/>
              </w:rPr>
            </w:pPr>
            <w:r w:rsidRPr="005A1455">
              <w:rPr>
                <w:rFonts w:cstheme="minorHAnsi"/>
                <w:sz w:val="20"/>
                <w:szCs w:val="20"/>
              </w:rPr>
              <w:t>STEMI</w:t>
            </w:r>
          </w:p>
        </w:tc>
        <w:tc>
          <w:tcPr>
            <w:tcW w:w="6753" w:type="dxa"/>
          </w:tcPr>
          <w:p w14:paraId="67544C0D" w14:textId="77777777" w:rsidR="00EB2B55" w:rsidRPr="005A1455" w:rsidRDefault="00EB2B55" w:rsidP="003414BB">
            <w:pPr>
              <w:rPr>
                <w:rFonts w:cstheme="minorHAnsi"/>
                <w:sz w:val="20"/>
                <w:szCs w:val="20"/>
              </w:rPr>
            </w:pPr>
            <w:r w:rsidRPr="005A1455">
              <w:rPr>
                <w:rFonts w:cstheme="minorHAnsi"/>
                <w:sz w:val="20"/>
                <w:szCs w:val="20"/>
              </w:rPr>
              <w:t>ST-segment elevation myocardial infarction</w:t>
            </w:r>
          </w:p>
        </w:tc>
      </w:tr>
      <w:tr w:rsidR="00EB2B55" w:rsidRPr="005A1455" w14:paraId="5E9A826E" w14:textId="77777777" w:rsidTr="003414BB">
        <w:tc>
          <w:tcPr>
            <w:tcW w:w="2263" w:type="dxa"/>
          </w:tcPr>
          <w:p w14:paraId="366907B4" w14:textId="77777777" w:rsidR="00EB2B55" w:rsidRPr="005A1455" w:rsidRDefault="00EB2B55" w:rsidP="003414BB">
            <w:pPr>
              <w:rPr>
                <w:rFonts w:cstheme="minorHAnsi"/>
                <w:sz w:val="20"/>
                <w:szCs w:val="20"/>
              </w:rPr>
            </w:pPr>
            <w:r w:rsidRPr="005A1455">
              <w:rPr>
                <w:rFonts w:cstheme="minorHAnsi"/>
                <w:sz w:val="20"/>
                <w:szCs w:val="20"/>
              </w:rPr>
              <w:t>STIs</w:t>
            </w:r>
          </w:p>
        </w:tc>
        <w:tc>
          <w:tcPr>
            <w:tcW w:w="6753" w:type="dxa"/>
          </w:tcPr>
          <w:p w14:paraId="76596592" w14:textId="2790AD7C" w:rsidR="00EB2B55" w:rsidRPr="005A1455" w:rsidRDefault="00EB2B55" w:rsidP="003414BB">
            <w:pPr>
              <w:rPr>
                <w:rFonts w:cstheme="minorHAnsi"/>
                <w:sz w:val="20"/>
                <w:szCs w:val="20"/>
              </w:rPr>
            </w:pPr>
            <w:r w:rsidRPr="005A1455">
              <w:rPr>
                <w:rFonts w:cstheme="minorHAnsi"/>
                <w:sz w:val="20"/>
                <w:szCs w:val="20"/>
              </w:rPr>
              <w:t xml:space="preserve">Sexually </w:t>
            </w:r>
            <w:r w:rsidR="00A17E12" w:rsidRPr="005A1455">
              <w:rPr>
                <w:rFonts w:cstheme="minorHAnsi"/>
                <w:sz w:val="20"/>
                <w:szCs w:val="20"/>
              </w:rPr>
              <w:t>transmissible i</w:t>
            </w:r>
            <w:r w:rsidRPr="005A1455">
              <w:rPr>
                <w:rFonts w:cstheme="minorHAnsi"/>
                <w:sz w:val="20"/>
                <w:szCs w:val="20"/>
              </w:rPr>
              <w:t>nfections</w:t>
            </w:r>
          </w:p>
        </w:tc>
      </w:tr>
      <w:tr w:rsidR="00EB2B55" w:rsidRPr="005A1455" w14:paraId="2AA66C07" w14:textId="77777777" w:rsidTr="003414BB">
        <w:tc>
          <w:tcPr>
            <w:tcW w:w="2263" w:type="dxa"/>
          </w:tcPr>
          <w:p w14:paraId="688AA17B" w14:textId="77777777" w:rsidR="00EB2B55" w:rsidRPr="005A1455" w:rsidRDefault="00EB2B55" w:rsidP="003414BB">
            <w:pPr>
              <w:rPr>
                <w:rFonts w:cstheme="minorHAnsi"/>
                <w:sz w:val="20"/>
                <w:szCs w:val="20"/>
              </w:rPr>
            </w:pPr>
            <w:r w:rsidRPr="005A1455">
              <w:rPr>
                <w:rFonts w:cstheme="minorHAnsi"/>
                <w:sz w:val="20"/>
                <w:szCs w:val="20"/>
              </w:rPr>
              <w:t>USAID</w:t>
            </w:r>
          </w:p>
        </w:tc>
        <w:tc>
          <w:tcPr>
            <w:tcW w:w="6753" w:type="dxa"/>
          </w:tcPr>
          <w:p w14:paraId="2961DEA0" w14:textId="77777777" w:rsidR="00EB2B55" w:rsidRPr="005A1455" w:rsidRDefault="00EB2B55" w:rsidP="003414BB">
            <w:pPr>
              <w:rPr>
                <w:rFonts w:cstheme="minorHAnsi"/>
                <w:sz w:val="20"/>
                <w:szCs w:val="20"/>
              </w:rPr>
            </w:pPr>
            <w:r w:rsidRPr="005A1455">
              <w:rPr>
                <w:rFonts w:cstheme="minorHAnsi"/>
                <w:sz w:val="20"/>
                <w:szCs w:val="20"/>
              </w:rPr>
              <w:t xml:space="preserve">United States Agency for International Development </w:t>
            </w:r>
          </w:p>
        </w:tc>
      </w:tr>
      <w:tr w:rsidR="00EB2B55" w:rsidRPr="005A1455" w14:paraId="6FD94FB5" w14:textId="77777777" w:rsidTr="003414BB">
        <w:tc>
          <w:tcPr>
            <w:tcW w:w="2263" w:type="dxa"/>
          </w:tcPr>
          <w:p w14:paraId="4D8B2275" w14:textId="77777777" w:rsidR="00EB2B55" w:rsidRPr="005A1455" w:rsidRDefault="00EB2B55" w:rsidP="003414BB">
            <w:pPr>
              <w:rPr>
                <w:rFonts w:cstheme="minorHAnsi"/>
                <w:sz w:val="20"/>
                <w:szCs w:val="20"/>
              </w:rPr>
            </w:pPr>
            <w:r w:rsidRPr="005A1455">
              <w:rPr>
                <w:rFonts w:cstheme="minorHAnsi"/>
                <w:sz w:val="20"/>
                <w:szCs w:val="20"/>
              </w:rPr>
              <w:t>VCI</w:t>
            </w:r>
          </w:p>
        </w:tc>
        <w:tc>
          <w:tcPr>
            <w:tcW w:w="6753" w:type="dxa"/>
          </w:tcPr>
          <w:p w14:paraId="6DB5BB24" w14:textId="77777777" w:rsidR="00EB2B55" w:rsidRPr="005A1455" w:rsidRDefault="00EB2B55" w:rsidP="003414BB">
            <w:pPr>
              <w:rPr>
                <w:rFonts w:cstheme="minorHAnsi"/>
                <w:sz w:val="20"/>
                <w:szCs w:val="20"/>
              </w:rPr>
            </w:pPr>
            <w:r w:rsidRPr="005A1455">
              <w:rPr>
                <w:rFonts w:cstheme="minorHAnsi"/>
                <w:sz w:val="20"/>
                <w:szCs w:val="20"/>
              </w:rPr>
              <w:t>Vascular cognitive impairment</w:t>
            </w:r>
          </w:p>
        </w:tc>
      </w:tr>
      <w:tr w:rsidR="00EB2B55" w:rsidRPr="005A1455" w14:paraId="39FCB85E" w14:textId="77777777" w:rsidTr="003414BB">
        <w:tc>
          <w:tcPr>
            <w:tcW w:w="2263" w:type="dxa"/>
          </w:tcPr>
          <w:p w14:paraId="7ED3C7DD" w14:textId="77777777" w:rsidR="00EB2B55" w:rsidRPr="005A1455" w:rsidRDefault="00EB2B55" w:rsidP="003414BB">
            <w:pPr>
              <w:rPr>
                <w:rFonts w:cstheme="minorHAnsi"/>
                <w:sz w:val="20"/>
                <w:szCs w:val="20"/>
              </w:rPr>
            </w:pPr>
            <w:r w:rsidRPr="005A1455">
              <w:rPr>
                <w:rFonts w:cstheme="minorHAnsi"/>
                <w:sz w:val="20"/>
                <w:szCs w:val="20"/>
              </w:rPr>
              <w:t>WHO</w:t>
            </w:r>
          </w:p>
        </w:tc>
        <w:tc>
          <w:tcPr>
            <w:tcW w:w="6753" w:type="dxa"/>
          </w:tcPr>
          <w:p w14:paraId="1DA765E5" w14:textId="77777777" w:rsidR="00EB2B55" w:rsidRPr="005A1455" w:rsidRDefault="00EB2B55" w:rsidP="003414BB">
            <w:pPr>
              <w:rPr>
                <w:rFonts w:cstheme="minorHAnsi"/>
                <w:sz w:val="20"/>
                <w:szCs w:val="20"/>
              </w:rPr>
            </w:pPr>
            <w:r w:rsidRPr="005A1455">
              <w:rPr>
                <w:rFonts w:cstheme="minorHAnsi"/>
                <w:sz w:val="20"/>
                <w:szCs w:val="20"/>
              </w:rPr>
              <w:t>World Health Organization</w:t>
            </w:r>
          </w:p>
        </w:tc>
      </w:tr>
    </w:tbl>
    <w:p w14:paraId="2ABD141C" w14:textId="77777777" w:rsidR="005A1455" w:rsidRPr="005A1455" w:rsidRDefault="005A1455" w:rsidP="0051197F">
      <w:pPr>
        <w:pStyle w:val="Heading1"/>
        <w:rPr>
          <w:rFonts w:asciiTheme="minorHAnsi" w:hAnsiTheme="minorHAnsi" w:cstheme="minorHAnsi"/>
        </w:rPr>
        <w:sectPr w:rsidR="005A1455" w:rsidRPr="005A1455" w:rsidSect="00D56806">
          <w:pgSz w:w="11906" w:h="16838"/>
          <w:pgMar w:top="1440" w:right="1440" w:bottom="1440" w:left="1440" w:header="708" w:footer="708" w:gutter="0"/>
          <w:pgNumType w:start="3"/>
          <w:cols w:space="708"/>
          <w:docGrid w:linePitch="360"/>
        </w:sectPr>
      </w:pPr>
      <w:bookmarkStart w:id="22" w:name="_Toc161756579"/>
      <w:bookmarkStart w:id="23" w:name="_Toc161757502"/>
      <w:bookmarkStart w:id="24" w:name="_Toc161763927"/>
      <w:bookmarkStart w:id="25" w:name="_Toc165204982"/>
      <w:bookmarkStart w:id="26" w:name="_Toc168390490"/>
      <w:bookmarkStart w:id="27" w:name="_Toc168390858"/>
      <w:bookmarkStart w:id="28" w:name="_Toc168390924"/>
      <w:bookmarkStart w:id="29" w:name="_Toc168392056"/>
      <w:bookmarkStart w:id="30" w:name="_Toc168392413"/>
      <w:bookmarkStart w:id="31" w:name="_Toc168393586"/>
      <w:bookmarkStart w:id="32" w:name="_Toc168393628"/>
      <w:bookmarkStart w:id="33" w:name="_Toc168394302"/>
      <w:bookmarkStart w:id="34" w:name="_Toc168394440"/>
    </w:p>
    <w:p w14:paraId="1CB6A73E" w14:textId="7FC0729F" w:rsidR="00EB2B55" w:rsidRPr="005A1455" w:rsidRDefault="00EB2B55" w:rsidP="005A1455">
      <w:pPr>
        <w:pStyle w:val="Heading1"/>
        <w:spacing w:before="0" w:after="160"/>
        <w:rPr>
          <w:rFonts w:asciiTheme="minorHAnsi" w:hAnsiTheme="minorHAnsi" w:cstheme="minorHAnsi"/>
          <w:b/>
          <w:bCs/>
          <w:color w:val="4C2863"/>
          <w:sz w:val="40"/>
          <w:szCs w:val="40"/>
        </w:rPr>
      </w:pPr>
      <w:r w:rsidRPr="005A1455">
        <w:rPr>
          <w:rFonts w:asciiTheme="minorHAnsi" w:hAnsiTheme="minorHAnsi" w:cstheme="minorHAnsi"/>
          <w:b/>
          <w:bCs/>
          <w:color w:val="4C2863"/>
          <w:sz w:val="40"/>
          <w:szCs w:val="40"/>
        </w:rPr>
        <w:lastRenderedPageBreak/>
        <w:t>Glossary</w:t>
      </w:r>
      <w:bookmarkEnd w:id="22"/>
      <w:bookmarkEnd w:id="23"/>
      <w:bookmarkEnd w:id="24"/>
      <w:bookmarkEnd w:id="25"/>
      <w:bookmarkEnd w:id="26"/>
      <w:bookmarkEnd w:id="27"/>
      <w:bookmarkEnd w:id="28"/>
      <w:bookmarkEnd w:id="29"/>
      <w:bookmarkEnd w:id="30"/>
      <w:bookmarkEnd w:id="31"/>
      <w:bookmarkEnd w:id="32"/>
      <w:bookmarkEnd w:id="33"/>
      <w:bookmarkEnd w:id="34"/>
    </w:p>
    <w:p w14:paraId="355520F2" w14:textId="459A75BD"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Aboriginal and Torres Strait Islander (First Nation</w:t>
      </w:r>
      <w:r w:rsidR="007D39C8" w:rsidRPr="005A1455">
        <w:rPr>
          <w:rFonts w:eastAsia="MS Mincho" w:cstheme="minorHAnsi"/>
          <w:b/>
          <w:color w:val="000000"/>
          <w:sz w:val="21"/>
          <w:szCs w:val="21"/>
        </w:rPr>
        <w:t>s</w:t>
      </w:r>
      <w:r w:rsidRPr="005A1455">
        <w:rPr>
          <w:rFonts w:eastAsia="MS Mincho" w:cstheme="minorHAnsi"/>
          <w:b/>
          <w:color w:val="000000"/>
          <w:sz w:val="21"/>
          <w:szCs w:val="21"/>
        </w:rPr>
        <w:t xml:space="preserve">) </w:t>
      </w:r>
      <w:r w:rsidR="007D39C8" w:rsidRPr="005A1455">
        <w:rPr>
          <w:rFonts w:eastAsia="MS Mincho" w:cstheme="minorHAnsi"/>
          <w:b/>
          <w:color w:val="000000"/>
          <w:sz w:val="21"/>
          <w:szCs w:val="21"/>
        </w:rPr>
        <w:t>person</w:t>
      </w:r>
      <w:r w:rsidRPr="005A1455">
        <w:rPr>
          <w:rFonts w:eastAsia="MS Mincho" w:cstheme="minorHAnsi"/>
          <w:b/>
          <w:color w:val="000000"/>
          <w:sz w:val="21"/>
          <w:szCs w:val="21"/>
        </w:rPr>
        <w:t xml:space="preserve">: </w:t>
      </w:r>
      <w:r w:rsidRPr="005A1455">
        <w:rPr>
          <w:rFonts w:eastAsia="MS Mincho" w:cstheme="minorHAnsi"/>
          <w:color w:val="000000"/>
          <w:sz w:val="21"/>
          <w:szCs w:val="21"/>
        </w:rPr>
        <w:t xml:space="preserve">A person of Aboriginal or Torres Strait Islander descent who identifies as Aboriginal or </w:t>
      </w:r>
      <w:r w:rsidR="007D39C8" w:rsidRPr="005A1455">
        <w:rPr>
          <w:rFonts w:eastAsia="MS Mincho" w:cstheme="minorHAnsi"/>
          <w:color w:val="000000"/>
          <w:sz w:val="21"/>
          <w:szCs w:val="21"/>
        </w:rPr>
        <w:t xml:space="preserve">a </w:t>
      </w:r>
      <w:r w:rsidRPr="005A1455">
        <w:rPr>
          <w:rFonts w:eastAsia="MS Mincho" w:cstheme="minorHAnsi"/>
          <w:color w:val="000000"/>
          <w:sz w:val="21"/>
          <w:szCs w:val="21"/>
        </w:rPr>
        <w:t xml:space="preserve">Torres Strait Islander and is accepted as such by the community in which s/he lives (Australian Parliament). </w:t>
      </w:r>
      <w:r w:rsidR="007D39C8" w:rsidRPr="005A1455">
        <w:rPr>
          <w:rFonts w:eastAsia="MS Mincho" w:cstheme="minorHAnsi"/>
          <w:color w:val="000000"/>
          <w:sz w:val="21"/>
          <w:szCs w:val="21"/>
        </w:rPr>
        <w:t>T</w:t>
      </w:r>
      <w:r w:rsidRPr="005A1455">
        <w:rPr>
          <w:rFonts w:eastAsia="MS Mincho" w:cstheme="minorHAnsi"/>
          <w:color w:val="000000"/>
          <w:sz w:val="21"/>
          <w:szCs w:val="21"/>
        </w:rPr>
        <w:t xml:space="preserve">here is no single Aboriginal or Torres Strait Islander culture or group, but numerous groupings, languages, kinships, and tribes, as well as ways of living and places of residence. </w:t>
      </w:r>
    </w:p>
    <w:p w14:paraId="69C49DB0" w14:textId="79756F98" w:rsidR="00EB2B55" w:rsidRPr="005A1455" w:rsidRDefault="00EB2B55" w:rsidP="00DE2AD1">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Acute coronary syndrome:</w:t>
      </w:r>
      <w:r w:rsidRPr="005A1455">
        <w:rPr>
          <w:rFonts w:eastAsia="MS Mincho" w:cstheme="minorHAnsi"/>
          <w:color w:val="000000"/>
          <w:sz w:val="21"/>
          <w:szCs w:val="21"/>
        </w:rPr>
        <w:t xml:space="preserve">  A term that describes a range of conditions related to sudden, reduced blood flow to the heart. </w:t>
      </w:r>
    </w:p>
    <w:p w14:paraId="237BA332" w14:textId="77777777" w:rsidR="00EB2B55" w:rsidRPr="005A1455" w:rsidRDefault="00EB2B55" w:rsidP="00DE2AD1">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Acute myocardial infarction:</w:t>
      </w:r>
      <w:r w:rsidRPr="005A1455">
        <w:rPr>
          <w:rFonts w:eastAsia="MS Mincho" w:cstheme="minorHAnsi"/>
          <w:color w:val="000000"/>
          <w:sz w:val="21"/>
          <w:szCs w:val="21"/>
        </w:rPr>
        <w:t xml:space="preserve"> Myocardial necrosis or damage resulting from acute obstruction of a coronary artery.</w:t>
      </w:r>
    </w:p>
    <w:p w14:paraId="357DDB76" w14:textId="141EDAB8" w:rsidR="00EB2B55" w:rsidRPr="005A1455" w:rsidRDefault="00EB2B55" w:rsidP="00606505">
      <w:pPr>
        <w:widowControl w:val="0"/>
        <w:adjustRightInd w:val="0"/>
        <w:snapToGrid w:val="0"/>
        <w:spacing w:line="240" w:lineRule="auto"/>
        <w:jc w:val="both"/>
        <w:rPr>
          <w:rFonts w:eastAsia="MS Mincho" w:cstheme="minorHAnsi"/>
          <w:b/>
          <w:color w:val="000000"/>
          <w:sz w:val="21"/>
          <w:szCs w:val="21"/>
        </w:rPr>
      </w:pPr>
      <w:r w:rsidRPr="005A1455">
        <w:rPr>
          <w:rFonts w:eastAsia="MS Mincho" w:cstheme="minorHAnsi"/>
          <w:b/>
          <w:color w:val="000000"/>
          <w:sz w:val="21"/>
          <w:szCs w:val="21"/>
        </w:rPr>
        <w:t xml:space="preserve">Anxiety disorders: </w:t>
      </w:r>
      <w:r w:rsidR="00030A7E" w:rsidRPr="005A1455">
        <w:rPr>
          <w:rFonts w:eastAsia="MS Mincho" w:cstheme="minorHAnsi"/>
          <w:color w:val="000000"/>
          <w:sz w:val="21"/>
          <w:szCs w:val="21"/>
        </w:rPr>
        <w:t>I</w:t>
      </w:r>
      <w:r w:rsidRPr="005A1455">
        <w:rPr>
          <w:rFonts w:eastAsia="MS Mincho" w:cstheme="minorHAnsi"/>
          <w:color w:val="000000"/>
          <w:sz w:val="21"/>
          <w:szCs w:val="21"/>
        </w:rPr>
        <w:t xml:space="preserve">ntense, excessive, and persistent worry and fear about everyday situations. Anxiety disorders can involve repeated episodes of sudden feelings of intense anxiety and fear or terror that reach a peak within minutes (panic attacks). Generalised anxiety is a pervasive feeling of apprehension and uncertainty without a specific focus, but which reduces daily functional efficiency. </w:t>
      </w:r>
    </w:p>
    <w:p w14:paraId="4AD004DE" w14:textId="7D1BFF00" w:rsidR="00EB2B55" w:rsidRPr="005A1455" w:rsidRDefault="00EB2B55" w:rsidP="00606505">
      <w:pPr>
        <w:adjustRightInd w:val="0"/>
        <w:snapToGrid w:val="0"/>
        <w:spacing w:line="240" w:lineRule="auto"/>
        <w:jc w:val="both"/>
        <w:rPr>
          <w:rFonts w:cstheme="minorHAnsi"/>
          <w:sz w:val="21"/>
          <w:szCs w:val="21"/>
        </w:rPr>
      </w:pPr>
      <w:r w:rsidRPr="005A1455">
        <w:rPr>
          <w:rFonts w:cstheme="minorHAnsi"/>
          <w:b/>
          <w:sz w:val="21"/>
          <w:szCs w:val="21"/>
        </w:rPr>
        <w:t>Cardiovascular disease:</w:t>
      </w:r>
      <w:r w:rsidRPr="005A1455">
        <w:rPr>
          <w:rFonts w:cstheme="minorHAnsi"/>
          <w:sz w:val="21"/>
          <w:szCs w:val="21"/>
        </w:rPr>
        <w:t xml:space="preserve"> A group of disorders of the heart and blood vessels includ</w:t>
      </w:r>
      <w:r w:rsidR="00672DBE" w:rsidRPr="005A1455">
        <w:rPr>
          <w:rFonts w:cstheme="minorHAnsi"/>
          <w:sz w:val="21"/>
          <w:szCs w:val="21"/>
        </w:rPr>
        <w:t>ing</w:t>
      </w:r>
      <w:r w:rsidRPr="005A1455">
        <w:rPr>
          <w:rFonts w:cstheme="minorHAnsi"/>
          <w:sz w:val="21"/>
          <w:szCs w:val="21"/>
        </w:rPr>
        <w:t xml:space="preserve"> coronary heart disease, cerebrovascular disease, </w:t>
      </w:r>
      <w:r w:rsidR="00672DBE" w:rsidRPr="005A1455">
        <w:rPr>
          <w:rFonts w:cstheme="minorHAnsi"/>
          <w:sz w:val="21"/>
          <w:szCs w:val="21"/>
        </w:rPr>
        <w:t xml:space="preserve">and </w:t>
      </w:r>
      <w:r w:rsidRPr="005A1455">
        <w:rPr>
          <w:rFonts w:cstheme="minorHAnsi"/>
          <w:sz w:val="21"/>
          <w:szCs w:val="21"/>
        </w:rPr>
        <w:t>rheumatic heart disease.</w:t>
      </w:r>
    </w:p>
    <w:p w14:paraId="29579DA7" w14:textId="77777777" w:rsidR="00EB2B55" w:rsidRPr="005A1455" w:rsidRDefault="00EB2B55" w:rsidP="00DE2AD1">
      <w:pPr>
        <w:adjustRightInd w:val="0"/>
        <w:snapToGrid w:val="0"/>
        <w:spacing w:line="240" w:lineRule="auto"/>
        <w:jc w:val="both"/>
        <w:rPr>
          <w:rFonts w:cstheme="minorHAnsi"/>
          <w:sz w:val="21"/>
          <w:szCs w:val="21"/>
        </w:rPr>
      </w:pPr>
      <w:r w:rsidRPr="005A1455">
        <w:rPr>
          <w:rFonts w:cstheme="minorHAnsi"/>
          <w:b/>
          <w:sz w:val="21"/>
          <w:szCs w:val="21"/>
        </w:rPr>
        <w:t xml:space="preserve">Chronic obstructive pulmonary disease: </w:t>
      </w:r>
      <w:r w:rsidRPr="005A1455">
        <w:rPr>
          <w:rFonts w:cstheme="minorHAnsi"/>
          <w:bCs/>
          <w:sz w:val="21"/>
          <w:szCs w:val="21"/>
        </w:rPr>
        <w:t xml:space="preserve">A </w:t>
      </w:r>
      <w:r w:rsidRPr="005A1455">
        <w:rPr>
          <w:rFonts w:cstheme="minorHAnsi"/>
          <w:sz w:val="21"/>
          <w:szCs w:val="21"/>
        </w:rPr>
        <w:t>chronic inflammatory lung disease causing restricted airflow and breathing problems, sometimes called emphysema or chronic bronchitis.</w:t>
      </w:r>
    </w:p>
    <w:p w14:paraId="2147E3D1" w14:textId="3FFD7B4B" w:rsidR="00EB2B55" w:rsidRPr="005A1455" w:rsidRDefault="00EB2B55" w:rsidP="00606505">
      <w:pPr>
        <w:adjustRightInd w:val="0"/>
        <w:snapToGrid w:val="0"/>
        <w:spacing w:line="240" w:lineRule="auto"/>
        <w:jc w:val="both"/>
        <w:rPr>
          <w:rFonts w:cstheme="minorHAnsi"/>
          <w:sz w:val="21"/>
          <w:szCs w:val="21"/>
        </w:rPr>
      </w:pPr>
      <w:r w:rsidRPr="005A1455">
        <w:rPr>
          <w:rFonts w:cstheme="minorHAnsi"/>
          <w:b/>
          <w:sz w:val="21"/>
          <w:szCs w:val="21"/>
        </w:rPr>
        <w:t>Coronary artery disease</w:t>
      </w:r>
      <w:r w:rsidRPr="005A1455">
        <w:rPr>
          <w:rFonts w:cstheme="minorHAnsi"/>
          <w:sz w:val="21"/>
          <w:szCs w:val="21"/>
        </w:rPr>
        <w:t xml:space="preserve">: </w:t>
      </w:r>
      <w:r w:rsidR="00672DBE" w:rsidRPr="005A1455">
        <w:rPr>
          <w:rFonts w:cstheme="minorHAnsi"/>
          <w:sz w:val="21"/>
          <w:szCs w:val="21"/>
        </w:rPr>
        <w:t xml:space="preserve">A </w:t>
      </w:r>
      <w:r w:rsidRPr="005A1455">
        <w:rPr>
          <w:rFonts w:cstheme="minorHAnsi"/>
          <w:sz w:val="21"/>
          <w:szCs w:val="21"/>
        </w:rPr>
        <w:t>build</w:t>
      </w:r>
      <w:r w:rsidR="00672DBE" w:rsidRPr="005A1455">
        <w:rPr>
          <w:rFonts w:cstheme="minorHAnsi"/>
          <w:sz w:val="21"/>
          <w:szCs w:val="21"/>
        </w:rPr>
        <w:t>-</w:t>
      </w:r>
      <w:r w:rsidRPr="005A1455">
        <w:rPr>
          <w:rFonts w:cstheme="minorHAnsi"/>
          <w:sz w:val="21"/>
          <w:szCs w:val="21"/>
        </w:rPr>
        <w:t>up</w:t>
      </w:r>
      <w:r w:rsidR="00672DBE" w:rsidRPr="005A1455">
        <w:rPr>
          <w:rFonts w:cstheme="minorHAnsi"/>
          <w:sz w:val="21"/>
          <w:szCs w:val="21"/>
        </w:rPr>
        <w:t xml:space="preserve"> of plaque</w:t>
      </w:r>
      <w:r w:rsidRPr="005A1455">
        <w:rPr>
          <w:rFonts w:cstheme="minorHAnsi"/>
          <w:sz w:val="21"/>
          <w:szCs w:val="21"/>
        </w:rPr>
        <w:t xml:space="preserve"> in the wall of the coronary arteries that supply oxygen-rich blood to the heart</w:t>
      </w:r>
      <w:r w:rsidR="00672DBE" w:rsidRPr="005A1455">
        <w:rPr>
          <w:rFonts w:cstheme="minorHAnsi"/>
          <w:sz w:val="21"/>
          <w:szCs w:val="21"/>
        </w:rPr>
        <w:t xml:space="preserve"> causing narrowing or blockage of the arteries.</w:t>
      </w:r>
    </w:p>
    <w:p w14:paraId="5DFB7BBA" w14:textId="5317B323" w:rsidR="00EB2B55" w:rsidRPr="005A1455" w:rsidRDefault="00EB2B55" w:rsidP="00DE2AD1">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Depression:</w:t>
      </w:r>
      <w:r w:rsidRPr="005A1455">
        <w:rPr>
          <w:rFonts w:eastAsia="MS Mincho" w:cstheme="minorHAnsi"/>
          <w:color w:val="000000"/>
          <w:sz w:val="21"/>
          <w:szCs w:val="21"/>
        </w:rPr>
        <w:t xml:space="preserve"> Persistent feelings of sadness, loss of interest in activities once enjoyed, hopelessness</w:t>
      </w:r>
      <w:r w:rsidR="00672DBE" w:rsidRPr="005A1455">
        <w:rPr>
          <w:rFonts w:eastAsia="MS Mincho" w:cstheme="minorHAnsi"/>
          <w:color w:val="000000"/>
          <w:sz w:val="21"/>
          <w:szCs w:val="21"/>
        </w:rPr>
        <w:t>,</w:t>
      </w:r>
      <w:r w:rsidRPr="005A1455">
        <w:rPr>
          <w:rFonts w:eastAsia="MS Mincho" w:cstheme="minorHAnsi"/>
          <w:color w:val="000000"/>
          <w:sz w:val="21"/>
          <w:szCs w:val="21"/>
        </w:rPr>
        <w:t xml:space="preserve"> and despair for at least two weeks which can decrease a person’s ability to function at work and at home. Depression symptoms vary from mild to severe.</w:t>
      </w:r>
    </w:p>
    <w:p w14:paraId="3E808BBB" w14:textId="17224659"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Domestic (</w:t>
      </w:r>
      <w:r w:rsidR="00672DBE" w:rsidRPr="005A1455">
        <w:rPr>
          <w:rFonts w:eastAsia="MS Mincho" w:cstheme="minorHAnsi"/>
          <w:b/>
          <w:color w:val="000000"/>
          <w:sz w:val="21"/>
          <w:szCs w:val="21"/>
        </w:rPr>
        <w:t>family</w:t>
      </w:r>
      <w:r w:rsidRPr="005A1455">
        <w:rPr>
          <w:rFonts w:eastAsia="MS Mincho" w:cstheme="minorHAnsi"/>
          <w:b/>
          <w:color w:val="000000"/>
          <w:sz w:val="21"/>
          <w:szCs w:val="21"/>
        </w:rPr>
        <w:t xml:space="preserve">) violence: </w:t>
      </w:r>
      <w:r w:rsidRPr="005A1455">
        <w:rPr>
          <w:rFonts w:eastAsia="MS Mincho" w:cstheme="minorHAnsi"/>
          <w:color w:val="000000"/>
          <w:sz w:val="21"/>
          <w:szCs w:val="21"/>
        </w:rPr>
        <w:t xml:space="preserve">Violence between intimate partners as well as violence </w:t>
      </w:r>
      <w:r w:rsidR="00672DBE" w:rsidRPr="005A1455">
        <w:rPr>
          <w:rFonts w:eastAsia="MS Mincho" w:cstheme="minorHAnsi"/>
          <w:color w:val="000000"/>
          <w:sz w:val="21"/>
          <w:szCs w:val="21"/>
        </w:rPr>
        <w:t xml:space="preserve">among </w:t>
      </w:r>
      <w:r w:rsidRPr="005A1455">
        <w:rPr>
          <w:rFonts w:eastAsia="MS Mincho" w:cstheme="minorHAnsi"/>
          <w:color w:val="000000"/>
          <w:sz w:val="21"/>
          <w:szCs w:val="21"/>
        </w:rPr>
        <w:t xml:space="preserve">family members. Domestic violence includes violent or threatening behaviour, or any other form of behaviour that coerces or controls a family member or causes that family member to be fearful. </w:t>
      </w:r>
    </w:p>
    <w:p w14:paraId="366ABD78" w14:textId="6A13CFB3"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Door</w:t>
      </w:r>
      <w:r w:rsidR="00672DBE" w:rsidRPr="005A1455">
        <w:rPr>
          <w:rFonts w:eastAsia="MS Mincho" w:cstheme="minorHAnsi"/>
          <w:b/>
          <w:color w:val="000000"/>
          <w:sz w:val="21"/>
          <w:szCs w:val="21"/>
        </w:rPr>
        <w:t>-to-</w:t>
      </w:r>
      <w:r w:rsidRPr="005A1455">
        <w:rPr>
          <w:rFonts w:eastAsia="MS Mincho" w:cstheme="minorHAnsi"/>
          <w:b/>
          <w:color w:val="000000"/>
          <w:sz w:val="21"/>
          <w:szCs w:val="21"/>
        </w:rPr>
        <w:t xml:space="preserve">balloon time: </w:t>
      </w:r>
      <w:r w:rsidR="00672DBE" w:rsidRPr="005A1455">
        <w:rPr>
          <w:rFonts w:eastAsia="MS Mincho" w:cstheme="minorHAnsi"/>
          <w:color w:val="000000"/>
          <w:sz w:val="21"/>
          <w:szCs w:val="21"/>
        </w:rPr>
        <w:t>T</w:t>
      </w:r>
      <w:r w:rsidRPr="005A1455">
        <w:rPr>
          <w:rFonts w:eastAsia="MS Mincho" w:cstheme="minorHAnsi"/>
          <w:color w:val="000000"/>
          <w:sz w:val="21"/>
          <w:szCs w:val="21"/>
        </w:rPr>
        <w:t xml:space="preserve">he time between the arrival of a patient with ST-segment elevation myocardial infarction (STEMI) in the emergency room </w:t>
      </w:r>
      <w:r w:rsidR="00672DBE" w:rsidRPr="005A1455">
        <w:rPr>
          <w:rFonts w:eastAsia="MS Mincho" w:cstheme="minorHAnsi"/>
          <w:color w:val="000000"/>
          <w:sz w:val="21"/>
          <w:szCs w:val="21"/>
        </w:rPr>
        <w:t xml:space="preserve">and </w:t>
      </w:r>
      <w:r w:rsidRPr="005A1455">
        <w:rPr>
          <w:rFonts w:eastAsia="MS Mincho" w:cstheme="minorHAnsi"/>
          <w:color w:val="000000"/>
          <w:sz w:val="21"/>
          <w:szCs w:val="21"/>
        </w:rPr>
        <w:t xml:space="preserve">the time that a balloon is inflated in the occluded coronary artery. The current optimal </w:t>
      </w:r>
      <w:r w:rsidR="00672DBE" w:rsidRPr="005A1455">
        <w:rPr>
          <w:rFonts w:eastAsia="MS Mincho" w:cstheme="minorHAnsi"/>
          <w:color w:val="000000"/>
          <w:sz w:val="21"/>
          <w:szCs w:val="21"/>
        </w:rPr>
        <w:t>door-to-</w:t>
      </w:r>
      <w:r w:rsidRPr="005A1455">
        <w:rPr>
          <w:rFonts w:eastAsia="MS Mincho" w:cstheme="minorHAnsi"/>
          <w:color w:val="000000"/>
          <w:sz w:val="21"/>
          <w:szCs w:val="21"/>
        </w:rPr>
        <w:t>balloon time is 90 minutes, but in practice often exceeds 120 minutes.</w:t>
      </w:r>
    </w:p>
    <w:p w14:paraId="103E1CEB" w14:textId="0121BF62"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Gender:</w:t>
      </w:r>
      <w:r w:rsidRPr="005A1455">
        <w:rPr>
          <w:rFonts w:eastAsia="MS Mincho" w:cstheme="minorHAnsi"/>
          <w:color w:val="000000"/>
          <w:sz w:val="21"/>
          <w:szCs w:val="21"/>
        </w:rPr>
        <w:t xml:space="preserve"> Defines masculinity and femininity and refers to the socially learnt behaviours, roles, activities</w:t>
      </w:r>
      <w:r w:rsidR="00672DBE" w:rsidRPr="005A1455">
        <w:rPr>
          <w:rFonts w:eastAsia="MS Mincho" w:cstheme="minorHAnsi"/>
          <w:color w:val="000000"/>
          <w:sz w:val="21"/>
          <w:szCs w:val="21"/>
        </w:rPr>
        <w:t>,</w:t>
      </w:r>
      <w:r w:rsidRPr="005A1455">
        <w:rPr>
          <w:rFonts w:eastAsia="MS Mincho" w:cstheme="minorHAnsi"/>
          <w:color w:val="000000"/>
          <w:sz w:val="21"/>
          <w:szCs w:val="21"/>
        </w:rPr>
        <w:t xml:space="preserve"> and attributes that a society considers appropriate for women and men. Gender expectations vary between cultures and over time.</w:t>
      </w:r>
    </w:p>
    <w:p w14:paraId="17B5D506" w14:textId="77777777"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Gender bias:</w:t>
      </w:r>
      <w:r w:rsidRPr="005A1455">
        <w:rPr>
          <w:rFonts w:eastAsia="MS Mincho" w:cstheme="minorHAnsi"/>
          <w:color w:val="000000"/>
          <w:sz w:val="21"/>
          <w:szCs w:val="21"/>
        </w:rPr>
        <w:t xml:space="preserve"> Practice or set of beliefs that favours people of one gender over those of other genders.</w:t>
      </w:r>
    </w:p>
    <w:p w14:paraId="3D38F507" w14:textId="54928F4A"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Gender equity: </w:t>
      </w:r>
      <w:r w:rsidRPr="005A1455">
        <w:rPr>
          <w:rFonts w:eastAsia="MS Mincho" w:cstheme="minorHAnsi"/>
          <w:color w:val="000000"/>
          <w:sz w:val="21"/>
          <w:szCs w:val="21"/>
        </w:rPr>
        <w:t>Fair treatment for women and men according to their needs. Gender inequity is a lack of fairness or justice for women.</w:t>
      </w:r>
    </w:p>
    <w:p w14:paraId="68E56C45" w14:textId="4DCADEB6"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Gender equality: </w:t>
      </w:r>
      <w:r w:rsidRPr="005A1455">
        <w:rPr>
          <w:rFonts w:eastAsia="MS Mincho" w:cstheme="minorHAnsi"/>
          <w:color w:val="000000"/>
          <w:sz w:val="21"/>
          <w:szCs w:val="21"/>
        </w:rPr>
        <w:t>As a human rights issue,</w:t>
      </w:r>
      <w:r w:rsidRPr="005A1455">
        <w:rPr>
          <w:rFonts w:eastAsia="MS Mincho" w:cstheme="minorHAnsi"/>
          <w:b/>
          <w:color w:val="000000"/>
          <w:sz w:val="21"/>
          <w:szCs w:val="21"/>
        </w:rPr>
        <w:t xml:space="preserve"> </w:t>
      </w:r>
      <w:r w:rsidRPr="005A1455">
        <w:rPr>
          <w:rFonts w:eastAsia="MS Mincho" w:cstheme="minorHAnsi"/>
          <w:color w:val="000000"/>
          <w:sz w:val="21"/>
          <w:szCs w:val="21"/>
        </w:rPr>
        <w:t xml:space="preserve">women, men, boys and girls of all classes and races participate as equals and have equal value. Gender inequality is discrimination </w:t>
      </w:r>
      <w:proofErr w:type="gramStart"/>
      <w:r w:rsidRPr="005A1455">
        <w:rPr>
          <w:rFonts w:eastAsia="MS Mincho" w:cstheme="minorHAnsi"/>
          <w:color w:val="000000"/>
          <w:sz w:val="21"/>
          <w:szCs w:val="21"/>
        </w:rPr>
        <w:t>on the basis of</w:t>
      </w:r>
      <w:proofErr w:type="gramEnd"/>
      <w:r w:rsidRPr="005A1455">
        <w:rPr>
          <w:rFonts w:eastAsia="MS Mincho" w:cstheme="minorHAnsi"/>
          <w:color w:val="000000"/>
          <w:sz w:val="21"/>
          <w:szCs w:val="21"/>
        </w:rPr>
        <w:t xml:space="preserve"> sex or gender</w:t>
      </w:r>
      <w:r w:rsidR="00672DBE" w:rsidRPr="005A1455">
        <w:rPr>
          <w:rFonts w:eastAsia="MS Mincho" w:cstheme="minorHAnsi"/>
          <w:color w:val="000000"/>
          <w:sz w:val="21"/>
          <w:szCs w:val="21"/>
        </w:rPr>
        <w:t>,</w:t>
      </w:r>
      <w:r w:rsidRPr="005A1455">
        <w:rPr>
          <w:rFonts w:eastAsia="MS Mincho" w:cstheme="minorHAnsi"/>
          <w:color w:val="000000"/>
          <w:sz w:val="21"/>
          <w:szCs w:val="21"/>
        </w:rPr>
        <w:t xml:space="preserve"> causing one sex or gender to be routinely privileged or </w:t>
      </w:r>
      <w:r w:rsidR="00672DBE" w:rsidRPr="005A1455">
        <w:rPr>
          <w:rFonts w:eastAsia="MS Mincho" w:cstheme="minorHAnsi"/>
          <w:color w:val="000000"/>
          <w:sz w:val="21"/>
          <w:szCs w:val="21"/>
        </w:rPr>
        <w:t xml:space="preserve">prioritised </w:t>
      </w:r>
      <w:r w:rsidRPr="005A1455">
        <w:rPr>
          <w:rFonts w:eastAsia="MS Mincho" w:cstheme="minorHAnsi"/>
          <w:color w:val="000000"/>
          <w:sz w:val="21"/>
          <w:szCs w:val="21"/>
        </w:rPr>
        <w:t>over another.</w:t>
      </w:r>
    </w:p>
    <w:p w14:paraId="3A485084" w14:textId="7ACECAD3" w:rsidR="00EB2B55" w:rsidRPr="005A1455" w:rsidRDefault="00EB2B55" w:rsidP="00606505">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Gender norms: </w:t>
      </w:r>
      <w:r w:rsidRPr="005A1455">
        <w:rPr>
          <w:rFonts w:eastAsia="MS Mincho" w:cstheme="minorHAnsi"/>
          <w:color w:val="000000"/>
          <w:sz w:val="21"/>
          <w:szCs w:val="21"/>
        </w:rPr>
        <w:t xml:space="preserve">Rules of conduct and models of behaviour of women and men expected by a society or social group. </w:t>
      </w:r>
    </w:p>
    <w:p w14:paraId="21A622BC" w14:textId="77777777" w:rsidR="00EB2B55" w:rsidRPr="005A1455" w:rsidRDefault="00EB2B55" w:rsidP="00A431DA">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Gender roles:</w:t>
      </w:r>
      <w:r w:rsidRPr="005A1455">
        <w:rPr>
          <w:rFonts w:eastAsia="MS Mincho" w:cstheme="minorHAnsi"/>
          <w:color w:val="000000"/>
          <w:sz w:val="21"/>
          <w:szCs w:val="21"/>
        </w:rPr>
        <w:t xml:space="preserve"> The attitudes, behaviours, responsibilities, functions expected to be fulfilled based on assigned sex </w:t>
      </w:r>
      <w:proofErr w:type="gramStart"/>
      <w:r w:rsidRPr="005A1455">
        <w:rPr>
          <w:rFonts w:eastAsia="MS Mincho" w:cstheme="minorHAnsi"/>
          <w:color w:val="000000"/>
          <w:sz w:val="21"/>
          <w:szCs w:val="21"/>
        </w:rPr>
        <w:t>in a given</w:t>
      </w:r>
      <w:proofErr w:type="gramEnd"/>
      <w:r w:rsidRPr="005A1455">
        <w:rPr>
          <w:rFonts w:eastAsia="MS Mincho" w:cstheme="minorHAnsi"/>
          <w:color w:val="000000"/>
          <w:sz w:val="21"/>
          <w:szCs w:val="21"/>
        </w:rPr>
        <w:t xml:space="preserve"> society.</w:t>
      </w:r>
    </w:p>
    <w:p w14:paraId="7D8F40D1" w14:textId="0A0DCD73" w:rsidR="00EB2B55" w:rsidRPr="005A1455" w:rsidRDefault="00EB2B55" w:rsidP="00A431DA">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lastRenderedPageBreak/>
        <w:t>Gini index (coefficient):</w:t>
      </w:r>
      <w:r w:rsidRPr="005A1455">
        <w:rPr>
          <w:rFonts w:cstheme="minorHAnsi"/>
          <w:sz w:val="21"/>
          <w:szCs w:val="21"/>
        </w:rPr>
        <w:t xml:space="preserve"> </w:t>
      </w:r>
      <w:r w:rsidR="002215AA" w:rsidRPr="005A1455">
        <w:rPr>
          <w:rFonts w:eastAsia="MS Mincho" w:cstheme="minorHAnsi"/>
          <w:color w:val="000000"/>
          <w:sz w:val="21"/>
          <w:szCs w:val="21"/>
        </w:rPr>
        <w:t>M</w:t>
      </w:r>
      <w:r w:rsidR="002D77C9" w:rsidRPr="005A1455">
        <w:rPr>
          <w:rFonts w:eastAsia="MS Mincho" w:cstheme="minorHAnsi"/>
          <w:color w:val="000000"/>
          <w:sz w:val="21"/>
          <w:szCs w:val="21"/>
        </w:rPr>
        <w:t>easure</w:t>
      </w:r>
      <w:r w:rsidR="002215AA" w:rsidRPr="005A1455">
        <w:rPr>
          <w:rFonts w:eastAsia="MS Mincho" w:cstheme="minorHAnsi"/>
          <w:color w:val="000000"/>
          <w:sz w:val="21"/>
          <w:szCs w:val="21"/>
        </w:rPr>
        <w:t>s</w:t>
      </w:r>
      <w:r w:rsidR="002D77C9" w:rsidRPr="005A1455">
        <w:rPr>
          <w:rFonts w:eastAsia="MS Mincho" w:cstheme="minorHAnsi"/>
          <w:color w:val="000000"/>
          <w:sz w:val="21"/>
          <w:szCs w:val="21"/>
        </w:rPr>
        <w:t xml:space="preserve"> </w:t>
      </w:r>
      <w:r w:rsidRPr="005A1455">
        <w:rPr>
          <w:rFonts w:eastAsia="MS Mincho" w:cstheme="minorHAnsi"/>
          <w:color w:val="000000"/>
          <w:sz w:val="21"/>
          <w:szCs w:val="21"/>
        </w:rPr>
        <w:t>the degree of inequality, such as levels of income, on a scale from 0 to 1, where higher values indicate higher inequality.</w:t>
      </w:r>
    </w:p>
    <w:p w14:paraId="7BB67D72" w14:textId="217A0313" w:rsidR="00EB2B55" w:rsidRPr="005A1455" w:rsidRDefault="00EB2B55" w:rsidP="00A431DA">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International Committee of Medical Journal Editors (ICMJE): </w:t>
      </w:r>
      <w:r w:rsidRPr="005A1455">
        <w:rPr>
          <w:rFonts w:eastAsia="MS Mincho" w:cstheme="minorHAnsi"/>
          <w:color w:val="000000"/>
          <w:sz w:val="21"/>
          <w:szCs w:val="21"/>
        </w:rPr>
        <w:t>A working group of editors of selected medical journals that meets annually. Founded in Vancouver, consisting of 11</w:t>
      </w:r>
      <w:r w:rsidR="003367A3" w:rsidRPr="005A1455">
        <w:rPr>
          <w:rFonts w:eastAsia="MS Mincho" w:cstheme="minorHAnsi"/>
          <w:color w:val="000000"/>
          <w:sz w:val="21"/>
          <w:szCs w:val="21"/>
        </w:rPr>
        <w:t>-</w:t>
      </w:r>
      <w:r w:rsidRPr="005A1455">
        <w:rPr>
          <w:rFonts w:eastAsia="MS Mincho" w:cstheme="minorHAnsi"/>
          <w:color w:val="000000"/>
          <w:sz w:val="21"/>
          <w:szCs w:val="21"/>
        </w:rPr>
        <w:t>member journals and a representative of the US National Library of Medicine. Its purpose to address and provide guidance for the conduct and publishing of biomedical research and the ethical tenets This advice is detailed in the Committee's Uniform Requirements for Manuscripts Submitted to Biomedical Journals: Writing and Editing for Biomedical Publication (URM).</w:t>
      </w:r>
    </w:p>
    <w:p w14:paraId="22F7716E" w14:textId="42414AC3"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Implantable cardioverter defibrillator:</w:t>
      </w:r>
      <w:r w:rsidRPr="005A1455">
        <w:rPr>
          <w:rFonts w:eastAsia="MS Mincho" w:cstheme="minorHAnsi"/>
          <w:color w:val="000000"/>
          <w:sz w:val="21"/>
          <w:szCs w:val="21"/>
        </w:rPr>
        <w:t xml:space="preserve"> A small battery-powered device placed in the chest to detect and stop irregular heartbeats </w:t>
      </w:r>
      <w:r w:rsidR="002F1ADD" w:rsidRPr="005A1455">
        <w:rPr>
          <w:rFonts w:eastAsia="MS Mincho" w:cstheme="minorHAnsi"/>
          <w:color w:val="000000"/>
          <w:sz w:val="21"/>
          <w:szCs w:val="21"/>
        </w:rPr>
        <w:t>(</w:t>
      </w:r>
      <w:r w:rsidRPr="005A1455">
        <w:rPr>
          <w:rFonts w:eastAsia="MS Mincho" w:cstheme="minorHAnsi"/>
          <w:color w:val="000000"/>
          <w:sz w:val="21"/>
          <w:szCs w:val="21"/>
        </w:rPr>
        <w:t>arrhythmias</w:t>
      </w:r>
      <w:r w:rsidR="002F1ADD" w:rsidRPr="005A1455">
        <w:rPr>
          <w:rFonts w:eastAsia="MS Mincho" w:cstheme="minorHAnsi"/>
          <w:color w:val="000000"/>
          <w:sz w:val="21"/>
          <w:szCs w:val="21"/>
        </w:rPr>
        <w:t>)</w:t>
      </w:r>
      <w:r w:rsidRPr="005A1455">
        <w:rPr>
          <w:rFonts w:eastAsia="MS Mincho" w:cstheme="minorHAnsi"/>
          <w:color w:val="000000"/>
          <w:sz w:val="21"/>
          <w:szCs w:val="21"/>
        </w:rPr>
        <w:t>.</w:t>
      </w:r>
    </w:p>
    <w:p w14:paraId="09C75BE9" w14:textId="77777777"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Interpersonal violence: </w:t>
      </w:r>
      <w:r w:rsidRPr="005A1455">
        <w:rPr>
          <w:rFonts w:eastAsia="MS Mincho" w:cstheme="minorHAnsi"/>
          <w:color w:val="000000"/>
          <w:sz w:val="21"/>
          <w:szCs w:val="21"/>
        </w:rPr>
        <w:t>intentional use of physical force or power against other persons by an individual or small group of individuals. Interpersonal violence may be physical, sexual, or psychological (also called emotional violence), and it may involve deprivation and neglect.</w:t>
      </w:r>
    </w:p>
    <w:p w14:paraId="6B31C270" w14:textId="24D46C8E" w:rsidR="00141309" w:rsidRPr="005A1455" w:rsidRDefault="00141309" w:rsidP="00BD38F2">
      <w:pPr>
        <w:widowControl w:val="0"/>
        <w:adjustRightInd w:val="0"/>
        <w:snapToGrid w:val="0"/>
        <w:spacing w:line="240" w:lineRule="auto"/>
        <w:jc w:val="both"/>
        <w:rPr>
          <w:rFonts w:eastAsia="MS Mincho" w:cstheme="minorHAnsi"/>
          <w:color w:val="000000"/>
        </w:rPr>
      </w:pPr>
      <w:r w:rsidRPr="005A1455">
        <w:rPr>
          <w:rFonts w:eastAsia="MS Mincho" w:cstheme="minorHAnsi"/>
          <w:b/>
          <w:bCs/>
          <w:color w:val="000000"/>
        </w:rPr>
        <w:t>Intersex</w:t>
      </w:r>
      <w:r w:rsidRPr="005A1455">
        <w:rPr>
          <w:rFonts w:eastAsia="MS Mincho" w:cstheme="minorHAnsi"/>
          <w:color w:val="000000"/>
        </w:rPr>
        <w:t>: People who are i</w:t>
      </w:r>
      <w:r w:rsidRPr="005A1455">
        <w:rPr>
          <w:rFonts w:cstheme="minorHAnsi"/>
          <w:color w:val="333333"/>
          <w:shd w:val="clear" w:color="auto" w:fill="FFFFFF"/>
        </w:rPr>
        <w:t xml:space="preserve">ntersex have </w:t>
      </w:r>
      <w:proofErr w:type="gramStart"/>
      <w:r w:rsidRPr="005A1455">
        <w:rPr>
          <w:rFonts w:cstheme="minorHAnsi"/>
          <w:color w:val="333333"/>
          <w:shd w:val="clear" w:color="auto" w:fill="FFFFFF"/>
        </w:rPr>
        <w:t>innate</w:t>
      </w:r>
      <w:proofErr w:type="gramEnd"/>
      <w:r w:rsidRPr="005A1455">
        <w:rPr>
          <w:rFonts w:cstheme="minorHAnsi"/>
          <w:color w:val="333333"/>
          <w:shd w:val="clear" w:color="auto" w:fill="FFFFFF"/>
        </w:rPr>
        <w:t xml:space="preserve"> sex characteristics inconsistent with medical and social norms for female or male bodies.</w:t>
      </w:r>
    </w:p>
    <w:p w14:paraId="4DF76AE4" w14:textId="7F5F73CB"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Left ventricular ejection fraction:</w:t>
      </w:r>
      <w:r w:rsidRPr="005A1455">
        <w:rPr>
          <w:rFonts w:eastAsia="MS Mincho" w:cstheme="minorHAnsi"/>
          <w:color w:val="000000"/>
          <w:sz w:val="21"/>
          <w:szCs w:val="21"/>
        </w:rPr>
        <w:t xml:space="preserve"> A measurement of the percentage of blood leaving the heart each time it squeezes.</w:t>
      </w:r>
      <w:r w:rsidRPr="005A1455">
        <w:rPr>
          <w:rFonts w:cstheme="minorHAnsi"/>
          <w:sz w:val="21"/>
          <w:szCs w:val="21"/>
        </w:rPr>
        <w:t xml:space="preserve"> </w:t>
      </w:r>
      <w:r w:rsidRPr="005A1455">
        <w:rPr>
          <w:rFonts w:eastAsia="MS Mincho" w:cstheme="minorHAnsi"/>
          <w:color w:val="000000"/>
          <w:sz w:val="21"/>
          <w:szCs w:val="21"/>
        </w:rPr>
        <w:t>The ejection fraction is usually measured only in the left ventricle</w:t>
      </w:r>
      <w:r w:rsidR="002F1ADD" w:rsidRPr="005A1455">
        <w:rPr>
          <w:rFonts w:eastAsia="MS Mincho" w:cstheme="minorHAnsi"/>
          <w:color w:val="000000"/>
          <w:sz w:val="21"/>
          <w:szCs w:val="21"/>
        </w:rPr>
        <w:t>,</w:t>
      </w:r>
      <w:r w:rsidRPr="005A1455">
        <w:rPr>
          <w:rFonts w:eastAsia="MS Mincho" w:cstheme="minorHAnsi"/>
          <w:color w:val="000000"/>
          <w:sz w:val="21"/>
          <w:szCs w:val="21"/>
        </w:rPr>
        <w:t xml:space="preserve"> the heart's main pumping chamber.</w:t>
      </w:r>
    </w:p>
    <w:p w14:paraId="6B2F0D1C" w14:textId="0BEA33ED"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LGBTQ</w:t>
      </w:r>
      <w:r w:rsidR="002F1ADD" w:rsidRPr="005A1455">
        <w:rPr>
          <w:rFonts w:eastAsia="MS Mincho" w:cstheme="minorHAnsi"/>
          <w:b/>
          <w:color w:val="000000"/>
          <w:sz w:val="21"/>
          <w:szCs w:val="21"/>
        </w:rPr>
        <w:t>I</w:t>
      </w:r>
      <w:r w:rsidRPr="005A1455">
        <w:rPr>
          <w:rFonts w:eastAsia="MS Mincho" w:cstheme="minorHAnsi"/>
          <w:b/>
          <w:color w:val="000000"/>
          <w:sz w:val="21"/>
          <w:szCs w:val="21"/>
        </w:rPr>
        <w:t>:</w:t>
      </w:r>
      <w:r w:rsidRPr="005A1455">
        <w:rPr>
          <w:rFonts w:eastAsia="MS Mincho" w:cstheme="minorHAnsi"/>
          <w:color w:val="000000"/>
          <w:sz w:val="21"/>
          <w:szCs w:val="21"/>
        </w:rPr>
        <w:t xml:space="preserve"> Acronym for lesbian, gay, bi, trans, queer</w:t>
      </w:r>
      <w:r w:rsidR="002F1ADD" w:rsidRPr="005A1455">
        <w:rPr>
          <w:rFonts w:eastAsia="MS Mincho" w:cstheme="minorHAnsi"/>
          <w:color w:val="000000"/>
          <w:sz w:val="21"/>
          <w:szCs w:val="21"/>
        </w:rPr>
        <w:t>/</w:t>
      </w:r>
      <w:r w:rsidRPr="005A1455">
        <w:rPr>
          <w:rFonts w:eastAsia="MS Mincho" w:cstheme="minorHAnsi"/>
          <w:color w:val="000000"/>
          <w:sz w:val="21"/>
          <w:szCs w:val="21"/>
        </w:rPr>
        <w:t>questioning</w:t>
      </w:r>
      <w:r w:rsidR="002F1ADD" w:rsidRPr="005A1455">
        <w:rPr>
          <w:rFonts w:eastAsia="MS Mincho" w:cstheme="minorHAnsi"/>
          <w:color w:val="000000"/>
          <w:sz w:val="21"/>
          <w:szCs w:val="21"/>
        </w:rPr>
        <w:t>, and intersex</w:t>
      </w:r>
      <w:r w:rsidRPr="005A1455">
        <w:rPr>
          <w:rFonts w:eastAsia="MS Mincho" w:cstheme="minorHAnsi"/>
          <w:color w:val="000000"/>
          <w:sz w:val="21"/>
          <w:szCs w:val="21"/>
        </w:rPr>
        <w:t xml:space="preserve">. </w:t>
      </w:r>
      <w:proofErr w:type="gramStart"/>
      <w:r w:rsidR="00A4448D" w:rsidRPr="005A1455">
        <w:rPr>
          <w:rFonts w:eastAsia="MS Mincho" w:cstheme="minorHAnsi"/>
          <w:color w:val="000000"/>
          <w:sz w:val="21"/>
          <w:szCs w:val="21"/>
        </w:rPr>
        <w:t>Also</w:t>
      </w:r>
      <w:proofErr w:type="gramEnd"/>
      <w:r w:rsidR="00A4448D" w:rsidRPr="005A1455">
        <w:rPr>
          <w:rFonts w:eastAsia="MS Mincho" w:cstheme="minorHAnsi"/>
          <w:color w:val="000000"/>
          <w:sz w:val="21"/>
          <w:szCs w:val="21"/>
        </w:rPr>
        <w:t xml:space="preserve"> LGBTQI+. </w:t>
      </w:r>
      <w:r w:rsidRPr="005A1455">
        <w:rPr>
          <w:rFonts w:eastAsia="MS Mincho" w:cstheme="minorHAnsi"/>
          <w:color w:val="000000"/>
          <w:sz w:val="21"/>
          <w:szCs w:val="21"/>
        </w:rPr>
        <w:t xml:space="preserve">These terms are used to describe a person's sexual orientation or gender identity, referring to people who are as non-heterosexual, non-heteroromantic, or non-cisgender. </w:t>
      </w:r>
    </w:p>
    <w:p w14:paraId="159E3035" w14:textId="77777777"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Ophelia:</w:t>
      </w:r>
      <w:r w:rsidRPr="005A1455">
        <w:rPr>
          <w:rFonts w:eastAsia="MS Mincho" w:cstheme="minorHAnsi"/>
          <w:color w:val="000000"/>
          <w:sz w:val="21"/>
          <w:szCs w:val="21"/>
        </w:rPr>
        <w:t xml:space="preserve"> A modern, whole-of-system, approach to developing grounded health literacy interventions, using a new tool called ‘The Health Literacy Questionnaire (HLQ)’, through a co-creation approach where a wide range of patients, practitioners and policy makers work together to develop health literacy interventions.</w:t>
      </w:r>
    </w:p>
    <w:p w14:paraId="173C1DBC" w14:textId="77777777"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Percutaneous coronary intervention:</w:t>
      </w:r>
      <w:r w:rsidRPr="005A1455">
        <w:rPr>
          <w:rFonts w:eastAsia="MS Mincho" w:cstheme="minorHAnsi"/>
          <w:color w:val="000000"/>
          <w:sz w:val="21"/>
          <w:szCs w:val="21"/>
        </w:rPr>
        <w:t xml:space="preserve"> A treatment to open a blocked artery.</w:t>
      </w:r>
    </w:p>
    <w:p w14:paraId="4DBBF9F6" w14:textId="15533F99" w:rsidR="00EB2B55" w:rsidRPr="005A1455" w:rsidRDefault="00EB2B55" w:rsidP="00BD38F2">
      <w:pPr>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Perinatal: </w:t>
      </w:r>
      <w:r w:rsidRPr="005A1455">
        <w:rPr>
          <w:rFonts w:eastAsia="MS Mincho" w:cstheme="minorHAnsi"/>
          <w:color w:val="000000"/>
          <w:sz w:val="21"/>
          <w:szCs w:val="21"/>
        </w:rPr>
        <w:t xml:space="preserve">The </w:t>
      </w:r>
      <w:proofErr w:type="gramStart"/>
      <w:r w:rsidRPr="005A1455">
        <w:rPr>
          <w:rFonts w:eastAsia="MS Mincho" w:cstheme="minorHAnsi"/>
          <w:color w:val="000000"/>
          <w:sz w:val="21"/>
          <w:szCs w:val="21"/>
        </w:rPr>
        <w:t>period of time</w:t>
      </w:r>
      <w:proofErr w:type="gramEnd"/>
      <w:r w:rsidRPr="005A1455">
        <w:rPr>
          <w:rFonts w:eastAsia="MS Mincho" w:cstheme="minorHAnsi"/>
          <w:color w:val="000000"/>
          <w:sz w:val="21"/>
          <w:szCs w:val="21"/>
        </w:rPr>
        <w:t xml:space="preserve"> when women become pregnant and up to a year after giving birth</w:t>
      </w:r>
      <w:r w:rsidR="00387F19" w:rsidRPr="005A1455">
        <w:rPr>
          <w:rFonts w:eastAsia="MS Mincho" w:cstheme="minorHAnsi"/>
          <w:color w:val="000000"/>
          <w:sz w:val="21"/>
          <w:szCs w:val="21"/>
        </w:rPr>
        <w:t>. S</w:t>
      </w:r>
      <w:r w:rsidRPr="005A1455">
        <w:rPr>
          <w:rFonts w:eastAsia="MS Mincho" w:cstheme="minorHAnsi"/>
          <w:color w:val="000000"/>
          <w:sz w:val="21"/>
          <w:szCs w:val="21"/>
        </w:rPr>
        <w:t>ome broad definition</w:t>
      </w:r>
      <w:r w:rsidR="00387F19" w:rsidRPr="005A1455">
        <w:rPr>
          <w:rFonts w:eastAsia="MS Mincho" w:cstheme="minorHAnsi"/>
          <w:color w:val="000000"/>
          <w:sz w:val="21"/>
          <w:szCs w:val="21"/>
        </w:rPr>
        <w:t>s</w:t>
      </w:r>
      <w:r w:rsidRPr="005A1455">
        <w:rPr>
          <w:rFonts w:eastAsia="MS Mincho" w:cstheme="minorHAnsi"/>
          <w:color w:val="000000"/>
          <w:sz w:val="21"/>
          <w:szCs w:val="21"/>
        </w:rPr>
        <w:t xml:space="preserve"> </w:t>
      </w:r>
      <w:r w:rsidR="00387F19" w:rsidRPr="005A1455">
        <w:rPr>
          <w:rFonts w:eastAsia="MS Mincho" w:cstheme="minorHAnsi"/>
          <w:color w:val="000000"/>
          <w:sz w:val="21"/>
          <w:szCs w:val="21"/>
        </w:rPr>
        <w:t>extend</w:t>
      </w:r>
      <w:r w:rsidRPr="005A1455">
        <w:rPr>
          <w:rFonts w:eastAsia="MS Mincho" w:cstheme="minorHAnsi"/>
          <w:color w:val="000000"/>
          <w:sz w:val="21"/>
          <w:szCs w:val="21"/>
        </w:rPr>
        <w:t xml:space="preserve"> from one year before to 18</w:t>
      </w:r>
      <w:r w:rsidR="00387F19" w:rsidRPr="005A1455">
        <w:rPr>
          <w:rFonts w:eastAsia="MS Mincho" w:cstheme="minorHAnsi"/>
          <w:color w:val="000000"/>
          <w:sz w:val="21"/>
          <w:szCs w:val="21"/>
        </w:rPr>
        <w:t>-</w:t>
      </w:r>
      <w:r w:rsidRPr="005A1455">
        <w:rPr>
          <w:rFonts w:eastAsia="MS Mincho" w:cstheme="minorHAnsi"/>
          <w:color w:val="000000"/>
          <w:sz w:val="21"/>
          <w:szCs w:val="21"/>
        </w:rPr>
        <w:t xml:space="preserve">24 months after the birth of the child. </w:t>
      </w:r>
    </w:p>
    <w:p w14:paraId="3F71387F" w14:textId="35BB863B"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Polypharmacy: </w:t>
      </w:r>
      <w:r w:rsidRPr="005A1455">
        <w:rPr>
          <w:rFonts w:eastAsia="MS Mincho" w:cstheme="minorHAnsi"/>
          <w:color w:val="000000"/>
          <w:sz w:val="21"/>
          <w:szCs w:val="21"/>
        </w:rPr>
        <w:t xml:space="preserve">Using five or more medications </w:t>
      </w:r>
      <w:r w:rsidR="00387F19" w:rsidRPr="005A1455">
        <w:rPr>
          <w:rFonts w:eastAsia="MS Mincho" w:cstheme="minorHAnsi"/>
          <w:color w:val="000000"/>
          <w:sz w:val="21"/>
          <w:szCs w:val="21"/>
        </w:rPr>
        <w:t xml:space="preserve">simultaneously. </w:t>
      </w:r>
    </w:p>
    <w:p w14:paraId="5CFA398E" w14:textId="77777777" w:rsidR="00EB2B55" w:rsidRPr="005A1455" w:rsidRDefault="00EB2B55" w:rsidP="00BD38F2">
      <w:pPr>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Post-traumatic </w:t>
      </w:r>
      <w:proofErr w:type="gramStart"/>
      <w:r w:rsidRPr="005A1455">
        <w:rPr>
          <w:rFonts w:eastAsia="MS Mincho" w:cstheme="minorHAnsi"/>
          <w:b/>
          <w:color w:val="000000"/>
          <w:sz w:val="21"/>
          <w:szCs w:val="21"/>
        </w:rPr>
        <w:t>Stress Disorde</w:t>
      </w:r>
      <w:r w:rsidRPr="005A1455">
        <w:rPr>
          <w:rFonts w:eastAsia="MS Mincho" w:cstheme="minorHAnsi"/>
          <w:color w:val="000000"/>
          <w:sz w:val="21"/>
          <w:szCs w:val="21"/>
        </w:rPr>
        <w:t>r</w:t>
      </w:r>
      <w:proofErr w:type="gramEnd"/>
      <w:r w:rsidRPr="005A1455">
        <w:rPr>
          <w:rFonts w:eastAsia="MS Mincho" w:cstheme="minorHAnsi"/>
          <w:color w:val="000000"/>
          <w:sz w:val="21"/>
          <w:szCs w:val="21"/>
        </w:rPr>
        <w:t xml:space="preserve"> </w:t>
      </w:r>
      <w:r w:rsidRPr="005A1455">
        <w:rPr>
          <w:rFonts w:eastAsia="MS Mincho" w:cstheme="minorHAnsi"/>
          <w:b/>
          <w:color w:val="000000"/>
          <w:sz w:val="21"/>
          <w:szCs w:val="21"/>
        </w:rPr>
        <w:t>(PTSD)</w:t>
      </w:r>
      <w:r w:rsidRPr="005A1455">
        <w:rPr>
          <w:rFonts w:eastAsia="MS Mincho" w:cstheme="minorHAnsi"/>
          <w:color w:val="000000"/>
          <w:sz w:val="21"/>
          <w:szCs w:val="21"/>
        </w:rPr>
        <w:t>: A mental health condition that can develop after experiencing or witnessing a horrifying event while being helpless to influence it. Symptoms may include flashbacks, intrusive thoughts and images about the event, anxiety, and avoidance of situations that mimic the event.</w:t>
      </w:r>
    </w:p>
    <w:p w14:paraId="067EE1F8" w14:textId="3A28F9EC"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Psychosocial</w:t>
      </w:r>
      <w:r w:rsidRPr="005A1455">
        <w:rPr>
          <w:rFonts w:eastAsia="MS Mincho" w:cstheme="minorHAnsi"/>
          <w:color w:val="000000"/>
          <w:sz w:val="21"/>
          <w:szCs w:val="21"/>
        </w:rPr>
        <w:t>: social factors that have the potential to affect emotional well-being.</w:t>
      </w:r>
    </w:p>
    <w:p w14:paraId="0668149F" w14:textId="537E2455" w:rsidR="00EB2B55" w:rsidRPr="005A1455" w:rsidRDefault="00EB2B55" w:rsidP="00BD38F2">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Randomi</w:t>
      </w:r>
      <w:r w:rsidR="00F83B46" w:rsidRPr="005A1455">
        <w:rPr>
          <w:rFonts w:eastAsia="MS Mincho" w:cstheme="minorHAnsi"/>
          <w:b/>
          <w:color w:val="000000"/>
          <w:sz w:val="21"/>
          <w:szCs w:val="21"/>
        </w:rPr>
        <w:t>s</w:t>
      </w:r>
      <w:r w:rsidRPr="005A1455">
        <w:rPr>
          <w:rFonts w:eastAsia="MS Mincho" w:cstheme="minorHAnsi"/>
          <w:b/>
          <w:color w:val="000000"/>
          <w:sz w:val="21"/>
          <w:szCs w:val="21"/>
        </w:rPr>
        <w:t>ed controlled trial:</w:t>
      </w:r>
      <w:r w:rsidRPr="005A1455">
        <w:rPr>
          <w:rFonts w:eastAsia="MS Mincho" w:cstheme="minorHAnsi"/>
          <w:color w:val="000000"/>
          <w:sz w:val="21"/>
          <w:szCs w:val="21"/>
        </w:rPr>
        <w:t xml:space="preserve"> A study in which participants are allocated at random to receive or not receive an intervention. One of these interventions is the standard of comparison or control. The control may be a standard practice, a placebo</w:t>
      </w:r>
      <w:r w:rsidR="00F83B46" w:rsidRPr="005A1455">
        <w:rPr>
          <w:rFonts w:eastAsia="MS Mincho" w:cstheme="minorHAnsi"/>
          <w:color w:val="000000"/>
          <w:sz w:val="21"/>
          <w:szCs w:val="21"/>
        </w:rPr>
        <w:t>,</w:t>
      </w:r>
      <w:r w:rsidRPr="005A1455">
        <w:rPr>
          <w:rFonts w:eastAsia="MS Mincho" w:cstheme="minorHAnsi"/>
          <w:color w:val="000000"/>
          <w:sz w:val="21"/>
          <w:szCs w:val="21"/>
        </w:rPr>
        <w:t xml:space="preserve"> or no intervention.</w:t>
      </w:r>
    </w:p>
    <w:p w14:paraId="61EBD2F4" w14:textId="77777777" w:rsidR="00EB2B55" w:rsidRPr="005A1455" w:rsidRDefault="00EB2B55" w:rsidP="00BD38F2">
      <w:pPr>
        <w:adjustRightInd w:val="0"/>
        <w:snapToGrid w:val="0"/>
        <w:spacing w:line="240" w:lineRule="auto"/>
        <w:jc w:val="both"/>
        <w:rPr>
          <w:rFonts w:cstheme="minorHAnsi"/>
          <w:sz w:val="21"/>
          <w:szCs w:val="21"/>
        </w:rPr>
      </w:pPr>
      <w:r w:rsidRPr="005A1455">
        <w:rPr>
          <w:rFonts w:cstheme="minorHAnsi"/>
          <w:b/>
          <w:sz w:val="21"/>
          <w:szCs w:val="21"/>
        </w:rPr>
        <w:t>Sex:</w:t>
      </w:r>
      <w:r w:rsidRPr="005A1455">
        <w:rPr>
          <w:rFonts w:cstheme="minorHAnsi"/>
          <w:sz w:val="21"/>
          <w:szCs w:val="21"/>
        </w:rPr>
        <w:t xml:space="preserve"> Biological and physical characteristics used to define humans as male or female.</w:t>
      </w:r>
    </w:p>
    <w:p w14:paraId="2F08C783" w14:textId="73CBDC8A" w:rsidR="00EB2B55" w:rsidRPr="005A1455" w:rsidRDefault="00EB2B55" w:rsidP="00BD38F2">
      <w:pPr>
        <w:adjustRightInd w:val="0"/>
        <w:snapToGrid w:val="0"/>
        <w:spacing w:line="240" w:lineRule="auto"/>
        <w:jc w:val="both"/>
        <w:rPr>
          <w:rFonts w:cstheme="minorHAnsi"/>
          <w:sz w:val="21"/>
          <w:szCs w:val="21"/>
        </w:rPr>
      </w:pPr>
      <w:r w:rsidRPr="005A1455">
        <w:rPr>
          <w:rFonts w:cstheme="minorHAnsi"/>
          <w:b/>
          <w:sz w:val="21"/>
          <w:szCs w:val="21"/>
        </w:rPr>
        <w:t xml:space="preserve">Sexually </w:t>
      </w:r>
      <w:r w:rsidR="00F83B46" w:rsidRPr="005A1455">
        <w:rPr>
          <w:rFonts w:cstheme="minorHAnsi"/>
          <w:b/>
          <w:sz w:val="21"/>
          <w:szCs w:val="21"/>
        </w:rPr>
        <w:t xml:space="preserve">transmissible </w:t>
      </w:r>
      <w:r w:rsidRPr="005A1455">
        <w:rPr>
          <w:rFonts w:cstheme="minorHAnsi"/>
          <w:b/>
          <w:sz w:val="21"/>
          <w:szCs w:val="21"/>
        </w:rPr>
        <w:t>infections (STIs):</w:t>
      </w:r>
      <w:r w:rsidRPr="005A1455">
        <w:rPr>
          <w:rFonts w:cstheme="minorHAnsi"/>
          <w:sz w:val="21"/>
          <w:szCs w:val="21"/>
        </w:rPr>
        <w:t xml:space="preserve"> </w:t>
      </w:r>
      <w:r w:rsidR="00F83B46" w:rsidRPr="005A1455">
        <w:rPr>
          <w:rFonts w:cstheme="minorHAnsi"/>
          <w:sz w:val="21"/>
          <w:szCs w:val="21"/>
        </w:rPr>
        <w:t>Infections capable of being transmitted through sexual activity, including</w:t>
      </w:r>
      <w:r w:rsidRPr="005A1455">
        <w:rPr>
          <w:rFonts w:cstheme="minorHAnsi"/>
          <w:sz w:val="21"/>
          <w:szCs w:val="21"/>
        </w:rPr>
        <w:t xml:space="preserve"> syphilis, gonorrhoea, chlamydia</w:t>
      </w:r>
      <w:r w:rsidR="00F83B46" w:rsidRPr="005A1455">
        <w:rPr>
          <w:rFonts w:cstheme="minorHAnsi"/>
          <w:sz w:val="21"/>
          <w:szCs w:val="21"/>
        </w:rPr>
        <w:t>,</w:t>
      </w:r>
      <w:r w:rsidRPr="005A1455">
        <w:rPr>
          <w:rFonts w:cstheme="minorHAnsi"/>
          <w:sz w:val="21"/>
          <w:szCs w:val="21"/>
        </w:rPr>
        <w:t xml:space="preserve"> trichomoniasis, herpes simplex virus</w:t>
      </w:r>
      <w:r w:rsidR="00F83B46" w:rsidRPr="005A1455">
        <w:rPr>
          <w:rFonts w:cstheme="minorHAnsi"/>
          <w:sz w:val="21"/>
          <w:szCs w:val="21"/>
        </w:rPr>
        <w:t xml:space="preserve"> (HSV)</w:t>
      </w:r>
      <w:r w:rsidRPr="005A1455">
        <w:rPr>
          <w:rFonts w:cstheme="minorHAnsi"/>
          <w:sz w:val="21"/>
          <w:szCs w:val="21"/>
        </w:rPr>
        <w:t xml:space="preserve">, </w:t>
      </w:r>
      <w:r w:rsidR="00F83B46" w:rsidRPr="005A1455">
        <w:rPr>
          <w:rFonts w:cstheme="minorHAnsi"/>
          <w:sz w:val="21"/>
          <w:szCs w:val="21"/>
        </w:rPr>
        <w:t>and human immunodeficiency virus (HIV)</w:t>
      </w:r>
      <w:r w:rsidRPr="005A1455">
        <w:rPr>
          <w:rFonts w:cstheme="minorHAnsi"/>
          <w:sz w:val="21"/>
          <w:szCs w:val="21"/>
        </w:rPr>
        <w:t>.</w:t>
      </w:r>
    </w:p>
    <w:p w14:paraId="7EDAC381" w14:textId="6ED8838E" w:rsidR="00EB2B55" w:rsidRPr="005A1455" w:rsidRDefault="00EB2B55" w:rsidP="00BD38F2">
      <w:pPr>
        <w:adjustRightInd w:val="0"/>
        <w:snapToGrid w:val="0"/>
        <w:spacing w:line="240" w:lineRule="auto"/>
        <w:jc w:val="both"/>
        <w:rPr>
          <w:rFonts w:cstheme="minorHAnsi"/>
          <w:sz w:val="21"/>
          <w:szCs w:val="21"/>
        </w:rPr>
      </w:pPr>
      <w:r w:rsidRPr="005A1455">
        <w:rPr>
          <w:rFonts w:cstheme="minorHAnsi"/>
          <w:b/>
          <w:sz w:val="21"/>
          <w:szCs w:val="21"/>
        </w:rPr>
        <w:t>Socio-ecological model:</w:t>
      </w:r>
      <w:r w:rsidRPr="005A1455">
        <w:rPr>
          <w:rFonts w:cstheme="minorHAnsi"/>
          <w:sz w:val="21"/>
          <w:szCs w:val="21"/>
        </w:rPr>
        <w:t xml:space="preserve"> A multilevel conceptualisation of health that includes intrapersonal, interpersonal, organisational, environmental, and public policy factors. </w:t>
      </w:r>
    </w:p>
    <w:p w14:paraId="298B20AE" w14:textId="033BCE4F" w:rsidR="00EB2B55" w:rsidRPr="005A1455" w:rsidRDefault="00EB2B55" w:rsidP="00BD38F2">
      <w:pPr>
        <w:adjustRightInd w:val="0"/>
        <w:snapToGrid w:val="0"/>
        <w:spacing w:line="240" w:lineRule="auto"/>
        <w:jc w:val="both"/>
        <w:rPr>
          <w:rFonts w:cstheme="minorHAnsi"/>
          <w:sz w:val="21"/>
          <w:szCs w:val="21"/>
        </w:rPr>
      </w:pPr>
      <w:r w:rsidRPr="005A1455">
        <w:rPr>
          <w:rFonts w:cstheme="minorHAnsi"/>
          <w:b/>
          <w:sz w:val="21"/>
          <w:szCs w:val="21"/>
        </w:rPr>
        <w:lastRenderedPageBreak/>
        <w:t xml:space="preserve">ST-segment elevation myocardial infarction (STEMI): </w:t>
      </w:r>
      <w:r w:rsidRPr="005A1455">
        <w:rPr>
          <w:rFonts w:cstheme="minorHAnsi"/>
          <w:sz w:val="21"/>
          <w:szCs w:val="21"/>
        </w:rPr>
        <w:t xml:space="preserve">A type of heart attack </w:t>
      </w:r>
      <w:r w:rsidR="00F83B46" w:rsidRPr="005A1455">
        <w:rPr>
          <w:rFonts w:cstheme="minorHAnsi"/>
          <w:color w:val="1F1F1F"/>
          <w:sz w:val="21"/>
          <w:szCs w:val="21"/>
          <w:shd w:val="clear" w:color="auto" w:fill="FFFFFF"/>
        </w:rPr>
        <w:t>with risk of serious complications and death. Its name comes from STEMI’s effect on the heart’s lower chambers, changing the flow of electrical current</w:t>
      </w:r>
      <w:r w:rsidRPr="005A1455">
        <w:rPr>
          <w:rFonts w:cstheme="minorHAnsi"/>
          <w:sz w:val="21"/>
          <w:szCs w:val="21"/>
        </w:rPr>
        <w:t>.</w:t>
      </w:r>
    </w:p>
    <w:p w14:paraId="59716D94" w14:textId="2A8D06F6" w:rsidR="00EB2B55" w:rsidRPr="005A1455" w:rsidRDefault="00EB2B55" w:rsidP="005A793E">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Stress disorders: </w:t>
      </w:r>
      <w:r w:rsidRPr="005A1455">
        <w:rPr>
          <w:rFonts w:eastAsia="MS Mincho" w:cstheme="minorHAnsi"/>
          <w:color w:val="000000"/>
          <w:sz w:val="21"/>
          <w:szCs w:val="21"/>
        </w:rPr>
        <w:t xml:space="preserve">Those occur when an event or series of events exceeds </w:t>
      </w:r>
      <w:r w:rsidR="00AC2348" w:rsidRPr="005A1455">
        <w:rPr>
          <w:rFonts w:eastAsia="MS Mincho" w:cstheme="minorHAnsi"/>
          <w:color w:val="000000"/>
          <w:sz w:val="21"/>
          <w:szCs w:val="21"/>
        </w:rPr>
        <w:t xml:space="preserve">a person’s </w:t>
      </w:r>
      <w:r w:rsidRPr="005A1455">
        <w:rPr>
          <w:rFonts w:eastAsia="MS Mincho" w:cstheme="minorHAnsi"/>
          <w:color w:val="000000"/>
          <w:sz w:val="21"/>
          <w:szCs w:val="21"/>
        </w:rPr>
        <w:t>coping capacities</w:t>
      </w:r>
      <w:r w:rsidR="00B17FC8" w:rsidRPr="005A1455">
        <w:rPr>
          <w:rFonts w:eastAsia="MS Mincho" w:cstheme="minorHAnsi"/>
          <w:color w:val="000000"/>
          <w:sz w:val="21"/>
          <w:szCs w:val="21"/>
        </w:rPr>
        <w:t>.</w:t>
      </w:r>
      <w:r w:rsidR="00AC2348" w:rsidRPr="005A1455">
        <w:rPr>
          <w:rFonts w:eastAsia="MS Mincho" w:cstheme="minorHAnsi"/>
          <w:color w:val="000000"/>
          <w:sz w:val="21"/>
          <w:szCs w:val="21"/>
        </w:rPr>
        <w:t xml:space="preserve"> The disorders</w:t>
      </w:r>
      <w:r w:rsidRPr="005A1455">
        <w:rPr>
          <w:rFonts w:eastAsia="MS Mincho" w:cstheme="minorHAnsi"/>
          <w:color w:val="000000"/>
          <w:sz w:val="21"/>
          <w:szCs w:val="21"/>
        </w:rPr>
        <w:t xml:space="preserve"> </w:t>
      </w:r>
      <w:r w:rsidR="00AC2348" w:rsidRPr="005A1455">
        <w:rPr>
          <w:rFonts w:eastAsia="MS Mincho" w:cstheme="minorHAnsi"/>
          <w:color w:val="000000"/>
          <w:sz w:val="21"/>
          <w:szCs w:val="21"/>
        </w:rPr>
        <w:t xml:space="preserve">include </w:t>
      </w:r>
      <w:r w:rsidRPr="005A1455">
        <w:rPr>
          <w:rFonts w:eastAsia="MS Mincho" w:cstheme="minorHAnsi"/>
          <w:color w:val="000000"/>
          <w:sz w:val="21"/>
          <w:szCs w:val="21"/>
        </w:rPr>
        <w:t>acute stress response, adjustment disorder, post-traumatic stress disorder (PTSD)</w:t>
      </w:r>
      <w:r w:rsidR="00AC2348" w:rsidRPr="005A1455">
        <w:rPr>
          <w:rFonts w:eastAsia="MS Mincho" w:cstheme="minorHAnsi"/>
          <w:color w:val="000000"/>
          <w:sz w:val="21"/>
          <w:szCs w:val="21"/>
        </w:rPr>
        <w:t>,</w:t>
      </w:r>
      <w:r w:rsidRPr="005A1455">
        <w:rPr>
          <w:rFonts w:eastAsia="MS Mincho" w:cstheme="minorHAnsi"/>
          <w:color w:val="000000"/>
          <w:sz w:val="21"/>
          <w:szCs w:val="21"/>
        </w:rPr>
        <w:t xml:space="preserve"> and complex trauma disorder.  </w:t>
      </w:r>
    </w:p>
    <w:p w14:paraId="774C2B00" w14:textId="066AEBF0" w:rsidR="00EB2B55" w:rsidRPr="005A1455" w:rsidRDefault="00EB2B55" w:rsidP="005A793E">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Systematic literature review</w:t>
      </w:r>
      <w:r w:rsidRPr="005A1455">
        <w:rPr>
          <w:rFonts w:eastAsia="MS Mincho" w:cstheme="minorHAnsi"/>
          <w:color w:val="000000"/>
          <w:sz w:val="21"/>
          <w:szCs w:val="21"/>
        </w:rPr>
        <w:t>: A systematic review of evidence</w:t>
      </w:r>
      <w:r w:rsidR="00AC2348" w:rsidRPr="005A1455">
        <w:rPr>
          <w:rFonts w:eastAsia="MS Mincho" w:cstheme="minorHAnsi"/>
          <w:color w:val="000000"/>
          <w:sz w:val="21"/>
          <w:szCs w:val="21"/>
        </w:rPr>
        <w:t>,</w:t>
      </w:r>
      <w:r w:rsidRPr="005A1455">
        <w:rPr>
          <w:rFonts w:eastAsia="MS Mincho" w:cstheme="minorHAnsi"/>
          <w:color w:val="000000"/>
          <w:sz w:val="21"/>
          <w:szCs w:val="21"/>
        </w:rPr>
        <w:t xml:space="preserve"> focused on a research question</w:t>
      </w:r>
      <w:r w:rsidR="00AC2348" w:rsidRPr="005A1455">
        <w:rPr>
          <w:rFonts w:eastAsia="MS Mincho" w:cstheme="minorHAnsi"/>
          <w:color w:val="000000"/>
          <w:sz w:val="21"/>
          <w:szCs w:val="21"/>
        </w:rPr>
        <w:t xml:space="preserve"> or questions,</w:t>
      </w:r>
      <w:r w:rsidRPr="005A1455">
        <w:rPr>
          <w:rFonts w:eastAsia="MS Mincho" w:cstheme="minorHAnsi"/>
          <w:color w:val="000000"/>
          <w:sz w:val="21"/>
          <w:szCs w:val="21"/>
        </w:rPr>
        <w:t xml:space="preserve"> that aims to identify, appraise, select</w:t>
      </w:r>
      <w:r w:rsidR="00AC2348" w:rsidRPr="005A1455">
        <w:rPr>
          <w:rFonts w:eastAsia="MS Mincho" w:cstheme="minorHAnsi"/>
          <w:color w:val="000000"/>
          <w:sz w:val="21"/>
          <w:szCs w:val="21"/>
        </w:rPr>
        <w:t>,</w:t>
      </w:r>
      <w:r w:rsidRPr="005A1455">
        <w:rPr>
          <w:rFonts w:eastAsia="MS Mincho" w:cstheme="minorHAnsi"/>
          <w:color w:val="000000"/>
          <w:sz w:val="21"/>
          <w:szCs w:val="21"/>
        </w:rPr>
        <w:t xml:space="preserve"> and synthesise all research evidence relevant to </w:t>
      </w:r>
      <w:r w:rsidR="00AC2348" w:rsidRPr="005A1455">
        <w:rPr>
          <w:rFonts w:eastAsia="MS Mincho" w:cstheme="minorHAnsi"/>
          <w:color w:val="000000"/>
          <w:sz w:val="21"/>
          <w:szCs w:val="21"/>
        </w:rPr>
        <w:t xml:space="preserve">the </w:t>
      </w:r>
      <w:r w:rsidRPr="005A1455">
        <w:rPr>
          <w:rFonts w:eastAsia="MS Mincho" w:cstheme="minorHAnsi"/>
          <w:color w:val="000000"/>
          <w:sz w:val="21"/>
          <w:szCs w:val="21"/>
        </w:rPr>
        <w:t>question</w:t>
      </w:r>
      <w:r w:rsidR="00AC2348" w:rsidRPr="005A1455">
        <w:rPr>
          <w:rFonts w:eastAsia="MS Mincho" w:cstheme="minorHAnsi"/>
          <w:color w:val="000000"/>
          <w:sz w:val="21"/>
          <w:szCs w:val="21"/>
        </w:rPr>
        <w:t>s</w:t>
      </w:r>
      <w:r w:rsidRPr="005A1455">
        <w:rPr>
          <w:rFonts w:eastAsia="MS Mincho" w:cstheme="minorHAnsi"/>
          <w:color w:val="000000"/>
          <w:sz w:val="21"/>
          <w:szCs w:val="21"/>
        </w:rPr>
        <w:t>.</w:t>
      </w:r>
    </w:p>
    <w:p w14:paraId="560A3A47" w14:textId="5AEECF5A" w:rsidR="00EB2B55" w:rsidRPr="005A1455" w:rsidRDefault="00EB2B55" w:rsidP="005A793E">
      <w:pPr>
        <w:widowControl w:val="0"/>
        <w:adjustRightInd w:val="0"/>
        <w:snapToGrid w:val="0"/>
        <w:spacing w:line="240" w:lineRule="auto"/>
        <w:jc w:val="both"/>
        <w:rPr>
          <w:rFonts w:eastAsia="MS Mincho" w:cstheme="minorHAnsi"/>
          <w:color w:val="000000"/>
          <w:sz w:val="21"/>
          <w:szCs w:val="21"/>
        </w:rPr>
      </w:pPr>
      <w:r w:rsidRPr="005A1455">
        <w:rPr>
          <w:rFonts w:eastAsia="MS Mincho" w:cstheme="minorHAnsi"/>
          <w:b/>
          <w:color w:val="000000"/>
          <w:sz w:val="21"/>
          <w:szCs w:val="21"/>
        </w:rPr>
        <w:t xml:space="preserve">Transgender: </w:t>
      </w:r>
      <w:r w:rsidRPr="005A1455">
        <w:rPr>
          <w:rFonts w:eastAsia="MS Mincho" w:cstheme="minorHAnsi"/>
          <w:color w:val="000000"/>
          <w:sz w:val="21"/>
          <w:szCs w:val="21"/>
        </w:rPr>
        <w:t xml:space="preserve">An umbrella term for </w:t>
      </w:r>
      <w:r w:rsidR="00AC2348" w:rsidRPr="005A1455">
        <w:rPr>
          <w:rFonts w:eastAsia="MS Mincho" w:cstheme="minorHAnsi"/>
          <w:color w:val="000000"/>
          <w:sz w:val="21"/>
          <w:szCs w:val="21"/>
        </w:rPr>
        <w:t xml:space="preserve">people </w:t>
      </w:r>
      <w:r w:rsidRPr="005A1455">
        <w:rPr>
          <w:rFonts w:eastAsia="MS Mincho" w:cstheme="minorHAnsi"/>
          <w:color w:val="000000"/>
          <w:sz w:val="21"/>
          <w:szCs w:val="21"/>
        </w:rPr>
        <w:t xml:space="preserve">whose gender differs from </w:t>
      </w:r>
      <w:r w:rsidR="00AC2348" w:rsidRPr="005A1455">
        <w:rPr>
          <w:rFonts w:eastAsia="MS Mincho" w:cstheme="minorHAnsi"/>
          <w:color w:val="000000"/>
          <w:sz w:val="21"/>
          <w:szCs w:val="21"/>
        </w:rPr>
        <w:t xml:space="preserve">the sex </w:t>
      </w:r>
      <w:r w:rsidRPr="005A1455">
        <w:rPr>
          <w:rFonts w:eastAsia="MS Mincho" w:cstheme="minorHAnsi"/>
          <w:color w:val="000000"/>
          <w:sz w:val="21"/>
          <w:szCs w:val="21"/>
        </w:rPr>
        <w:t>assigne</w:t>
      </w:r>
      <w:r w:rsidR="002215AA" w:rsidRPr="005A1455">
        <w:rPr>
          <w:rFonts w:eastAsia="MS Mincho" w:cstheme="minorHAnsi"/>
          <w:color w:val="000000"/>
          <w:sz w:val="21"/>
          <w:szCs w:val="21"/>
        </w:rPr>
        <w:t>d</w:t>
      </w:r>
      <w:r w:rsidRPr="005A1455">
        <w:rPr>
          <w:rFonts w:eastAsia="MS Mincho" w:cstheme="minorHAnsi"/>
          <w:color w:val="000000"/>
          <w:sz w:val="21"/>
          <w:szCs w:val="21"/>
        </w:rPr>
        <w:t xml:space="preserve"> at birth, including binary trans people (trans men and trans women) and non-binary trans people, who may use descriptors </w:t>
      </w:r>
      <w:r w:rsidR="00AC2348" w:rsidRPr="005A1455">
        <w:rPr>
          <w:rFonts w:eastAsia="MS Mincho" w:cstheme="minorHAnsi"/>
          <w:color w:val="000000"/>
          <w:sz w:val="21"/>
          <w:szCs w:val="21"/>
        </w:rPr>
        <w:t xml:space="preserve">such as </w:t>
      </w:r>
      <w:r w:rsidRPr="005A1455">
        <w:rPr>
          <w:rFonts w:eastAsia="MS Mincho" w:cstheme="minorHAnsi"/>
          <w:color w:val="000000"/>
          <w:sz w:val="21"/>
          <w:szCs w:val="21"/>
        </w:rPr>
        <w:t>gender-queer, bi-gender, a-gender, or gender-fluid</w:t>
      </w:r>
      <w:r w:rsidR="00AC2348" w:rsidRPr="005A1455">
        <w:rPr>
          <w:rFonts w:eastAsia="MS Mincho" w:cstheme="minorHAnsi"/>
          <w:color w:val="000000"/>
          <w:sz w:val="21"/>
          <w:szCs w:val="21"/>
        </w:rPr>
        <w:t xml:space="preserve">. </w:t>
      </w:r>
    </w:p>
    <w:p w14:paraId="51CCD7BC" w14:textId="6666ADA6" w:rsidR="00EB2B55" w:rsidRPr="005A1455" w:rsidRDefault="00EB2B55" w:rsidP="00BD38F2">
      <w:pPr>
        <w:adjustRightInd w:val="0"/>
        <w:snapToGrid w:val="0"/>
        <w:spacing w:line="240" w:lineRule="auto"/>
        <w:jc w:val="both"/>
        <w:rPr>
          <w:rFonts w:cstheme="minorHAnsi"/>
          <w:sz w:val="21"/>
          <w:szCs w:val="21"/>
        </w:rPr>
      </w:pPr>
      <w:r w:rsidRPr="005A1455">
        <w:rPr>
          <w:rFonts w:cstheme="minorHAnsi"/>
          <w:b/>
          <w:sz w:val="21"/>
          <w:szCs w:val="21"/>
        </w:rPr>
        <w:t>Vascular cognitive impairment:</w:t>
      </w:r>
      <w:r w:rsidRPr="005A1455">
        <w:rPr>
          <w:rFonts w:cstheme="minorHAnsi"/>
          <w:sz w:val="21"/>
          <w:szCs w:val="21"/>
        </w:rPr>
        <w:t xml:space="preserve"> A decline in thinking abilities caused by damage</w:t>
      </w:r>
      <w:r w:rsidR="00AC2348" w:rsidRPr="005A1455">
        <w:rPr>
          <w:rFonts w:cstheme="minorHAnsi"/>
          <w:sz w:val="21"/>
          <w:szCs w:val="21"/>
        </w:rPr>
        <w:t xml:space="preserve"> to</w:t>
      </w:r>
      <w:r w:rsidRPr="005A1455">
        <w:rPr>
          <w:rFonts w:cstheme="minorHAnsi"/>
          <w:sz w:val="21"/>
          <w:szCs w:val="21"/>
        </w:rPr>
        <w:t xml:space="preserve"> the brain's blood vessels.</w:t>
      </w:r>
    </w:p>
    <w:p w14:paraId="709A88C9" w14:textId="069BE8C3" w:rsidR="00FD7815" w:rsidRPr="005A1455" w:rsidRDefault="00FD7815">
      <w:pPr>
        <w:rPr>
          <w:rFonts w:cstheme="minorHAnsi"/>
          <w:sz w:val="21"/>
          <w:szCs w:val="21"/>
        </w:rPr>
      </w:pPr>
      <w:r w:rsidRPr="005A1455">
        <w:rPr>
          <w:rFonts w:cstheme="minorHAnsi"/>
          <w:sz w:val="21"/>
          <w:szCs w:val="21"/>
        </w:rPr>
        <w:br w:type="page"/>
      </w:r>
    </w:p>
    <w:p w14:paraId="7722CA15" w14:textId="045218BA" w:rsidR="007D288D" w:rsidRPr="005A1455" w:rsidRDefault="000B1D3C" w:rsidP="005A1455">
      <w:pPr>
        <w:pStyle w:val="Heading1"/>
        <w:spacing w:before="0" w:after="160"/>
        <w:rPr>
          <w:rFonts w:asciiTheme="minorHAnsi" w:hAnsiTheme="minorHAnsi" w:cstheme="minorHAnsi"/>
          <w:b/>
          <w:bCs/>
          <w:color w:val="4C2863"/>
          <w:sz w:val="40"/>
          <w:szCs w:val="40"/>
        </w:rPr>
      </w:pPr>
      <w:bookmarkStart w:id="35" w:name="_Toc165204983"/>
      <w:bookmarkStart w:id="36" w:name="_Toc168390491"/>
      <w:bookmarkStart w:id="37" w:name="_Toc168390859"/>
      <w:bookmarkStart w:id="38" w:name="_Toc168390925"/>
      <w:bookmarkStart w:id="39" w:name="_Toc168392057"/>
      <w:bookmarkStart w:id="40" w:name="_Toc168392414"/>
      <w:bookmarkStart w:id="41" w:name="_Toc168393587"/>
      <w:bookmarkStart w:id="42" w:name="_Toc168393629"/>
      <w:bookmarkStart w:id="43" w:name="_Toc168394303"/>
      <w:bookmarkStart w:id="44" w:name="_Toc168394441"/>
      <w:r w:rsidRPr="005A1455">
        <w:rPr>
          <w:rFonts w:asciiTheme="minorHAnsi" w:hAnsiTheme="minorHAnsi" w:cstheme="minorHAnsi"/>
          <w:b/>
          <w:bCs/>
          <w:color w:val="4C2863"/>
          <w:sz w:val="40"/>
          <w:szCs w:val="40"/>
        </w:rPr>
        <w:lastRenderedPageBreak/>
        <w:t>Summary</w:t>
      </w:r>
      <w:bookmarkEnd w:id="35"/>
      <w:bookmarkEnd w:id="36"/>
      <w:bookmarkEnd w:id="37"/>
      <w:bookmarkEnd w:id="38"/>
      <w:bookmarkEnd w:id="39"/>
      <w:bookmarkEnd w:id="40"/>
      <w:bookmarkEnd w:id="41"/>
      <w:bookmarkEnd w:id="42"/>
      <w:bookmarkEnd w:id="43"/>
      <w:bookmarkEnd w:id="44"/>
    </w:p>
    <w:p w14:paraId="716D2C48" w14:textId="012159A7" w:rsidR="000B1D3C" w:rsidRPr="000D7B93" w:rsidRDefault="000B1D3C" w:rsidP="000D7B93">
      <w:pPr>
        <w:jc w:val="both"/>
        <w:rPr>
          <w:rFonts w:ascii="Calibri" w:eastAsia="Yu Mincho" w:hAnsi="Calibri" w:cs="Times New Roman"/>
          <w:b/>
          <w:color w:val="4C2863"/>
          <w:sz w:val="24"/>
          <w:szCs w:val="24"/>
        </w:rPr>
      </w:pPr>
      <w:r w:rsidRPr="000D7B93">
        <w:rPr>
          <w:rFonts w:ascii="Calibri" w:eastAsia="Yu Mincho" w:hAnsi="Calibri" w:cs="Times New Roman"/>
          <w:b/>
          <w:color w:val="4C2863"/>
          <w:sz w:val="24"/>
          <w:szCs w:val="24"/>
        </w:rPr>
        <w:t>Background</w:t>
      </w:r>
    </w:p>
    <w:p w14:paraId="0448BD4C" w14:textId="7462C5A8" w:rsidR="000B1D3C" w:rsidRDefault="000B1D3C" w:rsidP="000B1D3C">
      <w:pPr>
        <w:jc w:val="both"/>
        <w:rPr>
          <w:rFonts w:ascii="Calibri" w:eastAsia="Yu Mincho" w:hAnsi="Calibri" w:cs="Times New Roman"/>
        </w:rPr>
      </w:pPr>
      <w:r w:rsidRPr="00E644B2">
        <w:rPr>
          <w:rFonts w:ascii="Calibri" w:eastAsia="Yu Mincho" w:hAnsi="Calibri" w:cs="Times New Roman"/>
        </w:rPr>
        <w:t xml:space="preserve">Women and men have different experiences of health and illness </w:t>
      </w:r>
      <w:proofErr w:type="gramStart"/>
      <w:r w:rsidRPr="00E644B2">
        <w:rPr>
          <w:rFonts w:ascii="Calibri" w:eastAsia="Yu Mincho" w:hAnsi="Calibri" w:cs="Times New Roman"/>
        </w:rPr>
        <w:t>as a result of</w:t>
      </w:r>
      <w:proofErr w:type="gramEnd"/>
      <w:r w:rsidRPr="00E644B2">
        <w:rPr>
          <w:rFonts w:ascii="Calibri" w:eastAsia="Yu Mincho" w:hAnsi="Calibri" w:cs="Times New Roman"/>
        </w:rPr>
        <w:t xml:space="preserve"> variations in both sex </w:t>
      </w:r>
      <w:r>
        <w:rPr>
          <w:rFonts w:ascii="Calibri" w:eastAsia="Yu Mincho" w:hAnsi="Calibri" w:cs="Times New Roman"/>
        </w:rPr>
        <w:t xml:space="preserve">(biological characteristics) </w:t>
      </w:r>
      <w:r w:rsidRPr="00E644B2">
        <w:rPr>
          <w:rFonts w:ascii="Calibri" w:eastAsia="Yu Mincho" w:hAnsi="Calibri" w:cs="Times New Roman"/>
        </w:rPr>
        <w:t>and gender</w:t>
      </w:r>
      <w:r>
        <w:rPr>
          <w:rFonts w:ascii="Calibri" w:eastAsia="Yu Mincho" w:hAnsi="Calibri" w:cs="Times New Roman"/>
        </w:rPr>
        <w:t xml:space="preserve"> (sociocultural norms)</w:t>
      </w:r>
      <w:r w:rsidRPr="00E644B2">
        <w:rPr>
          <w:rFonts w:ascii="Calibri" w:eastAsia="Yu Mincho" w:hAnsi="Calibri" w:cs="Times New Roman"/>
        </w:rPr>
        <w:t>.</w:t>
      </w:r>
      <w:r>
        <w:rPr>
          <w:rFonts w:ascii="Calibri" w:eastAsia="Yu Mincho" w:hAnsi="Calibri" w:cs="Times New Roman"/>
        </w:rPr>
        <w:t xml:space="preserve"> </w:t>
      </w:r>
      <w:r w:rsidRPr="00540988">
        <w:rPr>
          <w:rFonts w:ascii="Calibri" w:eastAsia="Yu Mincho" w:hAnsi="Calibri" w:cs="Times New Roman"/>
        </w:rPr>
        <w:t xml:space="preserve">In Australia, women and girls confront specific challenges in </w:t>
      </w:r>
      <w:r>
        <w:rPr>
          <w:rFonts w:ascii="Calibri" w:eastAsia="Yu Mincho" w:hAnsi="Calibri" w:cs="Times New Roman"/>
        </w:rPr>
        <w:t xml:space="preserve">their encounters with </w:t>
      </w:r>
      <w:r w:rsidRPr="00540988">
        <w:rPr>
          <w:rFonts w:ascii="Calibri" w:eastAsia="Yu Mincho" w:hAnsi="Calibri" w:cs="Times New Roman"/>
        </w:rPr>
        <w:t>healthcare systems and practice</w:t>
      </w:r>
      <w:r>
        <w:rPr>
          <w:rFonts w:ascii="Calibri" w:eastAsia="Yu Mincho" w:hAnsi="Calibri" w:cs="Times New Roman"/>
        </w:rPr>
        <w:t>s</w:t>
      </w:r>
      <w:r w:rsidRPr="00540988">
        <w:rPr>
          <w:rFonts w:ascii="Calibri" w:eastAsia="Yu Mincho" w:hAnsi="Calibri" w:cs="Times New Roman"/>
        </w:rPr>
        <w:t xml:space="preserve">, resulting in poorer health outcomes including delayed diagnosis and treatment, and </w:t>
      </w:r>
      <w:r>
        <w:rPr>
          <w:rFonts w:ascii="Calibri" w:eastAsia="Yu Mincho" w:hAnsi="Calibri" w:cs="Times New Roman"/>
        </w:rPr>
        <w:t>underestimation</w:t>
      </w:r>
      <w:r w:rsidRPr="00540988">
        <w:rPr>
          <w:rFonts w:ascii="Calibri" w:eastAsia="Yu Mincho" w:hAnsi="Calibri" w:cs="Times New Roman"/>
        </w:rPr>
        <w:t xml:space="preserve"> of </w:t>
      </w:r>
      <w:r>
        <w:rPr>
          <w:rFonts w:ascii="Calibri" w:eastAsia="Yu Mincho" w:hAnsi="Calibri" w:cs="Times New Roman"/>
        </w:rPr>
        <w:t xml:space="preserve">or disbelief in </w:t>
      </w:r>
      <w:r w:rsidRPr="00540988">
        <w:rPr>
          <w:rFonts w:ascii="Calibri" w:eastAsia="Yu Mincho" w:hAnsi="Calibri" w:cs="Times New Roman"/>
        </w:rPr>
        <w:t>pain. There is a long history internationally of sex and gender bias in health research.</w:t>
      </w:r>
      <w:r>
        <w:rPr>
          <w:rFonts w:ascii="Calibri" w:eastAsia="Yu Mincho" w:hAnsi="Calibri" w:cs="Times New Roman"/>
        </w:rPr>
        <w:t xml:space="preserve"> </w:t>
      </w:r>
      <w:r w:rsidRPr="00540988">
        <w:rPr>
          <w:rFonts w:ascii="Calibri" w:eastAsia="Yu Mincho" w:hAnsi="Calibri" w:cs="Times New Roman"/>
        </w:rPr>
        <w:t>The focus on male bodies (with female bodies as the exception) may be so entrenched that it goes unnoticed by the casual observer.</w:t>
      </w:r>
      <w:r>
        <w:rPr>
          <w:rFonts w:ascii="Calibri" w:eastAsia="Yu Mincho" w:hAnsi="Calibri" w:cs="Times New Roman"/>
        </w:rPr>
        <w:t xml:space="preserve"> </w:t>
      </w:r>
      <w:r w:rsidRPr="00525E51">
        <w:rPr>
          <w:rFonts w:ascii="Calibri" w:eastAsia="Yu Mincho" w:hAnsi="Calibri" w:cs="Times New Roman"/>
        </w:rPr>
        <w:t>Against this background, this literature review provides evidence upon which robust strategies for reducing sex and gender bias in the Australian health system can be built.</w:t>
      </w:r>
    </w:p>
    <w:p w14:paraId="7592B8BD" w14:textId="777912F6" w:rsidR="000B1D3C" w:rsidRPr="000D7B93" w:rsidRDefault="000B1D3C" w:rsidP="000D7B93">
      <w:pPr>
        <w:jc w:val="both"/>
        <w:rPr>
          <w:rFonts w:ascii="Calibri" w:eastAsia="Yu Mincho" w:hAnsi="Calibri" w:cs="Times New Roman"/>
          <w:b/>
          <w:color w:val="4C2863"/>
          <w:sz w:val="24"/>
          <w:szCs w:val="24"/>
        </w:rPr>
      </w:pPr>
      <w:r w:rsidRPr="000D7B93">
        <w:rPr>
          <w:rFonts w:ascii="Calibri" w:eastAsia="Yu Mincho" w:hAnsi="Calibri" w:cs="Times New Roman"/>
          <w:b/>
          <w:color w:val="4C2863"/>
          <w:sz w:val="24"/>
          <w:szCs w:val="24"/>
        </w:rPr>
        <w:t>Aims and Research Questions</w:t>
      </w:r>
    </w:p>
    <w:p w14:paraId="18C62A57" w14:textId="7FB4A7C4" w:rsidR="000B1D3C" w:rsidRDefault="000B1D3C" w:rsidP="000B1D3C">
      <w:pPr>
        <w:jc w:val="both"/>
        <w:rPr>
          <w:rFonts w:ascii="Calibri" w:eastAsia="Yu Mincho" w:hAnsi="Calibri" w:cs="Times New Roman"/>
        </w:rPr>
      </w:pPr>
      <w:r w:rsidRPr="00540988">
        <w:rPr>
          <w:rFonts w:ascii="Calibri" w:eastAsia="Yu Mincho" w:hAnsi="Calibri" w:cs="Times New Roman"/>
        </w:rPr>
        <w:t xml:space="preserve">The literature review </w:t>
      </w:r>
      <w:r>
        <w:rPr>
          <w:rFonts w:ascii="Calibri" w:eastAsia="Yu Mincho" w:hAnsi="Calibri" w:cs="Times New Roman"/>
        </w:rPr>
        <w:t>aimed to</w:t>
      </w:r>
      <w:r w:rsidRPr="00540988">
        <w:rPr>
          <w:rFonts w:ascii="Calibri" w:eastAsia="Yu Mincho" w:hAnsi="Calibri" w:cs="Times New Roman"/>
        </w:rPr>
        <w:t xml:space="preserve"> identify and summarise evaluations of strategies to reduce sex and gender bias in health care conducted in Australia and internationally.</w:t>
      </w:r>
      <w:r>
        <w:rPr>
          <w:rFonts w:ascii="Calibri" w:eastAsia="Yu Mincho" w:hAnsi="Calibri" w:cs="Times New Roman"/>
        </w:rPr>
        <w:t xml:space="preserve"> </w:t>
      </w:r>
      <w:r w:rsidRPr="00540988">
        <w:rPr>
          <w:rFonts w:ascii="Calibri" w:eastAsia="Yu Mincho" w:hAnsi="Calibri" w:cs="Times New Roman"/>
        </w:rPr>
        <w:t xml:space="preserve">The key questions to be addressed by the Project </w:t>
      </w:r>
      <w:r>
        <w:rPr>
          <w:rFonts w:ascii="Calibri" w:eastAsia="Yu Mincho" w:hAnsi="Calibri" w:cs="Times New Roman"/>
        </w:rPr>
        <w:t>we</w:t>
      </w:r>
      <w:r w:rsidRPr="00540988">
        <w:rPr>
          <w:rFonts w:ascii="Calibri" w:eastAsia="Yu Mincho" w:hAnsi="Calibri" w:cs="Times New Roman"/>
        </w:rPr>
        <w:t>re</w:t>
      </w:r>
      <w:r>
        <w:rPr>
          <w:rFonts w:ascii="Calibri" w:eastAsia="Yu Mincho" w:hAnsi="Calibri" w:cs="Times New Roman"/>
        </w:rPr>
        <w:t xml:space="preserve"> as follows</w:t>
      </w:r>
      <w:r w:rsidRPr="00540988">
        <w:rPr>
          <w:rFonts w:ascii="Calibri" w:eastAsia="Yu Mincho" w:hAnsi="Calibri" w:cs="Times New Roman"/>
        </w:rPr>
        <w:t>:</w:t>
      </w:r>
    </w:p>
    <w:p w14:paraId="753C2351" w14:textId="77777777" w:rsidR="005A1455" w:rsidRPr="00581790" w:rsidRDefault="005A1455" w:rsidP="005A1455">
      <w:pPr>
        <w:pStyle w:val="ListParagraph"/>
        <w:numPr>
          <w:ilvl w:val="0"/>
          <w:numId w:val="28"/>
        </w:numPr>
        <w:spacing w:after="0"/>
        <w:ind w:left="284" w:hanging="284"/>
        <w:jc w:val="both"/>
        <w:rPr>
          <w:sz w:val="21"/>
          <w:szCs w:val="21"/>
        </w:rPr>
      </w:pPr>
      <w:r w:rsidRPr="00581790">
        <w:rPr>
          <w:sz w:val="21"/>
          <w:szCs w:val="21"/>
        </w:rPr>
        <w:t>What are the barriers to gender equity in healthcare and services experienced by women and girls in Australia?</w:t>
      </w:r>
    </w:p>
    <w:p w14:paraId="1F23E066" w14:textId="77777777" w:rsidR="005A1455" w:rsidRPr="00581790" w:rsidRDefault="005A1455" w:rsidP="005A1455">
      <w:pPr>
        <w:pStyle w:val="ListParagraph"/>
        <w:numPr>
          <w:ilvl w:val="0"/>
          <w:numId w:val="29"/>
        </w:numPr>
        <w:spacing w:after="0"/>
        <w:ind w:left="284" w:hanging="284"/>
        <w:jc w:val="both"/>
        <w:rPr>
          <w:sz w:val="21"/>
          <w:szCs w:val="21"/>
        </w:rPr>
      </w:pPr>
      <w:r w:rsidRPr="00581790">
        <w:rPr>
          <w:sz w:val="21"/>
          <w:szCs w:val="21"/>
        </w:rPr>
        <w:t xml:space="preserve">Are there clinical guidelines, medical treatments, medical devices and diagnostic tools that do not </w:t>
      </w:r>
      <w:proofErr w:type="gramStart"/>
      <w:r w:rsidRPr="00581790">
        <w:rPr>
          <w:sz w:val="21"/>
          <w:szCs w:val="21"/>
        </w:rPr>
        <w:t>take into account</w:t>
      </w:r>
      <w:proofErr w:type="gramEnd"/>
      <w:r w:rsidRPr="00581790">
        <w:rPr>
          <w:sz w:val="21"/>
          <w:szCs w:val="21"/>
        </w:rPr>
        <w:t xml:space="preserve"> sex and gender differences?</w:t>
      </w:r>
    </w:p>
    <w:p w14:paraId="3E647A34" w14:textId="77777777" w:rsidR="005A1455" w:rsidRPr="00EE3703" w:rsidRDefault="005A1455" w:rsidP="005A1455">
      <w:pPr>
        <w:pStyle w:val="ListParagraph"/>
        <w:numPr>
          <w:ilvl w:val="0"/>
          <w:numId w:val="30"/>
        </w:numPr>
        <w:spacing w:after="0"/>
        <w:ind w:left="284" w:hanging="284"/>
        <w:jc w:val="both"/>
        <w:rPr>
          <w:sz w:val="21"/>
          <w:szCs w:val="21"/>
        </w:rPr>
      </w:pPr>
      <w:r w:rsidRPr="00EE3703">
        <w:rPr>
          <w:sz w:val="21"/>
          <w:szCs w:val="21"/>
        </w:rPr>
        <w:t>What existing measures/ health promotion tools/ interventions/ programs are there in Australia and overseas that apply a gendered approach?</w:t>
      </w:r>
    </w:p>
    <w:p w14:paraId="2FB0EBDE" w14:textId="77777777" w:rsidR="005A1455" w:rsidRPr="00EE3703" w:rsidRDefault="005A1455" w:rsidP="005A1455">
      <w:pPr>
        <w:pStyle w:val="ListParagraph"/>
        <w:numPr>
          <w:ilvl w:val="0"/>
          <w:numId w:val="30"/>
        </w:numPr>
        <w:spacing w:after="0"/>
        <w:ind w:left="284" w:hanging="284"/>
        <w:jc w:val="both"/>
        <w:rPr>
          <w:sz w:val="21"/>
          <w:szCs w:val="21"/>
        </w:rPr>
      </w:pPr>
      <w:r w:rsidRPr="00EE3703">
        <w:rPr>
          <w:sz w:val="21"/>
          <w:szCs w:val="21"/>
        </w:rPr>
        <w:t>Are there any existing measures/ health promotion tools/ interventions/ programs that could be tailored and piloted nationally to improve health equity and health literacy for women in priority populations?</w:t>
      </w:r>
    </w:p>
    <w:p w14:paraId="24448F5A" w14:textId="72AD5C23" w:rsidR="005A1455" w:rsidRPr="005A1455" w:rsidRDefault="005A1455" w:rsidP="005A1455">
      <w:pPr>
        <w:pStyle w:val="ListParagraph"/>
        <w:numPr>
          <w:ilvl w:val="0"/>
          <w:numId w:val="30"/>
        </w:numPr>
        <w:ind w:left="284" w:hanging="284"/>
        <w:contextualSpacing w:val="0"/>
        <w:jc w:val="both"/>
        <w:rPr>
          <w:sz w:val="21"/>
          <w:szCs w:val="21"/>
        </w:rPr>
      </w:pPr>
      <w:r w:rsidRPr="00581790">
        <w:rPr>
          <w:sz w:val="21"/>
          <w:szCs w:val="21"/>
        </w:rPr>
        <w:t>What are the gaps in data collection? e.g. instances where standard reporting does not include disaggregation by sex and/or gender and identify</w:t>
      </w:r>
    </w:p>
    <w:p w14:paraId="055312DE" w14:textId="7AD96984" w:rsidR="000B1D3C" w:rsidRPr="000D7B93" w:rsidRDefault="000B1D3C" w:rsidP="000D7B93">
      <w:pPr>
        <w:jc w:val="both"/>
        <w:rPr>
          <w:rFonts w:ascii="Calibri" w:eastAsia="Yu Mincho" w:hAnsi="Calibri" w:cs="Times New Roman"/>
          <w:b/>
          <w:color w:val="4C2863"/>
          <w:sz w:val="24"/>
          <w:szCs w:val="24"/>
        </w:rPr>
      </w:pPr>
      <w:r w:rsidRPr="000D7B93">
        <w:rPr>
          <w:rFonts w:ascii="Calibri" w:eastAsia="Yu Mincho" w:hAnsi="Calibri" w:cs="Times New Roman"/>
          <w:b/>
          <w:color w:val="4C2863"/>
          <w:sz w:val="24"/>
          <w:szCs w:val="24"/>
        </w:rPr>
        <w:t>Method</w:t>
      </w:r>
    </w:p>
    <w:p w14:paraId="5F077828" w14:textId="4C993D14" w:rsidR="000B1D3C" w:rsidRDefault="000B1D3C" w:rsidP="000B1D3C">
      <w:pPr>
        <w:jc w:val="both"/>
        <w:rPr>
          <w:rFonts w:ascii="Calibri" w:eastAsia="Yu Mincho" w:hAnsi="Calibri" w:cs="Times New Roman"/>
        </w:rPr>
      </w:pPr>
      <w:r>
        <w:rPr>
          <w:rFonts w:ascii="Calibri" w:eastAsia="Yu Mincho" w:hAnsi="Calibri" w:cs="Times New Roman"/>
        </w:rPr>
        <w:t>Five</w:t>
      </w:r>
      <w:r w:rsidRPr="00E644B2">
        <w:rPr>
          <w:rFonts w:ascii="Calibri" w:eastAsia="Yu Mincho" w:hAnsi="Calibri" w:cs="Times New Roman"/>
        </w:rPr>
        <w:t xml:space="preserve"> databases (Ovid Medline, Ovid Embase, Ovid </w:t>
      </w:r>
      <w:proofErr w:type="spellStart"/>
      <w:r w:rsidRPr="00E644B2">
        <w:rPr>
          <w:rFonts w:ascii="Calibri" w:eastAsia="Yu Mincho" w:hAnsi="Calibri" w:cs="Times New Roman"/>
        </w:rPr>
        <w:t>PsycInfo</w:t>
      </w:r>
      <w:proofErr w:type="spellEnd"/>
      <w:r w:rsidRPr="00E644B2">
        <w:rPr>
          <w:rFonts w:ascii="Calibri" w:eastAsia="Yu Mincho" w:hAnsi="Calibri" w:cs="Times New Roman"/>
        </w:rPr>
        <w:t xml:space="preserve">, Ovid </w:t>
      </w:r>
      <w:proofErr w:type="spellStart"/>
      <w:r w:rsidRPr="00E644B2">
        <w:rPr>
          <w:rFonts w:ascii="Calibri" w:eastAsia="Yu Mincho" w:hAnsi="Calibri" w:cs="Times New Roman"/>
        </w:rPr>
        <w:t>Emcare</w:t>
      </w:r>
      <w:proofErr w:type="spellEnd"/>
      <w:r w:rsidRPr="00E644B2">
        <w:rPr>
          <w:rFonts w:ascii="Calibri" w:eastAsia="Yu Mincho" w:hAnsi="Calibri" w:cs="Times New Roman"/>
        </w:rPr>
        <w:t xml:space="preserve">, </w:t>
      </w:r>
      <w:r>
        <w:rPr>
          <w:rFonts w:ascii="Calibri" w:eastAsia="Yu Mincho" w:hAnsi="Calibri" w:cs="Times New Roman"/>
        </w:rPr>
        <w:t>an</w:t>
      </w:r>
      <w:r w:rsidRPr="00E644B2">
        <w:rPr>
          <w:rFonts w:ascii="Calibri" w:eastAsia="Yu Mincho" w:hAnsi="Calibri" w:cs="Times New Roman"/>
        </w:rPr>
        <w:t xml:space="preserve">d Cochrane CDSR) were searched using key words and index terms for </w:t>
      </w:r>
      <w:r>
        <w:rPr>
          <w:rFonts w:ascii="Calibri" w:eastAsia="Yu Mincho" w:hAnsi="Calibri" w:cs="Times New Roman"/>
        </w:rPr>
        <w:t>papers</w:t>
      </w:r>
      <w:r w:rsidRPr="00E644B2">
        <w:rPr>
          <w:rFonts w:ascii="Calibri" w:eastAsia="Yu Mincho" w:hAnsi="Calibri" w:cs="Times New Roman"/>
        </w:rPr>
        <w:t xml:space="preserve"> published in English </w:t>
      </w:r>
      <w:r>
        <w:rPr>
          <w:rFonts w:ascii="Calibri" w:eastAsia="Yu Mincho" w:hAnsi="Calibri" w:cs="Times New Roman"/>
        </w:rPr>
        <w:t>from January 2014 to January 2024</w:t>
      </w:r>
      <w:r w:rsidRPr="00E644B2">
        <w:rPr>
          <w:rFonts w:ascii="Calibri" w:eastAsia="Yu Mincho" w:hAnsi="Calibri" w:cs="Times New Roman"/>
        </w:rPr>
        <w:t xml:space="preserve">. </w:t>
      </w:r>
      <w:r>
        <w:t>Q</w:t>
      </w:r>
      <w:r w:rsidRPr="00672DBE">
        <w:t>ualitative and quantitative data were analysed descriptively and organised into themes pertaining to the five re</w:t>
      </w:r>
      <w:r>
        <w:t>search</w:t>
      </w:r>
      <w:r w:rsidRPr="00672DBE">
        <w:t xml:space="preserve"> questions</w:t>
      </w:r>
      <w:r w:rsidRPr="00E644B2">
        <w:rPr>
          <w:rFonts w:ascii="Calibri" w:eastAsia="Yu Mincho" w:hAnsi="Calibri" w:cs="Times New Roman"/>
        </w:rPr>
        <w:t xml:space="preserve">. </w:t>
      </w:r>
      <w:r>
        <w:rPr>
          <w:rFonts w:ascii="Calibri" w:eastAsia="Yu Mincho" w:hAnsi="Calibri" w:cs="Times New Roman"/>
        </w:rPr>
        <w:t xml:space="preserve">A search for clinical guidelines was conducted separately using </w:t>
      </w:r>
      <w:r w:rsidRPr="00DA5910">
        <w:rPr>
          <w:rFonts w:ascii="Calibri" w:eastAsia="Yu Mincho" w:hAnsi="Calibri" w:cs="Times New Roman"/>
        </w:rPr>
        <w:t>the GIN International Guidelines Library</w:t>
      </w:r>
      <w:r>
        <w:rPr>
          <w:rFonts w:ascii="Calibri" w:eastAsia="Yu Mincho" w:hAnsi="Calibri" w:cs="Times New Roman"/>
        </w:rPr>
        <w:t xml:space="preserve">, Google search, and organisational websites. </w:t>
      </w:r>
      <w:r w:rsidRPr="009867DE">
        <w:rPr>
          <w:rFonts w:ascii="Calibri" w:eastAsia="Yu Mincho" w:hAnsi="Calibri" w:cs="Times New Roman"/>
        </w:rPr>
        <w:t xml:space="preserve">The quality of included papers was </w:t>
      </w:r>
      <w:r>
        <w:rPr>
          <w:rFonts w:ascii="Calibri" w:eastAsia="Yu Mincho" w:hAnsi="Calibri" w:cs="Times New Roman"/>
        </w:rPr>
        <w:t>assessed on</w:t>
      </w:r>
      <w:r w:rsidRPr="009867DE">
        <w:rPr>
          <w:rFonts w:ascii="Calibri" w:eastAsia="Yu Mincho" w:hAnsi="Calibri" w:cs="Times New Roman"/>
        </w:rPr>
        <w:t xml:space="preserve"> the</w:t>
      </w:r>
      <w:r>
        <w:rPr>
          <w:rFonts w:ascii="Calibri" w:eastAsia="Yu Mincho" w:hAnsi="Calibri" w:cs="Times New Roman"/>
        </w:rPr>
        <w:t>ir</w:t>
      </w:r>
      <w:r w:rsidRPr="009867DE">
        <w:rPr>
          <w:rFonts w:ascii="Calibri" w:eastAsia="Yu Mincho" w:hAnsi="Calibri" w:cs="Times New Roman"/>
        </w:rPr>
        <w:t xml:space="preserve"> </w:t>
      </w:r>
      <w:r>
        <w:rPr>
          <w:rFonts w:ascii="Calibri" w:eastAsia="Yu Mincho" w:hAnsi="Calibri" w:cs="Times New Roman"/>
        </w:rPr>
        <w:t xml:space="preserve">correct usage of the terms “sex” and “gender” and whether sex and gender were </w:t>
      </w:r>
      <w:r w:rsidRPr="009867DE">
        <w:rPr>
          <w:rFonts w:ascii="Calibri" w:eastAsia="Yu Mincho" w:hAnsi="Calibri" w:cs="Times New Roman"/>
        </w:rPr>
        <w:t>report</w:t>
      </w:r>
      <w:r>
        <w:rPr>
          <w:rFonts w:ascii="Calibri" w:eastAsia="Yu Mincho" w:hAnsi="Calibri" w:cs="Times New Roman"/>
        </w:rPr>
        <w:t>ed and discussed appropriately in each section of the paper</w:t>
      </w:r>
      <w:r w:rsidRPr="009867DE">
        <w:rPr>
          <w:rFonts w:ascii="Calibri" w:eastAsia="Yu Mincho" w:hAnsi="Calibri" w:cs="Times New Roman"/>
        </w:rPr>
        <w:t>, using a modified version of the Sex and Gender Equity</w:t>
      </w:r>
      <w:r>
        <w:rPr>
          <w:rFonts w:ascii="Calibri" w:eastAsia="Yu Mincho" w:hAnsi="Calibri" w:cs="Times New Roman"/>
        </w:rPr>
        <w:t xml:space="preserve"> in Research (SAGER) Guidelines. </w:t>
      </w:r>
      <w:r w:rsidR="00206E7A">
        <w:rPr>
          <w:rFonts w:ascii="Calibri" w:eastAsia="Yu Mincho" w:hAnsi="Calibri" w:cs="Times New Roman"/>
        </w:rPr>
        <w:t>All guidelines matching the criteria were included without assessing quality</w:t>
      </w:r>
      <w:r w:rsidR="009C4069">
        <w:rPr>
          <w:rFonts w:ascii="Calibri" w:eastAsia="Yu Mincho" w:hAnsi="Calibri" w:cs="Times New Roman"/>
        </w:rPr>
        <w:t>.</w:t>
      </w:r>
    </w:p>
    <w:p w14:paraId="3C99887F" w14:textId="77777777" w:rsidR="000B1D3C" w:rsidRPr="000D7B93" w:rsidRDefault="000B1D3C" w:rsidP="000D7B93">
      <w:pPr>
        <w:jc w:val="both"/>
        <w:rPr>
          <w:rFonts w:ascii="Calibri" w:eastAsia="Yu Mincho" w:hAnsi="Calibri" w:cs="Times New Roman"/>
          <w:b/>
          <w:color w:val="4C2863"/>
          <w:sz w:val="24"/>
          <w:szCs w:val="24"/>
        </w:rPr>
      </w:pPr>
      <w:r w:rsidRPr="000D7B93">
        <w:rPr>
          <w:rFonts w:ascii="Calibri" w:eastAsia="Yu Mincho" w:hAnsi="Calibri" w:cs="Times New Roman"/>
          <w:b/>
          <w:color w:val="4C2863"/>
          <w:sz w:val="24"/>
          <w:szCs w:val="24"/>
        </w:rPr>
        <w:t>Results</w:t>
      </w:r>
    </w:p>
    <w:p w14:paraId="6916548A" w14:textId="5DEFDD5F" w:rsidR="000B1D3C" w:rsidRPr="00E644B2" w:rsidRDefault="000B1D3C" w:rsidP="000B1D3C">
      <w:pPr>
        <w:jc w:val="both"/>
        <w:rPr>
          <w:rFonts w:ascii="Calibri" w:eastAsia="Yu Mincho" w:hAnsi="Calibri" w:cs="Times New Roman"/>
        </w:rPr>
      </w:pPr>
      <w:r>
        <w:rPr>
          <w:rFonts w:ascii="Calibri" w:eastAsia="Yu Mincho" w:hAnsi="Calibri" w:cs="Times New Roman"/>
        </w:rPr>
        <w:t>A total of 6,</w:t>
      </w:r>
      <w:r w:rsidR="00554BC9">
        <w:rPr>
          <w:rFonts w:ascii="Calibri" w:eastAsia="Yu Mincho" w:hAnsi="Calibri" w:cs="Times New Roman"/>
        </w:rPr>
        <w:t xml:space="preserve">256 </w:t>
      </w:r>
      <w:r>
        <w:rPr>
          <w:rFonts w:ascii="Calibri" w:eastAsia="Yu Mincho" w:hAnsi="Calibri" w:cs="Times New Roman"/>
        </w:rPr>
        <w:t xml:space="preserve">initial records were identified in the five databases and </w:t>
      </w:r>
      <w:r w:rsidR="00552B6F">
        <w:rPr>
          <w:rFonts w:ascii="Calibri" w:eastAsia="Yu Mincho" w:hAnsi="Calibri" w:cs="Times New Roman"/>
        </w:rPr>
        <w:t>3</w:t>
      </w:r>
      <w:r w:rsidR="003C3D42">
        <w:rPr>
          <w:rFonts w:ascii="Calibri" w:eastAsia="Yu Mincho" w:hAnsi="Calibri" w:cs="Times New Roman"/>
        </w:rPr>
        <w:t>8</w:t>
      </w:r>
      <w:r w:rsidR="00552B6F">
        <w:rPr>
          <w:rFonts w:ascii="Calibri" w:eastAsia="Yu Mincho" w:hAnsi="Calibri" w:cs="Times New Roman"/>
        </w:rPr>
        <w:t xml:space="preserve"> </w:t>
      </w:r>
      <w:r>
        <w:rPr>
          <w:rFonts w:ascii="Calibri" w:eastAsia="Yu Mincho" w:hAnsi="Calibri" w:cs="Times New Roman"/>
        </w:rPr>
        <w:t>records</w:t>
      </w:r>
      <w:r w:rsidRPr="00E644B2">
        <w:rPr>
          <w:rFonts w:ascii="Calibri" w:eastAsia="Yu Mincho" w:hAnsi="Calibri" w:cs="Times New Roman"/>
        </w:rPr>
        <w:t xml:space="preserve"> were found by manual searches. After removing duplicates and screening titles </w:t>
      </w:r>
      <w:r>
        <w:rPr>
          <w:rFonts w:ascii="Calibri" w:eastAsia="Yu Mincho" w:hAnsi="Calibri" w:cs="Times New Roman"/>
        </w:rPr>
        <w:t xml:space="preserve">and abstracts for eligibility, </w:t>
      </w:r>
      <w:r w:rsidR="00552B6F">
        <w:rPr>
          <w:rFonts w:ascii="Calibri" w:eastAsia="Yu Mincho" w:hAnsi="Calibri" w:cs="Times New Roman"/>
        </w:rPr>
        <w:t>5</w:t>
      </w:r>
      <w:r w:rsidR="003C3D42">
        <w:rPr>
          <w:rFonts w:ascii="Calibri" w:eastAsia="Yu Mincho" w:hAnsi="Calibri" w:cs="Times New Roman"/>
        </w:rPr>
        <w:t>1</w:t>
      </w:r>
      <w:r w:rsidR="00552B6F">
        <w:rPr>
          <w:rFonts w:ascii="Calibri" w:eastAsia="Yu Mincho" w:hAnsi="Calibri" w:cs="Times New Roman"/>
        </w:rPr>
        <w:t xml:space="preserve"> </w:t>
      </w:r>
      <w:r>
        <w:rPr>
          <w:rFonts w:ascii="Calibri" w:eastAsia="Yu Mincho" w:hAnsi="Calibri" w:cs="Times New Roman"/>
        </w:rPr>
        <w:t xml:space="preserve">papers (reporting </w:t>
      </w:r>
      <w:r w:rsidR="003C3D42">
        <w:rPr>
          <w:rFonts w:ascii="Calibri" w:eastAsia="Yu Mincho" w:hAnsi="Calibri" w:cs="Times New Roman"/>
        </w:rPr>
        <w:t>50</w:t>
      </w:r>
      <w:r w:rsidR="00552B6F">
        <w:rPr>
          <w:rFonts w:ascii="Calibri" w:eastAsia="Yu Mincho" w:hAnsi="Calibri" w:cs="Times New Roman"/>
        </w:rPr>
        <w:t xml:space="preserve"> </w:t>
      </w:r>
      <w:r>
        <w:rPr>
          <w:rFonts w:ascii="Calibri" w:eastAsia="Yu Mincho" w:hAnsi="Calibri" w:cs="Times New Roman"/>
        </w:rPr>
        <w:t xml:space="preserve">studies) were included in the review. </w:t>
      </w:r>
      <w:r w:rsidRPr="00672DBE">
        <w:t xml:space="preserve">There were </w:t>
      </w:r>
      <w:r w:rsidR="00552B6F">
        <w:t>2</w:t>
      </w:r>
      <w:r w:rsidR="003C3D42">
        <w:t>1</w:t>
      </w:r>
      <w:r w:rsidR="00552B6F" w:rsidRPr="00672DBE">
        <w:t xml:space="preserve"> </w:t>
      </w:r>
      <w:r>
        <w:t>papers (</w:t>
      </w:r>
      <w:r w:rsidR="003C3D42">
        <w:t>20</w:t>
      </w:r>
      <w:r w:rsidR="00552B6F">
        <w:t xml:space="preserve"> </w:t>
      </w:r>
      <w:r>
        <w:t xml:space="preserve">studies) </w:t>
      </w:r>
      <w:r w:rsidRPr="00672DBE">
        <w:t xml:space="preserve">for Question 1 (Barriers in Australia), 1 for Question 2 (Measures and devices), 9 for Question 3 (Interventions), 5 for Question 4 (Health equity and literacy), and 15 for Question 5 (Data gaps). In addition, we identified </w:t>
      </w:r>
      <w:r w:rsidR="00F62C71">
        <w:t>80</w:t>
      </w:r>
      <w:r w:rsidR="00F62C71" w:rsidRPr="00672DBE">
        <w:t xml:space="preserve"> </w:t>
      </w:r>
      <w:r w:rsidRPr="00672DBE">
        <w:t>Australian clinical guidelines relevant to Question 2</w:t>
      </w:r>
      <w:r>
        <w:t>.</w:t>
      </w:r>
    </w:p>
    <w:p w14:paraId="18B61B43" w14:textId="77777777" w:rsidR="000B1D3C" w:rsidRPr="000D7B93" w:rsidRDefault="000B1D3C" w:rsidP="000D7B93">
      <w:pPr>
        <w:keepNext/>
        <w:jc w:val="both"/>
        <w:rPr>
          <w:rFonts w:ascii="Calibri" w:eastAsia="Yu Mincho" w:hAnsi="Calibri" w:cs="Times New Roman"/>
          <w:b/>
          <w:color w:val="30785B"/>
          <w:sz w:val="24"/>
          <w:szCs w:val="24"/>
        </w:rPr>
      </w:pPr>
      <w:r w:rsidRPr="000D7B93">
        <w:rPr>
          <w:rFonts w:ascii="Calibri" w:eastAsia="Yu Mincho" w:hAnsi="Calibri" w:cs="Times New Roman"/>
          <w:b/>
          <w:color w:val="30785B"/>
          <w:sz w:val="24"/>
          <w:szCs w:val="24"/>
        </w:rPr>
        <w:lastRenderedPageBreak/>
        <w:t>Reporting of Sex and Gender</w:t>
      </w:r>
    </w:p>
    <w:p w14:paraId="1D4086C0" w14:textId="01D673D2" w:rsidR="000B1D3C" w:rsidRPr="00214193" w:rsidRDefault="000B1D3C" w:rsidP="000B1D3C">
      <w:pPr>
        <w:jc w:val="both"/>
        <w:rPr>
          <w:rFonts w:ascii="Calibri" w:eastAsia="Yu Mincho" w:hAnsi="Calibri" w:cs="Times New Roman"/>
        </w:rPr>
      </w:pPr>
      <w:r w:rsidRPr="00F0632B">
        <w:rPr>
          <w:rFonts w:cstheme="minorHAnsi"/>
        </w:rPr>
        <w:t xml:space="preserve">There were </w:t>
      </w:r>
      <w:r w:rsidR="00552B6F">
        <w:rPr>
          <w:rFonts w:cstheme="minorHAnsi"/>
        </w:rPr>
        <w:t>3</w:t>
      </w:r>
      <w:r w:rsidR="003C3D42">
        <w:rPr>
          <w:rFonts w:cstheme="minorHAnsi"/>
        </w:rPr>
        <w:t>1</w:t>
      </w:r>
      <w:r w:rsidR="00552B6F" w:rsidRPr="00F0632B">
        <w:rPr>
          <w:rFonts w:cstheme="minorHAnsi"/>
        </w:rPr>
        <w:t xml:space="preserve"> </w:t>
      </w:r>
      <w:r w:rsidRPr="00F0632B">
        <w:rPr>
          <w:rFonts w:cstheme="minorHAnsi"/>
        </w:rPr>
        <w:t xml:space="preserve">papers (pertinent to questions 1, 2, and 3) </w:t>
      </w:r>
      <w:r>
        <w:rPr>
          <w:rFonts w:cstheme="minorHAnsi"/>
        </w:rPr>
        <w:t>that were assessed using</w:t>
      </w:r>
      <w:r w:rsidRPr="00F0632B">
        <w:rPr>
          <w:rFonts w:cstheme="minorHAnsi"/>
        </w:rPr>
        <w:t xml:space="preserve"> the modified SAGER assessment. </w:t>
      </w:r>
      <w:r w:rsidRPr="006515FF">
        <w:rPr>
          <w:rFonts w:cstheme="minorHAnsi"/>
        </w:rPr>
        <w:t xml:space="preserve">Only </w:t>
      </w:r>
      <w:r w:rsidR="005F2314">
        <w:rPr>
          <w:rFonts w:cstheme="minorHAnsi"/>
        </w:rPr>
        <w:t>nine</w:t>
      </w:r>
      <w:r w:rsidR="00552B6F" w:rsidRPr="006515FF">
        <w:rPr>
          <w:rFonts w:cstheme="minorHAnsi"/>
        </w:rPr>
        <w:t xml:space="preserve"> </w:t>
      </w:r>
      <w:r w:rsidRPr="006515FF">
        <w:rPr>
          <w:rFonts w:cstheme="minorHAnsi"/>
        </w:rPr>
        <w:t xml:space="preserve">papers </w:t>
      </w:r>
      <w:r>
        <w:rPr>
          <w:rFonts w:cstheme="minorHAnsi"/>
        </w:rPr>
        <w:t>achieved</w:t>
      </w:r>
      <w:r w:rsidRPr="006515FF">
        <w:rPr>
          <w:rFonts w:cstheme="minorHAnsi"/>
        </w:rPr>
        <w:t xml:space="preserve"> all eight indicators o</w:t>
      </w:r>
      <w:r>
        <w:rPr>
          <w:rFonts w:cstheme="minorHAnsi"/>
        </w:rPr>
        <w:t>n the</w:t>
      </w:r>
      <w:r w:rsidRPr="006515FF">
        <w:rPr>
          <w:rFonts w:cstheme="minorHAnsi"/>
        </w:rPr>
        <w:t xml:space="preserve"> checklist. </w:t>
      </w:r>
    </w:p>
    <w:p w14:paraId="4F7E2A13" w14:textId="77777777" w:rsidR="000B1D3C" w:rsidRPr="000D7B93" w:rsidRDefault="000B1D3C" w:rsidP="000D7B93">
      <w:pPr>
        <w:jc w:val="both"/>
        <w:rPr>
          <w:rFonts w:ascii="Calibri" w:eastAsia="Yu Mincho" w:hAnsi="Calibri" w:cs="Times New Roman"/>
          <w:b/>
          <w:color w:val="30785B"/>
          <w:sz w:val="24"/>
          <w:szCs w:val="24"/>
        </w:rPr>
      </w:pPr>
      <w:r w:rsidRPr="000D7B93">
        <w:rPr>
          <w:rFonts w:ascii="Calibri" w:eastAsia="Yu Mincho" w:hAnsi="Calibri" w:cs="Times New Roman"/>
          <w:b/>
          <w:color w:val="30785B"/>
          <w:sz w:val="24"/>
          <w:szCs w:val="24"/>
        </w:rPr>
        <w:t>Question 1:</w:t>
      </w:r>
      <w:r w:rsidRPr="000D7B93">
        <w:rPr>
          <w:b/>
          <w:color w:val="30785B"/>
          <w:sz w:val="24"/>
          <w:szCs w:val="24"/>
        </w:rPr>
        <w:t xml:space="preserve"> What are the barriers to gender equity in healthcare and services experienced by women and girls in Australia?</w:t>
      </w:r>
    </w:p>
    <w:p w14:paraId="3620E8D4" w14:textId="43FB7E87" w:rsidR="000B1D3C" w:rsidRPr="003D719F" w:rsidRDefault="000B1D3C" w:rsidP="000B1D3C">
      <w:pPr>
        <w:jc w:val="both"/>
        <w:rPr>
          <w:rFonts w:ascii="Calibri" w:eastAsia="Yu Mincho" w:hAnsi="Calibri" w:cs="Times New Roman"/>
        </w:rPr>
      </w:pPr>
      <w:r w:rsidRPr="004B6833">
        <w:rPr>
          <w:rFonts w:ascii="Calibri" w:eastAsia="Yu Mincho" w:hAnsi="Calibri" w:cs="Times New Roman"/>
        </w:rPr>
        <w:t xml:space="preserve">In Australia, a disproportionate number of women experience delayed diagnosis, </w:t>
      </w:r>
      <w:r w:rsidR="0031521A">
        <w:rPr>
          <w:rFonts w:ascii="Calibri" w:eastAsia="Yu Mincho" w:hAnsi="Calibri" w:cs="Times New Roman"/>
        </w:rPr>
        <w:t>polypharmacy</w:t>
      </w:r>
      <w:r w:rsidRPr="004B6833">
        <w:rPr>
          <w:rFonts w:ascii="Calibri" w:eastAsia="Yu Mincho" w:hAnsi="Calibri" w:cs="Times New Roman"/>
        </w:rPr>
        <w:t>, and failure to have their symptoms</w:t>
      </w:r>
      <w:r>
        <w:rPr>
          <w:rFonts w:ascii="Calibri" w:eastAsia="Yu Mincho" w:hAnsi="Calibri" w:cs="Times New Roman"/>
        </w:rPr>
        <w:t xml:space="preserve"> (which might differ from those of men)</w:t>
      </w:r>
      <w:r w:rsidRPr="004B6833">
        <w:rPr>
          <w:rFonts w:ascii="Calibri" w:eastAsia="Yu Mincho" w:hAnsi="Calibri" w:cs="Times New Roman"/>
        </w:rPr>
        <w:t xml:space="preserve"> properly investigated</w:t>
      </w:r>
      <w:r>
        <w:rPr>
          <w:rFonts w:ascii="Calibri" w:eastAsia="Yu Mincho" w:hAnsi="Calibri" w:cs="Times New Roman"/>
        </w:rPr>
        <w:t>, and w</w:t>
      </w:r>
      <w:r w:rsidRPr="004B6833">
        <w:rPr>
          <w:rFonts w:ascii="Calibri" w:eastAsia="Yu Mincho" w:hAnsi="Calibri" w:cs="Times New Roman"/>
        </w:rPr>
        <w:t>omen are less likely than men to receive appropriate treatments and health services.</w:t>
      </w:r>
      <w:r>
        <w:rPr>
          <w:rFonts w:ascii="Calibri" w:eastAsia="Yu Mincho" w:hAnsi="Calibri" w:cs="Times New Roman"/>
        </w:rPr>
        <w:t xml:space="preserve"> </w:t>
      </w:r>
      <w:r w:rsidR="00535B5F">
        <w:rPr>
          <w:rFonts w:ascii="Calibri" w:eastAsia="Yu Mincho" w:hAnsi="Calibri" w:cs="Times New Roman"/>
        </w:rPr>
        <w:t>Twenty</w:t>
      </w:r>
      <w:r w:rsidR="00C33F49">
        <w:rPr>
          <w:rFonts w:ascii="Calibri" w:eastAsia="Yu Mincho" w:hAnsi="Calibri" w:cs="Times New Roman"/>
        </w:rPr>
        <w:t>-one</w:t>
      </w:r>
      <w:r w:rsidR="00535B5F">
        <w:rPr>
          <w:rFonts w:ascii="Calibri" w:eastAsia="Yu Mincho" w:hAnsi="Calibri" w:cs="Times New Roman"/>
        </w:rPr>
        <w:t xml:space="preserve"> </w:t>
      </w:r>
      <w:r>
        <w:rPr>
          <w:rFonts w:ascii="Calibri" w:eastAsia="Yu Mincho" w:hAnsi="Calibri" w:cs="Times New Roman"/>
        </w:rPr>
        <w:t xml:space="preserve">papers reported </w:t>
      </w:r>
      <w:r w:rsidR="00C33F49">
        <w:rPr>
          <w:rFonts w:ascii="Calibri" w:eastAsia="Yu Mincho" w:hAnsi="Calibri" w:cs="Times New Roman"/>
        </w:rPr>
        <w:t>20</w:t>
      </w:r>
      <w:r w:rsidR="00D83CCA" w:rsidRPr="005E417F">
        <w:rPr>
          <w:rFonts w:ascii="Calibri" w:eastAsia="Yu Mincho" w:hAnsi="Calibri" w:cs="Times New Roman"/>
        </w:rPr>
        <w:t xml:space="preserve"> </w:t>
      </w:r>
      <w:r>
        <w:rPr>
          <w:rFonts w:ascii="Calibri" w:eastAsia="Yu Mincho" w:hAnsi="Calibri" w:cs="Times New Roman"/>
        </w:rPr>
        <w:t xml:space="preserve">studies conducted in five areas. </w:t>
      </w:r>
      <w:r w:rsidR="0039214B">
        <w:rPr>
          <w:rFonts w:ascii="Calibri" w:eastAsia="Yu Mincho" w:hAnsi="Calibri" w:cs="Times New Roman"/>
        </w:rPr>
        <w:t>Ten</w:t>
      </w:r>
      <w:r w:rsidR="00D83CCA">
        <w:rPr>
          <w:rFonts w:ascii="Calibri" w:eastAsia="Yu Mincho" w:hAnsi="Calibri" w:cs="Times New Roman"/>
        </w:rPr>
        <w:t xml:space="preserve"> </w:t>
      </w:r>
      <w:r>
        <w:rPr>
          <w:rFonts w:ascii="Calibri" w:eastAsia="Yu Mincho" w:hAnsi="Calibri" w:cs="Times New Roman"/>
        </w:rPr>
        <w:t xml:space="preserve">papers on </w:t>
      </w:r>
      <w:r>
        <w:rPr>
          <w:rFonts w:ascii="Calibri" w:eastAsia="Yu Mincho" w:hAnsi="Calibri" w:cs="Times New Roman"/>
          <w:b/>
        </w:rPr>
        <w:t>c</w:t>
      </w:r>
      <w:r w:rsidRPr="006C0AF9">
        <w:rPr>
          <w:rFonts w:ascii="Calibri" w:eastAsia="Yu Mincho" w:hAnsi="Calibri" w:cs="Times New Roman"/>
          <w:b/>
        </w:rPr>
        <w:t>ardiov</w:t>
      </w:r>
      <w:r>
        <w:rPr>
          <w:rFonts w:ascii="Calibri" w:eastAsia="Yu Mincho" w:hAnsi="Calibri" w:cs="Times New Roman"/>
          <w:b/>
        </w:rPr>
        <w:t xml:space="preserve">ascular disease </w:t>
      </w:r>
      <w:r w:rsidRPr="009631A7">
        <w:rPr>
          <w:rFonts w:ascii="Calibri" w:eastAsia="Yu Mincho" w:hAnsi="Calibri" w:cs="Times New Roman"/>
        </w:rPr>
        <w:t>reported that</w:t>
      </w:r>
      <w:r>
        <w:rPr>
          <w:rFonts w:ascii="Calibri" w:eastAsia="Yu Mincho" w:hAnsi="Calibri" w:cs="Times New Roman"/>
          <w:b/>
        </w:rPr>
        <w:t xml:space="preserve"> </w:t>
      </w:r>
      <w:r>
        <w:rPr>
          <w:rFonts w:ascii="Calibri" w:eastAsia="Yu Mincho" w:hAnsi="Calibri" w:cs="Times New Roman"/>
        </w:rPr>
        <w:t>w</w:t>
      </w:r>
      <w:r w:rsidRPr="00F809A0">
        <w:rPr>
          <w:rFonts w:ascii="Calibri" w:eastAsia="Yu Mincho" w:hAnsi="Calibri" w:cs="Times New Roman"/>
        </w:rPr>
        <w:t>omen take longer than men</w:t>
      </w:r>
      <w:r>
        <w:rPr>
          <w:rFonts w:ascii="Calibri" w:eastAsia="Yu Mincho" w:hAnsi="Calibri" w:cs="Times New Roman"/>
        </w:rPr>
        <w:t xml:space="preserve"> to seek medical treatment,</w:t>
      </w:r>
      <w:r w:rsidRPr="00F809A0">
        <w:rPr>
          <w:rFonts w:ascii="Calibri" w:eastAsia="Yu Mincho" w:hAnsi="Calibri" w:cs="Times New Roman"/>
        </w:rPr>
        <w:t xml:space="preserve"> </w:t>
      </w:r>
      <w:r>
        <w:rPr>
          <w:rFonts w:ascii="Calibri" w:eastAsia="Yu Mincho" w:hAnsi="Calibri" w:cs="Times New Roman"/>
        </w:rPr>
        <w:t xml:space="preserve">are </w:t>
      </w:r>
      <w:r w:rsidRPr="00F809A0">
        <w:rPr>
          <w:rFonts w:ascii="Calibri" w:eastAsia="Yu Mincho" w:hAnsi="Calibri" w:cs="Times New Roman"/>
        </w:rPr>
        <w:t>less likely to be treated with the urgency of ‘immediate review’ or in the emergency department</w:t>
      </w:r>
      <w:r>
        <w:rPr>
          <w:rFonts w:ascii="Calibri" w:eastAsia="Yu Mincho" w:hAnsi="Calibri" w:cs="Times New Roman"/>
        </w:rPr>
        <w:t xml:space="preserve">, </w:t>
      </w:r>
      <w:r w:rsidRPr="00F809A0">
        <w:rPr>
          <w:rFonts w:ascii="Calibri" w:eastAsia="Yu Mincho" w:hAnsi="Calibri" w:cs="Times New Roman"/>
        </w:rPr>
        <w:t>less likely to</w:t>
      </w:r>
      <w:r>
        <w:rPr>
          <w:rFonts w:ascii="Calibri" w:eastAsia="Yu Mincho" w:hAnsi="Calibri" w:cs="Times New Roman"/>
        </w:rPr>
        <w:t xml:space="preserve"> attend cardiac rehabilitation, </w:t>
      </w:r>
      <w:r w:rsidRPr="00F809A0">
        <w:rPr>
          <w:rFonts w:ascii="Calibri" w:eastAsia="Yu Mincho" w:hAnsi="Calibri" w:cs="Times New Roman"/>
        </w:rPr>
        <w:t>more likely to be diagnosed with non-ST segment elevation acute coronary syndrome (STEMI), but less likely to</w:t>
      </w:r>
      <w:r>
        <w:rPr>
          <w:rFonts w:ascii="Calibri" w:eastAsia="Yu Mincho" w:hAnsi="Calibri" w:cs="Times New Roman"/>
        </w:rPr>
        <w:t xml:space="preserve"> receive coronary interventions. Five papers on </w:t>
      </w:r>
      <w:r>
        <w:rPr>
          <w:rFonts w:ascii="Calibri" w:eastAsia="Yu Mincho" w:hAnsi="Calibri" w:cs="Times New Roman"/>
          <w:b/>
        </w:rPr>
        <w:t>m</w:t>
      </w:r>
      <w:r w:rsidRPr="006C0AF9">
        <w:rPr>
          <w:rFonts w:ascii="Calibri" w:eastAsia="Yu Mincho" w:hAnsi="Calibri" w:cs="Times New Roman"/>
          <w:b/>
        </w:rPr>
        <w:t>ental health</w:t>
      </w:r>
      <w:r>
        <w:rPr>
          <w:rFonts w:ascii="Calibri" w:eastAsia="Yu Mincho" w:hAnsi="Calibri" w:cs="Times New Roman"/>
          <w:b/>
        </w:rPr>
        <w:t xml:space="preserve"> </w:t>
      </w:r>
      <w:r>
        <w:rPr>
          <w:rFonts w:ascii="Calibri" w:eastAsia="Yu Mincho" w:hAnsi="Calibri" w:cs="Times New Roman"/>
        </w:rPr>
        <w:t>reported that w</w:t>
      </w:r>
      <w:r w:rsidRPr="006C0AF9">
        <w:rPr>
          <w:rFonts w:ascii="Calibri" w:eastAsia="Yu Mincho" w:hAnsi="Calibri" w:cs="Times New Roman"/>
        </w:rPr>
        <w:t xml:space="preserve">omen were more likely than men to report mental health problems and to experience inequity in psychiatric care utilisation. </w:t>
      </w:r>
      <w:r>
        <w:rPr>
          <w:rFonts w:ascii="Calibri" w:eastAsia="Yu Mincho" w:hAnsi="Calibri" w:cs="Times New Roman"/>
        </w:rPr>
        <w:t>W</w:t>
      </w:r>
      <w:r w:rsidRPr="006C0AF9">
        <w:rPr>
          <w:rFonts w:ascii="Calibri" w:eastAsia="Yu Mincho" w:hAnsi="Calibri" w:cs="Times New Roman"/>
        </w:rPr>
        <w:t xml:space="preserve">omen </w:t>
      </w:r>
      <w:r>
        <w:rPr>
          <w:rFonts w:ascii="Calibri" w:eastAsia="Yu Mincho" w:hAnsi="Calibri" w:cs="Times New Roman"/>
        </w:rPr>
        <w:t xml:space="preserve">who were migrants </w:t>
      </w:r>
      <w:r w:rsidRPr="006C0AF9">
        <w:rPr>
          <w:rFonts w:ascii="Calibri" w:eastAsia="Yu Mincho" w:hAnsi="Calibri" w:cs="Times New Roman"/>
        </w:rPr>
        <w:t>reported higher psycholog</w:t>
      </w:r>
      <w:r>
        <w:rPr>
          <w:rFonts w:ascii="Calibri" w:eastAsia="Yu Mincho" w:hAnsi="Calibri" w:cs="Times New Roman"/>
        </w:rPr>
        <w:t xml:space="preserve">ical distress than men who were migrants. Two papers on </w:t>
      </w:r>
      <w:r>
        <w:rPr>
          <w:rFonts w:ascii="Calibri" w:eastAsia="Yu Mincho" w:hAnsi="Calibri" w:cs="Times New Roman"/>
          <w:b/>
        </w:rPr>
        <w:t>o</w:t>
      </w:r>
      <w:r w:rsidRPr="006C0AF9">
        <w:rPr>
          <w:rFonts w:ascii="Calibri" w:eastAsia="Yu Mincho" w:hAnsi="Calibri" w:cs="Times New Roman"/>
          <w:b/>
        </w:rPr>
        <w:t xml:space="preserve">rgan transplantation </w:t>
      </w:r>
      <w:r w:rsidRPr="009631A7">
        <w:rPr>
          <w:rFonts w:ascii="Calibri" w:eastAsia="Yu Mincho" w:hAnsi="Calibri" w:cs="Times New Roman"/>
        </w:rPr>
        <w:t>reported</w:t>
      </w:r>
      <w:r>
        <w:rPr>
          <w:rFonts w:ascii="Calibri" w:eastAsia="Yu Mincho" w:hAnsi="Calibri" w:cs="Times New Roman"/>
        </w:rPr>
        <w:t xml:space="preserve"> that w</w:t>
      </w:r>
      <w:r w:rsidRPr="006C0AF9">
        <w:rPr>
          <w:rFonts w:ascii="Calibri" w:eastAsia="Yu Mincho" w:hAnsi="Calibri" w:cs="Times New Roman"/>
        </w:rPr>
        <w:t xml:space="preserve">omen are less likely to receive </w:t>
      </w:r>
      <w:r>
        <w:rPr>
          <w:rFonts w:ascii="Calibri" w:eastAsia="Yu Mincho" w:hAnsi="Calibri" w:cs="Times New Roman"/>
        </w:rPr>
        <w:t>kidney transplantation than men, and that m</w:t>
      </w:r>
      <w:r w:rsidRPr="003D719F">
        <w:rPr>
          <w:rFonts w:ascii="Calibri" w:eastAsia="Yu Mincho" w:hAnsi="Calibri" w:cs="Times New Roman"/>
        </w:rPr>
        <w:t>ale recipients were more likely to receive kidneys from</w:t>
      </w:r>
      <w:r>
        <w:rPr>
          <w:rFonts w:ascii="Calibri" w:eastAsia="Yu Mincho" w:hAnsi="Calibri" w:cs="Times New Roman"/>
        </w:rPr>
        <w:t xml:space="preserve"> female </w:t>
      </w:r>
      <w:r w:rsidRPr="00D20A8D">
        <w:rPr>
          <w:rFonts w:eastAsia="Yu Mincho" w:cstheme="minorHAnsi"/>
        </w:rPr>
        <w:t xml:space="preserve">donors than male donors. </w:t>
      </w:r>
      <w:r w:rsidR="00D20A8D" w:rsidRPr="00D20A8D">
        <w:rPr>
          <w:rFonts w:eastAsia="Yu Mincho" w:cstheme="minorHAnsi"/>
        </w:rPr>
        <w:t xml:space="preserve">One paper reported that women admitted to hospital with stroke were more likely than men to arrive by ambulance but less likely to be managed according to the Ambulance pre-hospital </w:t>
      </w:r>
      <w:r w:rsidR="00D20A8D" w:rsidRPr="00D20A8D">
        <w:rPr>
          <w:rFonts w:eastAsia="Yu Mincho" w:cstheme="minorHAnsi"/>
          <w:b/>
        </w:rPr>
        <w:t xml:space="preserve">stroke care </w:t>
      </w:r>
      <w:r w:rsidR="00D20A8D" w:rsidRPr="00D20A8D">
        <w:rPr>
          <w:rFonts w:eastAsia="Yu Mincho" w:cstheme="minorHAnsi"/>
          <w:bCs/>
        </w:rPr>
        <w:t>management.</w:t>
      </w:r>
      <w:r w:rsidR="00D20A8D" w:rsidRPr="00D20A8D">
        <w:rPr>
          <w:rFonts w:eastAsia="Yu Mincho" w:cstheme="minorHAnsi"/>
        </w:rPr>
        <w:t xml:space="preserve"> </w:t>
      </w:r>
      <w:r w:rsidRPr="00D20A8D">
        <w:rPr>
          <w:rFonts w:eastAsia="Yu Mincho" w:cstheme="minorHAnsi"/>
        </w:rPr>
        <w:t>One paper</w:t>
      </w:r>
      <w:r>
        <w:rPr>
          <w:rFonts w:ascii="Calibri" w:eastAsia="Yu Mincho" w:hAnsi="Calibri" w:cs="Times New Roman"/>
        </w:rPr>
        <w:t xml:space="preserve"> on </w:t>
      </w:r>
      <w:r>
        <w:rPr>
          <w:rFonts w:ascii="Calibri" w:eastAsia="Yu Mincho" w:hAnsi="Calibri" w:cs="Times New Roman"/>
          <w:b/>
        </w:rPr>
        <w:t>HIV</w:t>
      </w:r>
      <w:r w:rsidRPr="009631A7">
        <w:rPr>
          <w:rFonts w:ascii="Calibri" w:eastAsia="Yu Mincho" w:hAnsi="Calibri" w:cs="Times New Roman"/>
        </w:rPr>
        <w:t xml:space="preserve"> revealed that</w:t>
      </w:r>
      <w:r>
        <w:rPr>
          <w:rFonts w:ascii="Calibri" w:eastAsia="Yu Mincho" w:hAnsi="Calibri" w:cs="Times New Roman"/>
        </w:rPr>
        <w:t xml:space="preserve"> men were more likely than women to experience good practice in HIV prevention. It was reported in one paper on </w:t>
      </w:r>
      <w:r>
        <w:rPr>
          <w:rFonts w:ascii="Calibri" w:eastAsia="Yu Mincho" w:hAnsi="Calibri" w:cs="Times New Roman"/>
          <w:b/>
        </w:rPr>
        <w:t>g</w:t>
      </w:r>
      <w:r w:rsidRPr="003D719F">
        <w:rPr>
          <w:rFonts w:ascii="Calibri" w:eastAsia="Yu Mincho" w:hAnsi="Calibri" w:cs="Times New Roman"/>
          <w:b/>
        </w:rPr>
        <w:t xml:space="preserve">ender </w:t>
      </w:r>
      <w:r>
        <w:rPr>
          <w:rFonts w:ascii="Calibri" w:eastAsia="Yu Mincho" w:hAnsi="Calibri" w:cs="Times New Roman"/>
          <w:b/>
        </w:rPr>
        <w:t xml:space="preserve">diversity </w:t>
      </w:r>
      <w:r>
        <w:rPr>
          <w:rFonts w:ascii="Calibri" w:eastAsia="Yu Mincho" w:hAnsi="Calibri" w:cs="Times New Roman"/>
        </w:rPr>
        <w:t>that the m</w:t>
      </w:r>
      <w:r w:rsidRPr="009E44B6">
        <w:rPr>
          <w:rFonts w:ascii="Calibri" w:eastAsia="Yu Mincho" w:hAnsi="Calibri" w:cs="Times New Roman"/>
        </w:rPr>
        <w:t xml:space="preserve">ental health of gender diverse people was directly associated with their experiences of health care. </w:t>
      </w:r>
      <w:r>
        <w:rPr>
          <w:rFonts w:ascii="Calibri" w:eastAsia="Yu Mincho" w:hAnsi="Calibri" w:cs="Times New Roman"/>
        </w:rPr>
        <w:t xml:space="preserve">One paper revealed that potentially harmful continuous </w:t>
      </w:r>
      <w:r>
        <w:rPr>
          <w:rFonts w:ascii="Calibri" w:eastAsia="Yu Mincho" w:hAnsi="Calibri" w:cs="Times New Roman"/>
          <w:b/>
        </w:rPr>
        <w:t xml:space="preserve">polypharmacy </w:t>
      </w:r>
      <w:r>
        <w:rPr>
          <w:rFonts w:ascii="Calibri" w:eastAsia="Yu Mincho" w:hAnsi="Calibri" w:cs="Times New Roman"/>
        </w:rPr>
        <w:t>was more likely in women than men aged over 70</w:t>
      </w:r>
      <w:r w:rsidRPr="003D719F">
        <w:rPr>
          <w:rFonts w:ascii="Calibri" w:eastAsia="Yu Mincho" w:hAnsi="Calibri" w:cs="Times New Roman"/>
        </w:rPr>
        <w:t xml:space="preserve"> in Australia.</w:t>
      </w:r>
      <w:r>
        <w:rPr>
          <w:rFonts w:ascii="Calibri" w:eastAsia="Yu Mincho" w:hAnsi="Calibri" w:cs="Times New Roman"/>
        </w:rPr>
        <w:t xml:space="preserve"> </w:t>
      </w:r>
    </w:p>
    <w:p w14:paraId="2790E343" w14:textId="77777777" w:rsidR="000B1D3C" w:rsidRPr="000D7B93" w:rsidRDefault="000B1D3C" w:rsidP="000D7B93">
      <w:pPr>
        <w:jc w:val="both"/>
        <w:rPr>
          <w:rFonts w:ascii="Calibri" w:eastAsia="Yu Mincho" w:hAnsi="Calibri" w:cs="Times New Roman"/>
          <w:b/>
          <w:color w:val="30785B"/>
          <w:sz w:val="24"/>
          <w:szCs w:val="24"/>
        </w:rPr>
      </w:pPr>
      <w:r w:rsidRPr="000D7B93">
        <w:rPr>
          <w:rFonts w:ascii="Calibri" w:eastAsia="Yu Mincho" w:hAnsi="Calibri" w:cs="Times New Roman"/>
          <w:b/>
          <w:color w:val="30785B"/>
          <w:sz w:val="24"/>
          <w:szCs w:val="24"/>
        </w:rPr>
        <w:t xml:space="preserve">Question 2. Are there clinical guidelines, medical treatments, medical devices and diagnostic tools that do not </w:t>
      </w:r>
      <w:proofErr w:type="gramStart"/>
      <w:r w:rsidRPr="000D7B93">
        <w:rPr>
          <w:rFonts w:ascii="Calibri" w:eastAsia="Yu Mincho" w:hAnsi="Calibri" w:cs="Times New Roman"/>
          <w:b/>
          <w:color w:val="30785B"/>
          <w:sz w:val="24"/>
          <w:szCs w:val="24"/>
        </w:rPr>
        <w:t>take into account</w:t>
      </w:r>
      <w:proofErr w:type="gramEnd"/>
      <w:r w:rsidRPr="000D7B93">
        <w:rPr>
          <w:rFonts w:ascii="Calibri" w:eastAsia="Yu Mincho" w:hAnsi="Calibri" w:cs="Times New Roman"/>
          <w:b/>
          <w:color w:val="30785B"/>
          <w:sz w:val="24"/>
          <w:szCs w:val="24"/>
        </w:rPr>
        <w:t xml:space="preserve"> sex and gender differences?</w:t>
      </w:r>
    </w:p>
    <w:p w14:paraId="21CDADFC" w14:textId="13358931" w:rsidR="00FD6210" w:rsidRPr="00FD6210" w:rsidRDefault="00FD6210" w:rsidP="00FD6210">
      <w:pPr>
        <w:jc w:val="both"/>
        <w:rPr>
          <w:rFonts w:ascii="Calibri" w:eastAsia="Yu Mincho" w:hAnsi="Calibri" w:cs="Times New Roman"/>
        </w:rPr>
      </w:pPr>
      <w:r w:rsidRPr="00FD6210">
        <w:rPr>
          <w:rFonts w:ascii="Calibri" w:eastAsia="Yu Mincho" w:hAnsi="Calibri" w:cs="Times New Roman"/>
        </w:rPr>
        <w:t xml:space="preserve">The 80 Australian </w:t>
      </w:r>
      <w:r w:rsidRPr="00FD6210">
        <w:rPr>
          <w:rFonts w:ascii="Calibri" w:eastAsia="Yu Mincho" w:hAnsi="Calibri" w:cs="Times New Roman"/>
          <w:b/>
          <w:bCs/>
        </w:rPr>
        <w:t>clinical guidelines</w:t>
      </w:r>
      <w:r w:rsidRPr="00FD6210">
        <w:rPr>
          <w:rFonts w:ascii="Calibri" w:eastAsia="Yu Mincho" w:hAnsi="Calibri" w:cs="Times New Roman"/>
        </w:rPr>
        <w:t xml:space="preserve"> identified in the search were from 51 organisations and designed for 27 areas of practice, from Aboriginal Health to Thoracic Medicine. No sex- or gender-related terms were found in </w:t>
      </w:r>
      <w:r w:rsidRPr="00FD6210">
        <w:rPr>
          <w:rFonts w:ascii="Calibri" w:hAnsi="Calibri" w:cs="Calibri"/>
        </w:rPr>
        <w:t xml:space="preserve">12 of the guidelines. Most of the remainder used some of these terms only a few times, with 34 guidelines employing “gender” to mean “sex”. The terms “sex” and “gender” were defined to some extent in only 4 guidelines. There was no reference to clinical practice concerning sex in 15 of the guidelines, and 46 of them made no mention of clinical practice concerning gender. Only 12 developed gender-relevant practice in any detail. The </w:t>
      </w:r>
      <w:r w:rsidR="00C17135">
        <w:rPr>
          <w:rFonts w:ascii="Calibri" w:hAnsi="Calibri" w:cs="Calibri"/>
        </w:rPr>
        <w:t>remaining 22</w:t>
      </w:r>
      <w:r w:rsidRPr="00FD6210">
        <w:rPr>
          <w:rFonts w:ascii="Calibri" w:hAnsi="Calibri" w:cs="Calibri"/>
        </w:rPr>
        <w:t xml:space="preserve"> either implied aspects of gender awareness without stating </w:t>
      </w:r>
      <w:proofErr w:type="gramStart"/>
      <w:r w:rsidRPr="00FD6210">
        <w:rPr>
          <w:rFonts w:ascii="Calibri" w:hAnsi="Calibri" w:cs="Calibri"/>
        </w:rPr>
        <w:t>it, or</w:t>
      </w:r>
      <w:proofErr w:type="gramEnd"/>
      <w:r w:rsidRPr="00FD6210">
        <w:rPr>
          <w:rFonts w:ascii="Calibri" w:hAnsi="Calibri" w:cs="Calibri"/>
        </w:rPr>
        <w:t xml:space="preserve"> mentioned “psychosocial” or “cultural” considerations. </w:t>
      </w:r>
      <w:r w:rsidRPr="00FD6210">
        <w:rPr>
          <w:rFonts w:ascii="Calibri" w:eastAsia="Yu Mincho" w:hAnsi="Calibri" w:cs="Times New Roman"/>
        </w:rPr>
        <w:t>Guidelines drew on heterogeneous research, some of which provided no sex-disaggregated data. It is noted that guideline development instruments such as AGREE II and GRADE do not provide instructions for synthesising sex and gender evidence.</w:t>
      </w:r>
    </w:p>
    <w:p w14:paraId="383AA312" w14:textId="274B94E2" w:rsidR="000B1D3C" w:rsidRDefault="000B1D3C" w:rsidP="000B1D3C">
      <w:pPr>
        <w:jc w:val="both"/>
        <w:rPr>
          <w:rFonts w:ascii="Calibri" w:eastAsia="Yu Mincho" w:hAnsi="Calibri" w:cs="Times New Roman"/>
        </w:rPr>
      </w:pPr>
      <w:r>
        <w:rPr>
          <w:rFonts w:ascii="Calibri" w:eastAsia="Yu Mincho" w:hAnsi="Calibri" w:cs="Times New Roman"/>
        </w:rPr>
        <w:t xml:space="preserve">The single paper identified in relation to </w:t>
      </w:r>
      <w:r>
        <w:rPr>
          <w:rFonts w:ascii="Calibri" w:eastAsia="Yu Mincho" w:hAnsi="Calibri" w:cs="Times New Roman"/>
          <w:b/>
          <w:bCs/>
        </w:rPr>
        <w:t>medical devices</w:t>
      </w:r>
      <w:r>
        <w:rPr>
          <w:rFonts w:ascii="Calibri" w:eastAsia="Yu Mincho" w:hAnsi="Calibri" w:cs="Times New Roman"/>
        </w:rPr>
        <w:t xml:space="preserve"> </w:t>
      </w:r>
      <w:r w:rsidRPr="00E64C66">
        <w:rPr>
          <w:rFonts w:ascii="Calibri" w:eastAsia="Yu Mincho" w:hAnsi="Calibri" w:cs="Times New Roman"/>
        </w:rPr>
        <w:t>reported sex differences in the use of implantable cardioverter defibrillators (ICD) in New Zealand, where women were much less likely than men to have the</w:t>
      </w:r>
      <w:r w:rsidR="001209DF">
        <w:rPr>
          <w:rFonts w:ascii="Calibri" w:eastAsia="Yu Mincho" w:hAnsi="Calibri" w:cs="Times New Roman"/>
        </w:rPr>
        <w:t xml:space="preserve"> implantation</w:t>
      </w:r>
      <w:r w:rsidRPr="00E64C66">
        <w:rPr>
          <w:rFonts w:ascii="Calibri" w:eastAsia="Yu Mincho" w:hAnsi="Calibri" w:cs="Times New Roman"/>
        </w:rPr>
        <w:t xml:space="preserve"> procedure.</w:t>
      </w:r>
    </w:p>
    <w:p w14:paraId="3C8ECC38" w14:textId="77777777" w:rsidR="000B1D3C" w:rsidRPr="000D7B93" w:rsidRDefault="000B1D3C" w:rsidP="000D7B93">
      <w:pPr>
        <w:keepNext/>
        <w:jc w:val="both"/>
        <w:rPr>
          <w:rFonts w:ascii="Calibri" w:eastAsia="Yu Mincho" w:hAnsi="Calibri" w:cs="Times New Roman"/>
          <w:b/>
          <w:color w:val="30785B"/>
          <w:sz w:val="24"/>
          <w:szCs w:val="24"/>
        </w:rPr>
      </w:pPr>
      <w:r w:rsidRPr="000D7B93">
        <w:rPr>
          <w:rFonts w:ascii="Calibri" w:eastAsia="Yu Mincho" w:hAnsi="Calibri" w:cs="Times New Roman"/>
          <w:b/>
          <w:color w:val="30785B"/>
          <w:sz w:val="24"/>
          <w:szCs w:val="24"/>
        </w:rPr>
        <w:lastRenderedPageBreak/>
        <w:t>Question 3. What existing measures/health promotion tools/interventions/programs are there in Australia and overseas that apply a gendered approach?</w:t>
      </w:r>
    </w:p>
    <w:p w14:paraId="4D3D62A6" w14:textId="77777777" w:rsidR="000B1D3C" w:rsidRPr="0051197F" w:rsidRDefault="000B1D3C" w:rsidP="000B1D3C">
      <w:pPr>
        <w:pStyle w:val="Default"/>
        <w:spacing w:after="160"/>
        <w:jc w:val="both"/>
        <w:rPr>
          <w:rFonts w:asciiTheme="minorHAnsi" w:eastAsia="Yu Mincho" w:hAnsiTheme="minorHAnsi" w:cstheme="minorHAnsi"/>
          <w:sz w:val="22"/>
          <w:szCs w:val="22"/>
        </w:rPr>
      </w:pPr>
      <w:r w:rsidRPr="0051197F">
        <w:rPr>
          <w:rFonts w:asciiTheme="minorHAnsi" w:eastAsia="Yu Mincho" w:hAnsiTheme="minorHAnsi" w:cstheme="minorHAnsi"/>
          <w:sz w:val="22"/>
          <w:szCs w:val="22"/>
        </w:rPr>
        <w:t>Nine papers were identified that reported evaluations of provider or healthcare interventions. They dealt with</w:t>
      </w:r>
      <w:r w:rsidRPr="0051197F">
        <w:rPr>
          <w:rFonts w:asciiTheme="minorHAnsi" w:hAnsiTheme="minorHAnsi" w:cstheme="minorHAnsi"/>
          <w:sz w:val="22"/>
          <w:szCs w:val="22"/>
        </w:rPr>
        <w:t xml:space="preserve"> diabetes and glycaemic control, cardiovascular disease, cognitive health, rehabilitation, smoking cessation, substance abuse, pulmonary disease, and weight management. </w:t>
      </w:r>
      <w:r w:rsidRPr="0051197F">
        <w:rPr>
          <w:rFonts w:asciiTheme="minorHAnsi" w:eastAsia="Yu Mincho" w:hAnsiTheme="minorHAnsi" w:cstheme="minorHAnsi"/>
          <w:sz w:val="22"/>
          <w:szCs w:val="22"/>
        </w:rPr>
        <w:t>Although most were found to achieve limited narrowing of the gender gap in care, these studies dealt with different outcomes or variables which made comparison difficult. Interventions through education, training, and counselling were most effective. While six interventions were directed at ameliorating differences arising from the characteristics particular to women and men, two attempted to modify entrenched discrimination in health services and practice and one</w:t>
      </w:r>
      <w:r w:rsidRPr="0051197F">
        <w:rPr>
          <w:rFonts w:asciiTheme="minorHAnsi" w:hAnsiTheme="minorHAnsi" w:cstheme="minorHAnsi"/>
          <w:sz w:val="22"/>
          <w:szCs w:val="22"/>
        </w:rPr>
        <w:t xml:space="preserve"> demonstrated that their standardised tests failed to take account of gendered differences in roles and social circumstances.</w:t>
      </w:r>
    </w:p>
    <w:p w14:paraId="46FE6022" w14:textId="77777777" w:rsidR="000B1D3C" w:rsidRPr="00BC1E71" w:rsidRDefault="000B1D3C" w:rsidP="000D7B93">
      <w:pPr>
        <w:pStyle w:val="Default"/>
        <w:spacing w:after="160"/>
        <w:jc w:val="both"/>
        <w:rPr>
          <w:rFonts w:asciiTheme="minorHAnsi" w:hAnsiTheme="minorHAnsi" w:cstheme="minorHAnsi"/>
          <w:b/>
          <w:color w:val="30785B"/>
        </w:rPr>
      </w:pPr>
      <w:r w:rsidRPr="00BC1E71">
        <w:rPr>
          <w:rFonts w:asciiTheme="minorHAnsi" w:hAnsiTheme="minorHAnsi" w:cstheme="minorHAnsi"/>
          <w:b/>
          <w:color w:val="30785B"/>
        </w:rPr>
        <w:t>Question 4. Are there any existing measures/ health promotion tools/ interventions/ programs that could be tailored and piloted nationally to improve health equity and health literacy for women in priority populations?</w:t>
      </w:r>
    </w:p>
    <w:p w14:paraId="27BACC6C" w14:textId="77777777" w:rsidR="000B1D3C" w:rsidRPr="00C94BC8" w:rsidRDefault="000B1D3C" w:rsidP="000B1D3C">
      <w:pPr>
        <w:jc w:val="both"/>
        <w:rPr>
          <w:lang w:val="en-US"/>
        </w:rPr>
      </w:pPr>
      <w:r w:rsidRPr="0051197F">
        <w:rPr>
          <w:rFonts w:cstheme="minorHAnsi"/>
          <w:lang w:val="en-US"/>
        </w:rPr>
        <w:t>There is little evidence to inform us about tailored programs or interventions for women in priority</w:t>
      </w:r>
      <w:r w:rsidRPr="00C94BC8">
        <w:rPr>
          <w:lang w:val="en-US"/>
        </w:rPr>
        <w:t xml:space="preserve"> populations, particularly in Australia. Five papers, including a scoping review and a protocol, were identified, reporting on First Nations women, transgender people, regional and remote communities, and refugees and/or asylum seekers. Few showed any strong evidence of the effects of programs or interventions, instead demonstrating the factors or designs that can promote health equity and knowledge.</w:t>
      </w:r>
    </w:p>
    <w:p w14:paraId="44411D6E" w14:textId="77777777" w:rsidR="000B1D3C" w:rsidRPr="000D7B93" w:rsidRDefault="000B1D3C" w:rsidP="000D7B93">
      <w:pPr>
        <w:jc w:val="both"/>
        <w:rPr>
          <w:rFonts w:ascii="Calibri" w:eastAsia="Yu Mincho" w:hAnsi="Calibri" w:cs="Times New Roman"/>
          <w:b/>
          <w:color w:val="30785B"/>
          <w:sz w:val="24"/>
          <w:szCs w:val="24"/>
        </w:rPr>
      </w:pPr>
      <w:r w:rsidRPr="000D7B93">
        <w:rPr>
          <w:rFonts w:ascii="Calibri" w:eastAsia="Yu Mincho" w:hAnsi="Calibri" w:cs="Times New Roman"/>
          <w:b/>
          <w:color w:val="30785B"/>
          <w:sz w:val="24"/>
          <w:szCs w:val="24"/>
        </w:rPr>
        <w:t>Question 5. What are the gaps in data collection? e.g. instances where standard reporting does not include disaggregation by sex and/or gender and identify</w:t>
      </w:r>
    </w:p>
    <w:p w14:paraId="1112E8C5" w14:textId="77777777" w:rsidR="000B1D3C" w:rsidRDefault="000B1D3C" w:rsidP="000B1D3C">
      <w:pPr>
        <w:jc w:val="both"/>
        <w:rPr>
          <w:rFonts w:ascii="Calibri" w:eastAsia="Yu Mincho" w:hAnsi="Calibri" w:cs="Times New Roman"/>
        </w:rPr>
      </w:pPr>
      <w:r w:rsidRPr="00E0435D">
        <w:rPr>
          <w:rFonts w:ascii="Calibri" w:eastAsia="Yu Mincho" w:hAnsi="Calibri" w:cs="Times New Roman"/>
        </w:rPr>
        <w:t xml:space="preserve">Fifteen papers were identified that revealed sex and gender gaps in data collection. There was evidence that women have been largely excluded from clinical research, leading to a lack of sex-specific data to inform clinical care. Despite widespread policy </w:t>
      </w:r>
      <w:r w:rsidRPr="00E0435D">
        <w:rPr>
          <w:rFonts w:ascii="Calibri" w:eastAsia="Yu Mincho" w:hAnsi="Calibri" w:cs="Times New Roman" w:hint="eastAsia"/>
        </w:rPr>
        <w:t>requirements (and institutional support) for sex and gender equity in research, sex bias and women</w:t>
      </w:r>
      <w:r>
        <w:rPr>
          <w:rFonts w:ascii="Calibri" w:eastAsia="Yu Mincho" w:hAnsi="Calibri" w:cs="Times New Roman"/>
        </w:rPr>
        <w:t>’s</w:t>
      </w:r>
      <w:r w:rsidRPr="00E0435D">
        <w:rPr>
          <w:rFonts w:ascii="Calibri" w:eastAsia="Yu Mincho" w:hAnsi="Calibri" w:cs="Times New Roman" w:hint="eastAsia"/>
        </w:rPr>
        <w:t xml:space="preserve"> underrepresentation are still evident. The dominant explanation for the failure to remedy the sex and gender data gaps is the historical tendency to conside</w:t>
      </w:r>
      <w:r w:rsidRPr="00E0435D">
        <w:rPr>
          <w:rFonts w:ascii="Calibri" w:eastAsia="Yu Mincho" w:hAnsi="Calibri" w:cs="Times New Roman"/>
        </w:rPr>
        <w:t>r the (usually Caucasian) male body as the standard and the female body as deviant.</w:t>
      </w:r>
      <w:r>
        <w:rPr>
          <w:rFonts w:ascii="Calibri" w:eastAsia="Yu Mincho" w:hAnsi="Calibri" w:cs="Times New Roman"/>
        </w:rPr>
        <w:t xml:space="preserve"> </w:t>
      </w:r>
      <w:r>
        <w:t xml:space="preserve">Ten leading </w:t>
      </w:r>
      <w:r w:rsidRPr="00E559E2">
        <w:t>Australian journals in medical research</w:t>
      </w:r>
      <w:r>
        <w:t xml:space="preserve"> were found not to incorporate sex and gender adequately in their published papers. </w:t>
      </w:r>
      <w:r w:rsidRPr="00672DBE">
        <w:t>An investigation of</w:t>
      </w:r>
      <w:r w:rsidRPr="00672DBE">
        <w:rPr>
          <w:rFonts w:ascii="Calibri" w:hAnsi="Calibri" w:cs="Calibri"/>
        </w:rPr>
        <w:t xml:space="preserve"> sex and gender in research in the policies of funding agencies in Australia revealed that eight of the ten had no relevant policy.</w:t>
      </w:r>
    </w:p>
    <w:p w14:paraId="1D787EF2" w14:textId="77777777" w:rsidR="000B1D3C" w:rsidRPr="0084642B" w:rsidRDefault="000B1D3C" w:rsidP="000B1D3C">
      <w:pPr>
        <w:jc w:val="both"/>
        <w:rPr>
          <w:rFonts w:ascii="Calibri" w:eastAsia="Yu Mincho" w:hAnsi="Calibri" w:cs="Times New Roman"/>
        </w:rPr>
        <w:sectPr w:rsidR="000B1D3C" w:rsidRPr="0084642B" w:rsidSect="00DA0F96">
          <w:pgSz w:w="11906" w:h="16838"/>
          <w:pgMar w:top="1440" w:right="1440" w:bottom="1440" w:left="1440" w:header="708" w:footer="708" w:gutter="0"/>
          <w:pgNumType w:start="4"/>
          <w:cols w:space="708"/>
          <w:docGrid w:linePitch="360"/>
        </w:sectPr>
      </w:pPr>
    </w:p>
    <w:p w14:paraId="5F386892" w14:textId="4C41C22A" w:rsidR="000B1D3C" w:rsidRPr="000D7B93" w:rsidRDefault="000B1D3C" w:rsidP="000D7B93">
      <w:pPr>
        <w:pStyle w:val="Heading1"/>
        <w:spacing w:after="240"/>
        <w:rPr>
          <w:rFonts w:asciiTheme="minorHAnsi" w:hAnsiTheme="minorHAnsi" w:cstheme="minorHAnsi"/>
          <w:b/>
          <w:bCs/>
          <w:color w:val="4C2863"/>
          <w:sz w:val="40"/>
          <w:szCs w:val="40"/>
        </w:rPr>
      </w:pPr>
      <w:bookmarkStart w:id="45" w:name="_Toc165204984"/>
      <w:bookmarkStart w:id="46" w:name="_Toc168390492"/>
      <w:bookmarkStart w:id="47" w:name="_Toc168390860"/>
      <w:bookmarkStart w:id="48" w:name="_Toc168390926"/>
      <w:bookmarkStart w:id="49" w:name="_Toc168392058"/>
      <w:bookmarkStart w:id="50" w:name="_Toc168392415"/>
      <w:bookmarkStart w:id="51" w:name="_Toc168393588"/>
      <w:bookmarkStart w:id="52" w:name="_Toc168393630"/>
      <w:bookmarkStart w:id="53" w:name="_Toc168394304"/>
      <w:bookmarkStart w:id="54" w:name="_Toc168394442"/>
      <w:r w:rsidRPr="00BC1E71">
        <w:rPr>
          <w:rFonts w:asciiTheme="minorHAnsi" w:hAnsiTheme="minorHAnsi" w:cstheme="minorHAnsi"/>
          <w:b/>
          <w:bCs/>
          <w:color w:val="4C2863"/>
          <w:sz w:val="40"/>
          <w:szCs w:val="40"/>
        </w:rPr>
        <w:lastRenderedPageBreak/>
        <w:t>Recommendations (Summary)</w:t>
      </w:r>
      <w:bookmarkEnd w:id="45"/>
      <w:bookmarkEnd w:id="46"/>
      <w:bookmarkEnd w:id="47"/>
      <w:bookmarkEnd w:id="48"/>
      <w:bookmarkEnd w:id="49"/>
      <w:bookmarkEnd w:id="50"/>
      <w:bookmarkEnd w:id="51"/>
      <w:bookmarkEnd w:id="52"/>
      <w:bookmarkEnd w:id="53"/>
      <w:bookmarkEnd w:id="54"/>
    </w:p>
    <w:p w14:paraId="12109324" w14:textId="77777777" w:rsidR="000B1D3C" w:rsidRPr="007E1040" w:rsidRDefault="000B1D3C" w:rsidP="00C26251">
      <w:pPr>
        <w:pStyle w:val="ListParagraph"/>
        <w:numPr>
          <w:ilvl w:val="0"/>
          <w:numId w:val="32"/>
        </w:numPr>
        <w:ind w:left="357" w:hanging="357"/>
        <w:contextualSpacing w:val="0"/>
        <w:rPr>
          <w:rFonts w:cstheme="minorHAnsi"/>
        </w:rPr>
      </w:pPr>
      <w:r w:rsidRPr="007E1040">
        <w:rPr>
          <w:rFonts w:cstheme="minorHAnsi"/>
        </w:rPr>
        <w:t>Ensure that the terms and concepts of “sex” and “gender” are defined and used accurately in relation to health care.</w:t>
      </w:r>
    </w:p>
    <w:p w14:paraId="6C0785C2" w14:textId="77777777" w:rsidR="00FA799E" w:rsidRPr="007E1040" w:rsidRDefault="00FA799E" w:rsidP="00FA799E">
      <w:pPr>
        <w:pStyle w:val="ListParagraph"/>
        <w:numPr>
          <w:ilvl w:val="0"/>
          <w:numId w:val="32"/>
        </w:numPr>
        <w:ind w:left="357" w:hanging="357"/>
        <w:contextualSpacing w:val="0"/>
        <w:rPr>
          <w:rFonts w:cstheme="minorHAnsi"/>
        </w:rPr>
      </w:pPr>
      <w:r w:rsidRPr="007E1040">
        <w:t xml:space="preserve">Introduce and continue culturally sensitive training for healthcare professionals that </w:t>
      </w:r>
      <w:r w:rsidRPr="00AF2B89">
        <w:t xml:space="preserve">includes </w:t>
      </w:r>
      <w:r w:rsidRPr="00AF2B89">
        <w:rPr>
          <w:bCs/>
        </w:rPr>
        <w:t>an intersectional and</w:t>
      </w:r>
      <w:r w:rsidRPr="007E1040">
        <w:t xml:space="preserve"> multilingual approach.</w:t>
      </w:r>
    </w:p>
    <w:p w14:paraId="01573D9B" w14:textId="77777777" w:rsidR="00C01B00" w:rsidRPr="007E1040" w:rsidRDefault="00C01B00" w:rsidP="00C01B00">
      <w:pPr>
        <w:pStyle w:val="ListParagraph"/>
        <w:numPr>
          <w:ilvl w:val="0"/>
          <w:numId w:val="32"/>
        </w:numPr>
        <w:ind w:left="357" w:hanging="357"/>
        <w:contextualSpacing w:val="0"/>
        <w:rPr>
          <w:rFonts w:cstheme="minorHAnsi"/>
        </w:rPr>
      </w:pPr>
      <w:r w:rsidRPr="007E1040">
        <w:rPr>
          <w:rFonts w:cstheme="minorHAnsi"/>
        </w:rPr>
        <w:t xml:space="preserve">There should be </w:t>
      </w:r>
      <w:r>
        <w:rPr>
          <w:rFonts w:cstheme="minorHAnsi"/>
        </w:rPr>
        <w:t>undergraduate, postgraduate, and</w:t>
      </w:r>
      <w:r w:rsidRPr="007E1040">
        <w:rPr>
          <w:rFonts w:cstheme="minorHAnsi"/>
        </w:rPr>
        <w:t xml:space="preserve"> continuing professional education that ensures sex and gender awareness in quality of care</w:t>
      </w:r>
      <w:bookmarkStart w:id="55" w:name="_Hlk171935466"/>
      <w:r>
        <w:rPr>
          <w:rFonts w:cstheme="minorHAnsi"/>
        </w:rPr>
        <w:t xml:space="preserve"> for all health professions</w:t>
      </w:r>
      <w:bookmarkEnd w:id="55"/>
      <w:r w:rsidRPr="007E1040">
        <w:rPr>
          <w:rFonts w:cstheme="minorHAnsi"/>
        </w:rPr>
        <w:t>.</w:t>
      </w:r>
    </w:p>
    <w:p w14:paraId="6ACA21C8" w14:textId="74AE50AE" w:rsidR="00235864" w:rsidRPr="007E1040" w:rsidRDefault="00235864" w:rsidP="00235864">
      <w:pPr>
        <w:pStyle w:val="ListParagraph"/>
        <w:numPr>
          <w:ilvl w:val="0"/>
          <w:numId w:val="32"/>
        </w:numPr>
        <w:ind w:left="357" w:hanging="357"/>
        <w:contextualSpacing w:val="0"/>
        <w:rPr>
          <w:rFonts w:cstheme="minorHAnsi"/>
        </w:rPr>
      </w:pPr>
      <w:r w:rsidRPr="007E1040">
        <w:rPr>
          <w:rFonts w:cstheme="minorHAnsi"/>
        </w:rPr>
        <w:t>Ensure that sex and gender discrimination in health care, as well as sex and gender differences</w:t>
      </w:r>
      <w:r>
        <w:rPr>
          <w:rFonts w:cstheme="minorHAnsi"/>
        </w:rPr>
        <w:t xml:space="preserve"> in health states and outcomes</w:t>
      </w:r>
      <w:r w:rsidRPr="007E1040">
        <w:rPr>
          <w:rFonts w:cstheme="minorHAnsi"/>
        </w:rPr>
        <w:t>, are addressed in research</w:t>
      </w:r>
      <w:r w:rsidR="007C0F90">
        <w:rPr>
          <w:rFonts w:cstheme="minorHAnsi"/>
        </w:rPr>
        <w:t>, both to enable understanding and to intervene for change</w:t>
      </w:r>
      <w:r w:rsidRPr="007E1040">
        <w:rPr>
          <w:rFonts w:cstheme="minorHAnsi"/>
        </w:rPr>
        <w:t xml:space="preserve">. </w:t>
      </w:r>
    </w:p>
    <w:p w14:paraId="5DD3C153" w14:textId="2E83B85C" w:rsidR="003C164E" w:rsidRPr="007E1040" w:rsidRDefault="003C164E" w:rsidP="003C164E">
      <w:pPr>
        <w:pStyle w:val="ListParagraph"/>
        <w:numPr>
          <w:ilvl w:val="0"/>
          <w:numId w:val="32"/>
        </w:numPr>
        <w:ind w:left="357" w:hanging="357"/>
        <w:contextualSpacing w:val="0"/>
        <w:rPr>
          <w:rFonts w:cstheme="minorHAnsi"/>
        </w:rPr>
      </w:pPr>
      <w:r w:rsidRPr="007E1040">
        <w:t>Journal editors</w:t>
      </w:r>
      <w:r>
        <w:t xml:space="preserve"> and editorial board members (or voluntary editors), </w:t>
      </w:r>
      <w:r w:rsidRPr="007E1040">
        <w:t xml:space="preserve">need to be supported to ensure that the existing criteria and recommendations for sex and gender aware </w:t>
      </w:r>
      <w:r w:rsidR="00666945">
        <w:t xml:space="preserve">publication </w:t>
      </w:r>
      <w:r w:rsidRPr="007E1040">
        <w:t>practice</w:t>
      </w:r>
      <w:r w:rsidR="00666945">
        <w:t>s</w:t>
      </w:r>
      <w:r w:rsidRPr="007E1040">
        <w:t xml:space="preserve"> are implemented and enforced. </w:t>
      </w:r>
    </w:p>
    <w:p w14:paraId="281DEE2B" w14:textId="1A8B69E5" w:rsidR="00051B4F" w:rsidRPr="007E1040" w:rsidRDefault="00051B4F" w:rsidP="00051B4F">
      <w:pPr>
        <w:pStyle w:val="ListParagraph"/>
        <w:numPr>
          <w:ilvl w:val="0"/>
          <w:numId w:val="32"/>
        </w:numPr>
        <w:ind w:left="357" w:hanging="357"/>
        <w:contextualSpacing w:val="0"/>
        <w:rPr>
          <w:rFonts w:cstheme="minorHAnsi"/>
        </w:rPr>
      </w:pPr>
      <w:r w:rsidRPr="007E1040">
        <w:rPr>
          <w:rFonts w:cstheme="minorHAnsi"/>
        </w:rPr>
        <w:t>Encourage the inclusion of sex and gender awareness in all clinical guidelines, so that existing evidence is assessed for its treatment of sex and gender</w:t>
      </w:r>
      <w:r w:rsidR="008A51FD">
        <w:rPr>
          <w:rFonts w:cstheme="minorHAnsi"/>
        </w:rPr>
        <w:t xml:space="preserve"> and to enable strategies to counter inequity and discrimination</w:t>
      </w:r>
      <w:r w:rsidRPr="007E1040">
        <w:rPr>
          <w:rFonts w:cstheme="minorHAnsi"/>
        </w:rPr>
        <w:t>.</w:t>
      </w:r>
    </w:p>
    <w:p w14:paraId="22A6C9A4" w14:textId="77777777" w:rsidR="00681794" w:rsidRPr="0033138B" w:rsidRDefault="00681794" w:rsidP="00681794">
      <w:pPr>
        <w:pStyle w:val="ListParagraph"/>
        <w:numPr>
          <w:ilvl w:val="0"/>
          <w:numId w:val="32"/>
        </w:numPr>
        <w:ind w:left="357" w:hanging="357"/>
        <w:contextualSpacing w:val="0"/>
        <w:rPr>
          <w:rFonts w:cstheme="minorHAnsi"/>
        </w:rPr>
      </w:pPr>
      <w:r w:rsidRPr="0033138B">
        <w:rPr>
          <w:rFonts w:cstheme="minorHAnsi"/>
        </w:rPr>
        <w:t xml:space="preserve">Develop a central database of clinical guidelines and require consideration of sex and gender in all NHMRC-endorsed endeavours. </w:t>
      </w:r>
    </w:p>
    <w:p w14:paraId="12078AFE" w14:textId="77777777" w:rsidR="002C474B" w:rsidRDefault="002C474B" w:rsidP="002C474B">
      <w:pPr>
        <w:pStyle w:val="ListParagraph"/>
        <w:numPr>
          <w:ilvl w:val="0"/>
          <w:numId w:val="32"/>
        </w:numPr>
        <w:ind w:left="357" w:hanging="357"/>
        <w:contextualSpacing w:val="0"/>
        <w:rPr>
          <w:rFonts w:cstheme="minorHAnsi"/>
        </w:rPr>
      </w:pPr>
      <w:r w:rsidRPr="007E1040">
        <w:rPr>
          <w:rFonts w:cstheme="minorHAnsi"/>
        </w:rPr>
        <w:t xml:space="preserve">There needs to be continuing research on any major differences in the nature, prevalence, and burdens in health problems experienced by women, men, and people of all </w:t>
      </w:r>
      <w:r>
        <w:rPr>
          <w:rFonts w:cstheme="minorHAnsi"/>
        </w:rPr>
        <w:t xml:space="preserve">sexes and </w:t>
      </w:r>
      <w:r w:rsidRPr="007E1040">
        <w:rPr>
          <w:rFonts w:cstheme="minorHAnsi"/>
        </w:rPr>
        <w:t xml:space="preserve">genders that influence their needs for health care. </w:t>
      </w:r>
    </w:p>
    <w:p w14:paraId="20E98759" w14:textId="77777777" w:rsidR="000B1D3C" w:rsidRPr="007E1040" w:rsidRDefault="000B1D3C" w:rsidP="00C26251">
      <w:pPr>
        <w:pStyle w:val="ListParagraph"/>
        <w:numPr>
          <w:ilvl w:val="0"/>
          <w:numId w:val="32"/>
        </w:numPr>
        <w:ind w:left="357" w:hanging="357"/>
        <w:contextualSpacing w:val="0"/>
        <w:rPr>
          <w:rFonts w:cstheme="minorHAnsi"/>
        </w:rPr>
      </w:pPr>
      <w:r w:rsidRPr="007E1040">
        <w:rPr>
          <w:rFonts w:cstheme="minorHAnsi"/>
        </w:rPr>
        <w:t>Encourage moving beyond simple binaries in sex and gender in medical research and practice.</w:t>
      </w:r>
    </w:p>
    <w:p w14:paraId="39FA2ECF" w14:textId="77777777" w:rsidR="000B1D3C" w:rsidRPr="007E1040" w:rsidRDefault="000B1D3C" w:rsidP="00C26251">
      <w:pPr>
        <w:pStyle w:val="ListParagraph"/>
        <w:numPr>
          <w:ilvl w:val="0"/>
          <w:numId w:val="32"/>
        </w:numPr>
        <w:ind w:left="357" w:hanging="357"/>
        <w:contextualSpacing w:val="0"/>
        <w:rPr>
          <w:rFonts w:cstheme="minorHAnsi"/>
        </w:rPr>
      </w:pPr>
      <w:r w:rsidRPr="007E1040">
        <w:rPr>
          <w:rFonts w:cstheme="minorHAnsi"/>
        </w:rPr>
        <w:t>Practise inclusive health care for gender diverse people.</w:t>
      </w:r>
    </w:p>
    <w:p w14:paraId="27096859" w14:textId="77777777" w:rsidR="000B1D3C" w:rsidRPr="007E1040" w:rsidRDefault="000B1D3C" w:rsidP="00C26251">
      <w:pPr>
        <w:pStyle w:val="ListParagraph"/>
        <w:numPr>
          <w:ilvl w:val="0"/>
          <w:numId w:val="32"/>
        </w:numPr>
        <w:ind w:left="357" w:hanging="357"/>
        <w:contextualSpacing w:val="0"/>
        <w:rPr>
          <w:rFonts w:cstheme="minorHAnsi"/>
        </w:rPr>
      </w:pPr>
      <w:r w:rsidRPr="007E1040">
        <w:rPr>
          <w:rFonts w:cstheme="minorHAnsi"/>
        </w:rPr>
        <w:t xml:space="preserve">For maximum influence, </w:t>
      </w:r>
      <w:r>
        <w:rPr>
          <w:rFonts w:cstheme="minorHAnsi"/>
        </w:rPr>
        <w:t xml:space="preserve">the findings of </w:t>
      </w:r>
      <w:r w:rsidRPr="007E1040">
        <w:rPr>
          <w:rFonts w:cstheme="minorHAnsi"/>
        </w:rPr>
        <w:t>this report need to be widely distributed</w:t>
      </w:r>
      <w:r w:rsidRPr="007E1040">
        <w:rPr>
          <w:rFonts w:cstheme="minorHAnsi"/>
          <w:i/>
          <w:iCs/>
        </w:rPr>
        <w:t>.</w:t>
      </w:r>
    </w:p>
    <w:p w14:paraId="6D8E2BB7" w14:textId="77777777" w:rsidR="00EB2B55" w:rsidRPr="00672DBE" w:rsidRDefault="00EB2B55">
      <w:r w:rsidRPr="00672DBE">
        <w:br w:type="page"/>
      </w:r>
    </w:p>
    <w:p w14:paraId="7F749015" w14:textId="00BED142" w:rsidR="00EB2B55" w:rsidRPr="00BC1E71" w:rsidRDefault="00EB2B55" w:rsidP="00BC1E71">
      <w:pPr>
        <w:pStyle w:val="Heading1"/>
        <w:numPr>
          <w:ilvl w:val="0"/>
          <w:numId w:val="1"/>
        </w:numPr>
        <w:spacing w:before="0" w:after="160"/>
        <w:ind w:hanging="720"/>
        <w:rPr>
          <w:rFonts w:asciiTheme="minorHAnsi" w:hAnsiTheme="minorHAnsi" w:cstheme="minorHAnsi"/>
          <w:b/>
          <w:bCs/>
          <w:color w:val="4C2863"/>
          <w:sz w:val="40"/>
          <w:szCs w:val="40"/>
        </w:rPr>
      </w:pPr>
      <w:bookmarkStart w:id="56" w:name="_Toc161756582"/>
      <w:bookmarkStart w:id="57" w:name="_Toc161757505"/>
      <w:bookmarkStart w:id="58" w:name="_Toc161763930"/>
      <w:bookmarkStart w:id="59" w:name="_Toc165204985"/>
      <w:bookmarkStart w:id="60" w:name="_Toc168390493"/>
      <w:bookmarkStart w:id="61" w:name="_Toc168390861"/>
      <w:bookmarkStart w:id="62" w:name="_Toc168390927"/>
      <w:bookmarkStart w:id="63" w:name="_Toc168392059"/>
      <w:bookmarkStart w:id="64" w:name="_Toc168392416"/>
      <w:bookmarkStart w:id="65" w:name="_Toc168393589"/>
      <w:bookmarkStart w:id="66" w:name="_Toc168393631"/>
      <w:bookmarkStart w:id="67" w:name="_Toc168394305"/>
      <w:bookmarkStart w:id="68" w:name="_Toc168394443"/>
      <w:r w:rsidRPr="00BC1E71">
        <w:rPr>
          <w:rFonts w:asciiTheme="minorHAnsi" w:hAnsiTheme="minorHAnsi" w:cstheme="minorHAnsi"/>
          <w:b/>
          <w:bCs/>
          <w:color w:val="4C2863"/>
          <w:sz w:val="40"/>
          <w:szCs w:val="40"/>
        </w:rPr>
        <w:lastRenderedPageBreak/>
        <w:t>Introduction</w:t>
      </w:r>
      <w:bookmarkEnd w:id="56"/>
      <w:bookmarkEnd w:id="57"/>
      <w:bookmarkEnd w:id="58"/>
      <w:bookmarkEnd w:id="59"/>
      <w:bookmarkEnd w:id="60"/>
      <w:bookmarkEnd w:id="61"/>
      <w:bookmarkEnd w:id="62"/>
      <w:bookmarkEnd w:id="63"/>
      <w:bookmarkEnd w:id="64"/>
      <w:bookmarkEnd w:id="65"/>
      <w:bookmarkEnd w:id="66"/>
      <w:bookmarkEnd w:id="67"/>
      <w:bookmarkEnd w:id="68"/>
    </w:p>
    <w:p w14:paraId="6596E71F" w14:textId="12AC5FB4" w:rsidR="00EB2B55" w:rsidRPr="00BC1E71" w:rsidRDefault="00EB2B55" w:rsidP="00BC1E71">
      <w:pPr>
        <w:pStyle w:val="Heading2"/>
        <w:numPr>
          <w:ilvl w:val="1"/>
          <w:numId w:val="5"/>
        </w:numPr>
        <w:spacing w:before="0" w:after="160"/>
        <w:rPr>
          <w:rFonts w:asciiTheme="minorHAnsi" w:hAnsiTheme="minorHAnsi" w:cstheme="minorHAnsi"/>
          <w:b/>
          <w:bCs/>
          <w:color w:val="30785B"/>
          <w:sz w:val="24"/>
          <w:szCs w:val="24"/>
        </w:rPr>
      </w:pPr>
      <w:bookmarkStart w:id="69" w:name="_Toc161756583"/>
      <w:bookmarkStart w:id="70" w:name="_Toc161757506"/>
      <w:bookmarkStart w:id="71" w:name="_Toc161763931"/>
      <w:bookmarkStart w:id="72" w:name="_Toc165204986"/>
      <w:bookmarkStart w:id="73" w:name="_Toc168390494"/>
      <w:bookmarkStart w:id="74" w:name="_Toc168390862"/>
      <w:bookmarkStart w:id="75" w:name="_Toc168390928"/>
      <w:bookmarkStart w:id="76" w:name="_Toc168392060"/>
      <w:bookmarkStart w:id="77" w:name="_Toc168392417"/>
      <w:bookmarkStart w:id="78" w:name="_Toc168393590"/>
      <w:bookmarkStart w:id="79" w:name="_Toc168393632"/>
      <w:bookmarkStart w:id="80" w:name="_Toc168394306"/>
      <w:bookmarkStart w:id="81" w:name="_Toc168394444"/>
      <w:r w:rsidRPr="00BC1E71">
        <w:rPr>
          <w:rFonts w:asciiTheme="minorHAnsi" w:hAnsiTheme="minorHAnsi" w:cstheme="minorHAnsi"/>
          <w:b/>
          <w:bCs/>
          <w:color w:val="30785B"/>
          <w:sz w:val="24"/>
          <w:szCs w:val="24"/>
        </w:rPr>
        <w:t>Background</w:t>
      </w:r>
      <w:bookmarkEnd w:id="69"/>
      <w:bookmarkEnd w:id="70"/>
      <w:bookmarkEnd w:id="71"/>
      <w:bookmarkEnd w:id="72"/>
      <w:bookmarkEnd w:id="73"/>
      <w:bookmarkEnd w:id="74"/>
      <w:bookmarkEnd w:id="75"/>
      <w:bookmarkEnd w:id="76"/>
      <w:bookmarkEnd w:id="77"/>
      <w:bookmarkEnd w:id="78"/>
      <w:bookmarkEnd w:id="79"/>
      <w:bookmarkEnd w:id="80"/>
      <w:bookmarkEnd w:id="81"/>
      <w:r w:rsidRPr="00BC1E71">
        <w:rPr>
          <w:rFonts w:asciiTheme="minorHAnsi" w:hAnsiTheme="minorHAnsi" w:cstheme="minorHAnsi"/>
          <w:b/>
          <w:bCs/>
          <w:color w:val="30785B"/>
          <w:sz w:val="24"/>
          <w:szCs w:val="24"/>
        </w:rPr>
        <w:t xml:space="preserve"> </w:t>
      </w:r>
    </w:p>
    <w:p w14:paraId="692D8765" w14:textId="77777777" w:rsidR="00EB2B55" w:rsidRPr="002F7A6A" w:rsidRDefault="00EB2B55" w:rsidP="003414BB">
      <w:pPr>
        <w:jc w:val="both"/>
      </w:pPr>
      <w:r w:rsidRPr="002F7A6A">
        <w:t xml:space="preserve">Monash University was commissioned by the Department of Health and Aged Care (the Department) to undertake a literature review to inform strategies to reduce sex and gender bias and disparities in the healthcare system and practice in Australia. </w:t>
      </w:r>
    </w:p>
    <w:p w14:paraId="12B0268E" w14:textId="77777777" w:rsidR="00EB2B55" w:rsidRPr="002F7A6A" w:rsidRDefault="00EB2B55" w:rsidP="003414BB">
      <w:pPr>
        <w:tabs>
          <w:tab w:val="left" w:pos="6521"/>
        </w:tabs>
        <w:jc w:val="both"/>
      </w:pPr>
      <w:r w:rsidRPr="002F7A6A">
        <w:t xml:space="preserve">Women and men have different experiences of health and illness </w:t>
      </w:r>
      <w:proofErr w:type="gramStart"/>
      <w:r w:rsidRPr="002F7A6A">
        <w:t>as a result of</w:t>
      </w:r>
      <w:proofErr w:type="gramEnd"/>
      <w:r w:rsidRPr="002F7A6A">
        <w:t xml:space="preserve"> variations in both sex and gender. It is crucial to understand these differences and their ramifications </w:t>
      </w:r>
      <w:proofErr w:type="gramStart"/>
      <w:r w:rsidRPr="002F7A6A">
        <w:t>in order to</w:t>
      </w:r>
      <w:proofErr w:type="gramEnd"/>
      <w:r w:rsidRPr="002F7A6A">
        <w:t xml:space="preserve"> improve health outcomes, quality of life, and well-being for women and men as well as for people who identify as non-binary or transgender.</w:t>
      </w:r>
      <w:r w:rsidRPr="00672DBE">
        <w:t xml:space="preserve"> </w:t>
      </w:r>
    </w:p>
    <w:p w14:paraId="0AC3C88A" w14:textId="08703AFF" w:rsidR="00EB2B55" w:rsidRPr="002F7A6A" w:rsidRDefault="00EB2B55" w:rsidP="003414BB">
      <w:pPr>
        <w:jc w:val="both"/>
        <w:rPr>
          <w:rFonts w:cstheme="minorHAnsi"/>
        </w:rPr>
      </w:pPr>
      <w:r w:rsidRPr="002F7A6A">
        <w:rPr>
          <w:rFonts w:cstheme="minorHAnsi"/>
        </w:rPr>
        <w:t xml:space="preserve">According to </w:t>
      </w:r>
      <w:r w:rsidRPr="002F7A6A">
        <w:rPr>
          <w:rFonts w:cstheme="minorHAnsi"/>
          <w:i/>
        </w:rPr>
        <w:t>Australia’s Gender Health Tracker</w:t>
      </w:r>
      <w:r w:rsidRPr="002F7A6A">
        <w:rPr>
          <w:rFonts w:cstheme="minorHAnsi"/>
        </w:rPr>
        <w:t xml:space="preserve"> (</w:t>
      </w:r>
      <w:r w:rsidR="004147D4" w:rsidRPr="00672DBE">
        <w:rPr>
          <w:rFonts w:cstheme="minorHAnsi"/>
        </w:rPr>
        <w:t xml:space="preserve">Fetherston &amp; </w:t>
      </w:r>
      <w:proofErr w:type="spellStart"/>
      <w:r w:rsidR="004147D4" w:rsidRPr="00672DBE">
        <w:rPr>
          <w:rFonts w:cstheme="minorHAnsi"/>
        </w:rPr>
        <w:t>Craike</w:t>
      </w:r>
      <w:proofErr w:type="spellEnd"/>
      <w:r w:rsidR="004147D4" w:rsidRPr="00672DBE">
        <w:rPr>
          <w:rFonts w:cstheme="minorHAnsi"/>
        </w:rPr>
        <w:t>, 2020</w:t>
      </w:r>
      <w:r w:rsidRPr="002F7A6A">
        <w:rPr>
          <w:rFonts w:cstheme="minorHAnsi"/>
        </w:rPr>
        <w:t>), women are more likely</w:t>
      </w:r>
      <w:r w:rsidRPr="002F7A6A">
        <w:t xml:space="preserve"> to be at risk of ill health than men at all stages of life</w:t>
      </w:r>
      <w:r w:rsidR="006F2897" w:rsidRPr="002F7A6A">
        <w:t>.</w:t>
      </w:r>
      <w:r w:rsidRPr="002F7A6A">
        <w:t xml:space="preserve"> (Although the tracker consistently uses “gender,” most of its data apply to sex.) Despite living longer on average than men, women experience higher rates of chronic health conditions and mental health </w:t>
      </w:r>
      <w:r w:rsidR="001D5BCE" w:rsidRPr="002F7A6A">
        <w:t xml:space="preserve">problems </w:t>
      </w:r>
      <w:r w:rsidRPr="002F7A6A">
        <w:t xml:space="preserve">than men (Fetherston &amp; </w:t>
      </w:r>
      <w:proofErr w:type="spellStart"/>
      <w:r w:rsidRPr="002F7A6A">
        <w:t>Craike</w:t>
      </w:r>
      <w:proofErr w:type="spellEnd"/>
      <w:r w:rsidRPr="002F7A6A">
        <w:t xml:space="preserve">, 2020). Women also have specific needs and concerns associated with sexual and reproductive health that change over their life stages from childhood to old age. First Nations and socio-economically disadvantaged or marginalised groups of women and girls experience </w:t>
      </w:r>
      <w:r w:rsidR="00B953AE" w:rsidRPr="002F7A6A">
        <w:t xml:space="preserve">worse </w:t>
      </w:r>
      <w:r w:rsidRPr="002F7A6A">
        <w:t>health outcomes, including higher rates of comorbid conditions and mental health</w:t>
      </w:r>
      <w:r w:rsidR="00B953AE" w:rsidRPr="002F7A6A">
        <w:t xml:space="preserve"> problems</w:t>
      </w:r>
      <w:r w:rsidRPr="002F7A6A">
        <w:t xml:space="preserve">, than other groups of women. Men are more likely than women to consume less than recommended quantities of fruits and vegetables, be overweight or obese, and drink alcohol at high risk levels (Fetherston &amp; </w:t>
      </w:r>
      <w:proofErr w:type="spellStart"/>
      <w:r w:rsidRPr="002F7A6A">
        <w:t>Craike</w:t>
      </w:r>
      <w:proofErr w:type="spellEnd"/>
      <w:r w:rsidRPr="002F7A6A">
        <w:t>, 2020). Young men</w:t>
      </w:r>
      <w:proofErr w:type="gramStart"/>
      <w:r w:rsidRPr="002F7A6A">
        <w:t>, in particular, often</w:t>
      </w:r>
      <w:proofErr w:type="gramEnd"/>
      <w:r w:rsidRPr="002F7A6A">
        <w:t xml:space="preserve"> engage in activities that are risky to their health and are more likely to die prematurely from injury rather than live with </w:t>
      </w:r>
      <w:r w:rsidRPr="002F7A6A">
        <w:rPr>
          <w:rFonts w:cstheme="minorHAnsi"/>
        </w:rPr>
        <w:t>a</w:t>
      </w:r>
      <w:r w:rsidR="006F2897" w:rsidRPr="002F7A6A">
        <w:rPr>
          <w:rFonts w:cstheme="minorHAnsi"/>
        </w:rPr>
        <w:t xml:space="preserve"> non-communicable</w:t>
      </w:r>
      <w:r w:rsidRPr="002F7A6A">
        <w:rPr>
          <w:rFonts w:cstheme="minorHAnsi"/>
        </w:rPr>
        <w:t xml:space="preserve"> disease (</w:t>
      </w:r>
      <w:r w:rsidR="004147D4" w:rsidRPr="00672DBE">
        <w:rPr>
          <w:rFonts w:cstheme="minorHAnsi"/>
        </w:rPr>
        <w:t xml:space="preserve">Fetherston &amp; </w:t>
      </w:r>
      <w:proofErr w:type="spellStart"/>
      <w:r w:rsidR="004147D4" w:rsidRPr="00672DBE">
        <w:rPr>
          <w:rFonts w:cstheme="minorHAnsi"/>
        </w:rPr>
        <w:t>Craike</w:t>
      </w:r>
      <w:proofErr w:type="spellEnd"/>
      <w:r w:rsidR="004147D4" w:rsidRPr="00672DBE">
        <w:rPr>
          <w:rFonts w:cstheme="minorHAnsi"/>
        </w:rPr>
        <w:t>, 2020</w:t>
      </w:r>
      <w:r w:rsidRPr="002F7A6A">
        <w:rPr>
          <w:rFonts w:cstheme="minorHAnsi"/>
        </w:rPr>
        <w:t xml:space="preserve">). </w:t>
      </w:r>
    </w:p>
    <w:p w14:paraId="13F11D65" w14:textId="5A70E980" w:rsidR="00EB2B55" w:rsidRPr="002F7A6A" w:rsidRDefault="00EB2B55" w:rsidP="003414BB">
      <w:pPr>
        <w:jc w:val="both"/>
      </w:pPr>
      <w:r w:rsidRPr="002F7A6A">
        <w:t>In Australia, women and girls confront specific challenges in healthcare systems and practice, resulting in poorer health outcomes including delayed diagnosis and treatment</w:t>
      </w:r>
      <w:r w:rsidR="00B76F25">
        <w:t xml:space="preserve">, </w:t>
      </w:r>
      <w:r w:rsidR="00BB2A1F">
        <w:t>polypharmacy</w:t>
      </w:r>
      <w:r w:rsidRPr="002F7A6A">
        <w:t>, and dismissal of pain</w:t>
      </w:r>
      <w:r w:rsidR="008E3EE9">
        <w:t xml:space="preserve"> (Wainer et al., 2020)</w:t>
      </w:r>
      <w:r w:rsidRPr="002F7A6A">
        <w:t xml:space="preserve">. There is a long history internationally of sex and gender bias in health research (Pinn, 2003; </w:t>
      </w:r>
      <w:proofErr w:type="spellStart"/>
      <w:r w:rsidRPr="002F7A6A">
        <w:t>Plevkova</w:t>
      </w:r>
      <w:proofErr w:type="spellEnd"/>
      <w:r w:rsidRPr="002F7A6A">
        <w:t xml:space="preserve"> et al., 2020). Because the male body was accepted as the standard, data were collected only from men and then extrapolated to women, with adverse effects on women’s health and well-being (</w:t>
      </w:r>
      <w:r w:rsidR="008E3EE9">
        <w:t>Wainer et al., 2020</w:t>
      </w:r>
      <w:r w:rsidRPr="002F7A6A">
        <w:t>). The focus on male bodies (with female bodies as the exception) may be so entrenched that it goes unnoticed by the casual observer.</w:t>
      </w:r>
    </w:p>
    <w:p w14:paraId="2BAB012E" w14:textId="2788B0B0" w:rsidR="00EB2B55" w:rsidRPr="00672DBE" w:rsidRDefault="00EB2B55" w:rsidP="000D7B93">
      <w:pPr>
        <w:jc w:val="both"/>
      </w:pPr>
      <w:r w:rsidRPr="002F7A6A">
        <w:t xml:space="preserve">Against this </w:t>
      </w:r>
      <w:proofErr w:type="gramStart"/>
      <w:r w:rsidRPr="002F7A6A">
        <w:t xml:space="preserve">background, </w:t>
      </w:r>
      <w:r w:rsidR="000A5F8D">
        <w:t>and</w:t>
      </w:r>
      <w:proofErr w:type="gramEnd"/>
      <w:r w:rsidR="000A5F8D">
        <w:t xml:space="preserve"> building on the </w:t>
      </w:r>
      <w:r w:rsidR="000A5F8D" w:rsidRPr="00DE2AD1">
        <w:rPr>
          <w:i/>
        </w:rPr>
        <w:t>National Strategy to Achieve Gender Equality</w:t>
      </w:r>
      <w:r w:rsidR="000A5F8D">
        <w:t xml:space="preserve"> (Department of</w:t>
      </w:r>
      <w:r w:rsidR="00003941">
        <w:t xml:space="preserve"> the</w:t>
      </w:r>
      <w:r w:rsidR="000A5F8D">
        <w:t xml:space="preserve"> Prime Minster and Cabinet, 2024), </w:t>
      </w:r>
      <w:r w:rsidRPr="002F7A6A">
        <w:t xml:space="preserve">this literature review provides evidence upon which robust strategies for reducing sex and gender bias in the Australian health system can be built. </w:t>
      </w:r>
    </w:p>
    <w:p w14:paraId="240D69BB" w14:textId="30BFE0D9" w:rsidR="00EB2B55" w:rsidRPr="00BC1E71" w:rsidRDefault="00EB2B55" w:rsidP="00BC1E71">
      <w:pPr>
        <w:pStyle w:val="Heading2"/>
        <w:numPr>
          <w:ilvl w:val="1"/>
          <w:numId w:val="5"/>
        </w:numPr>
        <w:spacing w:before="0" w:after="160"/>
        <w:rPr>
          <w:rFonts w:asciiTheme="minorHAnsi" w:hAnsiTheme="minorHAnsi" w:cstheme="minorHAnsi"/>
          <w:b/>
          <w:bCs/>
          <w:color w:val="30785B"/>
          <w:sz w:val="24"/>
          <w:szCs w:val="24"/>
        </w:rPr>
      </w:pPr>
      <w:bookmarkStart w:id="82" w:name="_Toc161756584"/>
      <w:bookmarkStart w:id="83" w:name="_Toc161757507"/>
      <w:bookmarkStart w:id="84" w:name="_Toc161763932"/>
      <w:bookmarkStart w:id="85" w:name="_Toc165204987"/>
      <w:bookmarkStart w:id="86" w:name="_Toc168390495"/>
      <w:bookmarkStart w:id="87" w:name="_Toc168390863"/>
      <w:bookmarkStart w:id="88" w:name="_Toc168390929"/>
      <w:bookmarkStart w:id="89" w:name="_Toc168392061"/>
      <w:bookmarkStart w:id="90" w:name="_Toc168392418"/>
      <w:bookmarkStart w:id="91" w:name="_Toc168393591"/>
      <w:bookmarkStart w:id="92" w:name="_Toc168393633"/>
      <w:bookmarkStart w:id="93" w:name="_Toc168394307"/>
      <w:bookmarkStart w:id="94" w:name="_Toc168394445"/>
      <w:r w:rsidRPr="00BC1E71">
        <w:rPr>
          <w:rFonts w:asciiTheme="minorHAnsi" w:hAnsiTheme="minorHAnsi" w:cstheme="minorHAnsi"/>
          <w:b/>
          <w:bCs/>
          <w:color w:val="30785B"/>
          <w:sz w:val="24"/>
          <w:szCs w:val="24"/>
        </w:rPr>
        <w:t>Definitions of Sex and Gender</w:t>
      </w:r>
      <w:bookmarkEnd w:id="82"/>
      <w:bookmarkEnd w:id="83"/>
      <w:bookmarkEnd w:id="84"/>
      <w:bookmarkEnd w:id="85"/>
      <w:bookmarkEnd w:id="86"/>
      <w:bookmarkEnd w:id="87"/>
      <w:bookmarkEnd w:id="88"/>
      <w:bookmarkEnd w:id="89"/>
      <w:bookmarkEnd w:id="90"/>
      <w:bookmarkEnd w:id="91"/>
      <w:bookmarkEnd w:id="92"/>
      <w:bookmarkEnd w:id="93"/>
      <w:bookmarkEnd w:id="94"/>
    </w:p>
    <w:p w14:paraId="319DE142" w14:textId="549E8E86" w:rsidR="00EB2B55" w:rsidRPr="00672DBE" w:rsidRDefault="00EB2B55" w:rsidP="003414BB">
      <w:pPr>
        <w:jc w:val="both"/>
      </w:pPr>
      <w:r w:rsidRPr="00672DBE">
        <w:t>The terms “sex” and</w:t>
      </w:r>
      <w:r w:rsidR="00514B99">
        <w:t xml:space="preserve">” </w:t>
      </w:r>
      <w:r w:rsidRPr="00672DBE">
        <w:t xml:space="preserve">gender” are often used interchangeably. </w:t>
      </w:r>
      <w:r w:rsidR="00B72146">
        <w:t>P</w:t>
      </w:r>
      <w:r w:rsidRPr="00672DBE">
        <w:t xml:space="preserve">eople, including researchers, resort to “gender”, among other reasons, because </w:t>
      </w:r>
      <w:r w:rsidR="002215AA">
        <w:t>“</w:t>
      </w:r>
      <w:r w:rsidRPr="00672DBE">
        <w:t>sex</w:t>
      </w:r>
      <w:r w:rsidR="002215AA">
        <w:t>”</w:t>
      </w:r>
      <w:r w:rsidRPr="00672DBE">
        <w:t xml:space="preserve"> is frequently employed as a shorthand for </w:t>
      </w:r>
      <w:r w:rsidR="002215AA">
        <w:t>“</w:t>
      </w:r>
      <w:r w:rsidRPr="00672DBE">
        <w:t>sexual activity</w:t>
      </w:r>
      <w:r w:rsidR="002215AA">
        <w:t>”</w:t>
      </w:r>
      <w:r w:rsidRPr="00672DBE">
        <w:t xml:space="preserve"> in public discourse. However, health research and the policies it informs rely on careful use of language and its connotations. For example, drug therapies can be dependent on accurate attributions of sex—as fundamentally biological—and the associated hormones. Holistic health care needs to respond to gender—a person’s psychosocial identity construct—</w:t>
      </w:r>
      <w:proofErr w:type="gramStart"/>
      <w:r w:rsidRPr="00672DBE">
        <w:t>in order to</w:t>
      </w:r>
      <w:proofErr w:type="gramEnd"/>
      <w:r w:rsidRPr="00672DBE">
        <w:t xml:space="preserve"> </w:t>
      </w:r>
      <w:r w:rsidR="001524E5" w:rsidRPr="00672DBE">
        <w:t>address</w:t>
      </w:r>
      <w:r w:rsidRPr="00672DBE">
        <w:t xml:space="preserve"> the social determinants of health. Gender can influence, for example,</w:t>
      </w:r>
      <w:r w:rsidR="00E242C7">
        <w:t xml:space="preserve"> </w:t>
      </w:r>
      <w:r w:rsidR="00365A2A">
        <w:t xml:space="preserve">risks </w:t>
      </w:r>
      <w:r w:rsidR="00D32CA6">
        <w:t xml:space="preserve">to health </w:t>
      </w:r>
      <w:r w:rsidR="00365A2A">
        <w:t xml:space="preserve">from </w:t>
      </w:r>
      <w:r w:rsidR="00E242C7">
        <w:t>intimate partner violence</w:t>
      </w:r>
      <w:r w:rsidR="00E242C7" w:rsidRPr="00672DBE">
        <w:t xml:space="preserve"> </w:t>
      </w:r>
      <w:r w:rsidR="00365A2A">
        <w:t>and</w:t>
      </w:r>
      <w:r w:rsidR="00D32CA6">
        <w:t xml:space="preserve"> </w:t>
      </w:r>
      <w:r w:rsidR="00E242C7">
        <w:t>the burden of unpaid work, and</w:t>
      </w:r>
      <w:r w:rsidRPr="00672DBE">
        <w:t xml:space="preserve"> how people are able to adhere to health regimens. Careless use of </w:t>
      </w:r>
      <w:r w:rsidR="002215AA">
        <w:t>“</w:t>
      </w:r>
      <w:r w:rsidRPr="00672DBE">
        <w:t>sex</w:t>
      </w:r>
      <w:r w:rsidR="002215AA">
        <w:t>”</w:t>
      </w:r>
      <w:r w:rsidRPr="00672DBE">
        <w:t xml:space="preserve"> and “gender” can obscure the components of health care that are most relevant </w:t>
      </w:r>
      <w:r w:rsidRPr="00672DBE">
        <w:lastRenderedPageBreak/>
        <w:t xml:space="preserve">to the matter being investigated. This has been comprehensively summarised by The Sex and Gender Sensitive Research Call to Action Group </w:t>
      </w:r>
      <w:r w:rsidRPr="002F7A6A">
        <w:t>(</w:t>
      </w:r>
      <w:r w:rsidR="00E87B40" w:rsidRPr="002F7A6A">
        <w:t>Wainer</w:t>
      </w:r>
      <w:r w:rsidRPr="002F7A6A">
        <w:t xml:space="preserve"> et al., 2020</w:t>
      </w:r>
      <w:r w:rsidR="00E87B40" w:rsidRPr="00672DBE">
        <w:t xml:space="preserve">, </w:t>
      </w:r>
      <w:r w:rsidRPr="002F7A6A">
        <w:t>page 1)</w:t>
      </w:r>
      <w:r w:rsidRPr="00672DBE">
        <w:t>:</w:t>
      </w:r>
    </w:p>
    <w:p w14:paraId="10D76EE8" w14:textId="77777777" w:rsidR="00EB2B55" w:rsidRPr="00672DBE" w:rsidRDefault="00EB2B55" w:rsidP="003414BB">
      <w:pPr>
        <w:ind w:left="426" w:right="521"/>
        <w:jc w:val="both"/>
      </w:pPr>
      <w:r w:rsidRPr="00672DBE">
        <w:t xml:space="preserve">The mechanisms underlying sex and gender differences will include epigenetic, genetic, endocrine, environmental, social, economic and behavioural factors. Hence, ignoring sex and gender differences … has the potential to compromise the accuracy of science, result in detrimental health outcomes, increase health costs, and have implications beyond health, including social services and aged care. </w:t>
      </w:r>
    </w:p>
    <w:p w14:paraId="33C66A29" w14:textId="556EE974" w:rsidR="00EB2B55" w:rsidRPr="00672DBE" w:rsidRDefault="00EB2B55" w:rsidP="003414BB">
      <w:pPr>
        <w:jc w:val="both"/>
      </w:pPr>
      <w:r w:rsidRPr="00672DBE">
        <w:t>The practical recommendations made by Clayton and Tannenbaum (2016) are useful both for defining the terms “sex” and “gender” and applying them to research (</w:t>
      </w:r>
      <w:proofErr w:type="gramStart"/>
      <w:r w:rsidRPr="00672DBE">
        <w:t>and,</w:t>
      </w:r>
      <w:proofErr w:type="gramEnd"/>
      <w:r w:rsidRPr="00672DBE">
        <w:t xml:space="preserve"> we add, to clinical discourse):</w:t>
      </w:r>
    </w:p>
    <w:p w14:paraId="5DE3835B" w14:textId="77777777" w:rsidR="00EB2B55" w:rsidRPr="00672DBE" w:rsidRDefault="00EB2B55" w:rsidP="003414BB">
      <w:pPr>
        <w:ind w:left="426" w:right="379"/>
        <w:jc w:val="both"/>
      </w:pPr>
      <w:r w:rsidRPr="00672DBE">
        <w:t>1) use the terms sex when reporting biological factors and gender when reporting gender identity or psychosocial or cultural factors; (2) disaggregate demographic and all outcome data by sex, gender, or both; (3) report the methods used to obtain information on sex, gender, or both; and (4) note all limitations of these methods.</w:t>
      </w:r>
    </w:p>
    <w:p w14:paraId="7C331970" w14:textId="59C76216" w:rsidR="00EB2B55" w:rsidRPr="00672DBE" w:rsidRDefault="00EB2B55" w:rsidP="003414BB">
      <w:pPr>
        <w:jc w:val="both"/>
      </w:pPr>
      <w:r w:rsidRPr="00672DBE">
        <w:t xml:space="preserve">It is this basic distinction—sex = biology, gender = psychosocial and cultural—that we have applied in assessing the documents contributing to this report. </w:t>
      </w:r>
    </w:p>
    <w:p w14:paraId="4F63E6A8" w14:textId="0BEFA699" w:rsidR="00EB2B55" w:rsidRPr="00672DBE" w:rsidRDefault="00EB2B55" w:rsidP="003414BB">
      <w:pPr>
        <w:jc w:val="both"/>
      </w:pPr>
      <w:r w:rsidRPr="00672DBE">
        <w:t xml:space="preserve">Nevertheless, this approach is anchored in binaries, which is limited in several ways. One is that a person’s sex and gender are interrelated. At the most fundamental—even simplistic—level, gender is constructed around the physical body. This is not justification for treating the words </w:t>
      </w:r>
      <w:r w:rsidR="002215AA">
        <w:t>“</w:t>
      </w:r>
      <w:r w:rsidRPr="00672DBE">
        <w:t>sex</w:t>
      </w:r>
      <w:r w:rsidR="002215AA">
        <w:t>”</w:t>
      </w:r>
      <w:r w:rsidRPr="00672DBE">
        <w:t xml:space="preserve"> and </w:t>
      </w:r>
      <w:r w:rsidR="002215AA">
        <w:t>“</w:t>
      </w:r>
      <w:r w:rsidRPr="00672DBE">
        <w:t>gender</w:t>
      </w:r>
      <w:r w:rsidR="002215AA">
        <w:t>”</w:t>
      </w:r>
      <w:r w:rsidRPr="00672DBE">
        <w:t xml:space="preserve"> as interchangeable but a reason for attempting to untangle sex and gender and the role they play in health and health care. Further, the binary approach assumes that the world’s population consists of women and men who have maintained the sex assigned to them at birth as well as the associated gender.</w:t>
      </w:r>
    </w:p>
    <w:p w14:paraId="4694965E" w14:textId="04EE9238" w:rsidR="00EB2B55" w:rsidRPr="00672DBE" w:rsidRDefault="00EB2B55" w:rsidP="003414BB">
      <w:pPr>
        <w:jc w:val="both"/>
      </w:pPr>
      <w:r w:rsidRPr="00672DBE">
        <w:t xml:space="preserve">We acknowledge that research in health and health care frequently accommodates only the binaries of women and men, female and male. This might be because the numbers of people who do not fit these binaries are too small </w:t>
      </w:r>
      <w:r w:rsidR="007D4053" w:rsidRPr="00672DBE">
        <w:t xml:space="preserve">to establish </w:t>
      </w:r>
      <w:r w:rsidRPr="00672DBE">
        <w:t>statistical significance</w:t>
      </w:r>
      <w:r w:rsidR="006C63F2" w:rsidRPr="00672DBE">
        <w:t xml:space="preserve"> </w:t>
      </w:r>
      <w:r w:rsidR="001B0967">
        <w:t>in</w:t>
      </w:r>
      <w:r w:rsidR="006C63F2" w:rsidRPr="00672DBE">
        <w:t xml:space="preserve"> between-group </w:t>
      </w:r>
      <w:r w:rsidR="001B0967">
        <w:t>comparisons</w:t>
      </w:r>
      <w:r w:rsidRPr="00672DBE">
        <w:t xml:space="preserve">, or perhaps because researchers are relying on databases built only on binaries. This binary-limited work can make important contributions to our understanding of discrimination against women and girls in health care and the understanding of health more generally. </w:t>
      </w:r>
    </w:p>
    <w:p w14:paraId="7D4758C6" w14:textId="77777777" w:rsidR="00EB2B55" w:rsidRPr="00672DBE" w:rsidRDefault="00EB2B55" w:rsidP="003414BB">
      <w:pPr>
        <w:jc w:val="both"/>
      </w:pPr>
      <w:r w:rsidRPr="00672DBE">
        <w:t>However, as awareness grows of the needs of people who do not fit these binaries, it is becoming less acceptable to ignore them. Sex and gender discrimination also has adverse effects on people who are intersex and people who are transgender or who identify as nonbinary.</w:t>
      </w:r>
    </w:p>
    <w:p w14:paraId="3525A003" w14:textId="77777777" w:rsidR="00EB2B55" w:rsidRPr="00672DBE" w:rsidRDefault="00EB2B55" w:rsidP="003414BB">
      <w:pPr>
        <w:jc w:val="both"/>
      </w:pPr>
      <w:r w:rsidRPr="00672DBE">
        <w:t xml:space="preserve">We therefore extend the definitions of sex and </w:t>
      </w:r>
      <w:proofErr w:type="gramStart"/>
      <w:r w:rsidRPr="00672DBE">
        <w:t>gender</w:t>
      </w:r>
      <w:proofErr w:type="gramEnd"/>
      <w:r w:rsidRPr="00672DBE">
        <w:t xml:space="preserve"> accordingly, drawing on the work of The Sex and Gender Sensitive Research Call to Action Group (</w:t>
      </w:r>
      <w:r w:rsidR="00C61BE1" w:rsidRPr="00672DBE">
        <w:t xml:space="preserve">Wainer et al., </w:t>
      </w:r>
      <w:r w:rsidRPr="00672DBE">
        <w:t>2020, page 1):</w:t>
      </w:r>
    </w:p>
    <w:p w14:paraId="7F786522" w14:textId="77777777" w:rsidR="00EB2B55" w:rsidRPr="00672DBE" w:rsidRDefault="00EB2B55" w:rsidP="003414BB">
      <w:pPr>
        <w:ind w:left="567" w:right="567"/>
        <w:jc w:val="both"/>
      </w:pPr>
      <w:r w:rsidRPr="00672DBE">
        <w:t>Sex refers to the biological and physiological characteristics that define humans (and other species) as male, female or intersex, based on chromosomal complement. Gender references roles, behaviour and activities that a given society, at a given time, considers appropriate for men, women and gender diverse persons.</w:t>
      </w:r>
    </w:p>
    <w:p w14:paraId="72C4C542" w14:textId="290A17BD" w:rsidR="00EB2B55" w:rsidRPr="002F7A6A" w:rsidRDefault="00EB2B55" w:rsidP="003414BB">
      <w:pPr>
        <w:jc w:val="both"/>
      </w:pPr>
      <w:r w:rsidRPr="00672DBE">
        <w:t>Although the more basic definition may need to be used to assess most published work to date, this more subtle appreciation of sex and gender is understood throughout this report to be the goal to which researchers and healthcare providers aspire.</w:t>
      </w:r>
    </w:p>
    <w:p w14:paraId="356E548F" w14:textId="54611DA6" w:rsidR="00EB2B55" w:rsidRPr="00BC1E71" w:rsidRDefault="00EB2B55" w:rsidP="003414BB">
      <w:pPr>
        <w:pStyle w:val="Heading2"/>
        <w:numPr>
          <w:ilvl w:val="1"/>
          <w:numId w:val="5"/>
        </w:numPr>
        <w:spacing w:before="0" w:after="160"/>
        <w:rPr>
          <w:rFonts w:asciiTheme="minorHAnsi" w:hAnsiTheme="minorHAnsi" w:cstheme="minorHAnsi"/>
          <w:b/>
          <w:bCs/>
          <w:color w:val="30785B"/>
          <w:sz w:val="24"/>
          <w:szCs w:val="24"/>
        </w:rPr>
      </w:pPr>
      <w:bookmarkStart w:id="95" w:name="_Toc161756585"/>
      <w:bookmarkStart w:id="96" w:name="_Toc161757508"/>
      <w:bookmarkStart w:id="97" w:name="_Toc161763933"/>
      <w:bookmarkStart w:id="98" w:name="_Toc165204988"/>
      <w:bookmarkStart w:id="99" w:name="_Toc168390496"/>
      <w:bookmarkStart w:id="100" w:name="_Toc168390864"/>
      <w:bookmarkStart w:id="101" w:name="_Toc168390930"/>
      <w:bookmarkStart w:id="102" w:name="_Toc168392062"/>
      <w:bookmarkStart w:id="103" w:name="_Toc168392419"/>
      <w:bookmarkStart w:id="104" w:name="_Toc168393592"/>
      <w:bookmarkStart w:id="105" w:name="_Toc168393634"/>
      <w:bookmarkStart w:id="106" w:name="_Toc168394308"/>
      <w:bookmarkStart w:id="107" w:name="_Toc168394446"/>
      <w:r w:rsidRPr="00BC1E71">
        <w:rPr>
          <w:rFonts w:asciiTheme="minorHAnsi" w:hAnsiTheme="minorHAnsi" w:cstheme="minorHAnsi"/>
          <w:b/>
          <w:bCs/>
          <w:color w:val="30785B"/>
          <w:sz w:val="24"/>
          <w:szCs w:val="24"/>
        </w:rPr>
        <w:lastRenderedPageBreak/>
        <w:t>Gender Inequality, Disparities, and Bias in Health Care</w:t>
      </w:r>
      <w:bookmarkEnd w:id="95"/>
      <w:bookmarkEnd w:id="96"/>
      <w:bookmarkEnd w:id="97"/>
      <w:bookmarkEnd w:id="98"/>
      <w:bookmarkEnd w:id="99"/>
      <w:bookmarkEnd w:id="100"/>
      <w:bookmarkEnd w:id="101"/>
      <w:bookmarkEnd w:id="102"/>
      <w:bookmarkEnd w:id="103"/>
      <w:bookmarkEnd w:id="104"/>
      <w:bookmarkEnd w:id="105"/>
      <w:bookmarkEnd w:id="106"/>
      <w:bookmarkEnd w:id="107"/>
    </w:p>
    <w:p w14:paraId="64AEC738" w14:textId="76161FFA" w:rsidR="00EB2B55" w:rsidRPr="00672DBE" w:rsidRDefault="00EB2B55" w:rsidP="003414BB">
      <w:pPr>
        <w:jc w:val="both"/>
      </w:pPr>
      <w:r w:rsidRPr="00672DBE">
        <w:t xml:space="preserve">It is important to distinguish equity and equality. Equity refers to ensuring equal outcomes rather than giving everyone the same services and care no matter their needs or circumstances; the latter would constitute equality </w:t>
      </w:r>
      <w:r w:rsidRPr="002F7A6A">
        <w:t>(Australian Human Rights Commission)</w:t>
      </w:r>
      <w:r w:rsidRPr="00672DBE">
        <w:rPr>
          <w:rStyle w:val="FootnoteReference"/>
        </w:rPr>
        <w:footnoteReference w:id="1"/>
      </w:r>
      <w:r w:rsidRPr="00672DBE">
        <w:t xml:space="preserve">. Gender inequity in health refers to the unfair, unnecessary, and preventable provision of inadequate health care that fails to take account of the differences between women and men in their state of health, </w:t>
      </w:r>
      <w:r w:rsidR="00E242C7">
        <w:t xml:space="preserve">risks to </w:t>
      </w:r>
      <w:r w:rsidRPr="00672DBE">
        <w:t xml:space="preserve">health, and participation in health work. Gender equity strategies are designed to achieve equality in health outcomes </w:t>
      </w:r>
      <w:r w:rsidRPr="002F7A6A">
        <w:t>(PAHO)</w:t>
      </w:r>
      <w:r w:rsidRPr="00672DBE">
        <w:rPr>
          <w:rStyle w:val="FootnoteReference"/>
        </w:rPr>
        <w:footnoteReference w:id="2"/>
      </w:r>
      <w:r w:rsidRPr="00672DBE">
        <w:t xml:space="preserve">. </w:t>
      </w:r>
    </w:p>
    <w:p w14:paraId="201D94F3" w14:textId="09D2C6E8" w:rsidR="00EB2B55" w:rsidRPr="00672DBE" w:rsidRDefault="00B11DCE" w:rsidP="003414BB">
      <w:pPr>
        <w:jc w:val="both"/>
      </w:pPr>
      <w:r>
        <w:t>Gendered power relations (usually with men having the advantage of power)</w:t>
      </w:r>
      <w:r w:rsidR="00EB2B55" w:rsidRPr="00672DBE">
        <w:t xml:space="preserve"> constitute the root causes of gender inequity and are among the most influential of the social determinants of health </w:t>
      </w:r>
      <w:r w:rsidR="00EB2B55" w:rsidRPr="002F7A6A">
        <w:t xml:space="preserve">(Sen &amp; </w:t>
      </w:r>
      <w:proofErr w:type="spellStart"/>
      <w:r w:rsidR="00EB2B55" w:rsidRPr="002F7A6A">
        <w:t>Ostlin</w:t>
      </w:r>
      <w:proofErr w:type="spellEnd"/>
      <w:r w:rsidR="00EB2B55" w:rsidRPr="002F7A6A">
        <w:t>, 2008</w:t>
      </w:r>
      <w:r w:rsidRPr="002F7A6A">
        <w:t>)</w:t>
      </w:r>
      <w:r>
        <w:t>. This power imbalance</w:t>
      </w:r>
      <w:r w:rsidRPr="00672DBE">
        <w:t xml:space="preserve"> </w:t>
      </w:r>
      <w:r w:rsidR="00EB2B55" w:rsidRPr="00672DBE">
        <w:t>contribut</w:t>
      </w:r>
      <w:r>
        <w:t>es</w:t>
      </w:r>
      <w:r w:rsidR="00EB2B55" w:rsidRPr="00672DBE">
        <w:t xml:space="preserve"> to excess female morbidity across the life cycle </w:t>
      </w:r>
      <w:r w:rsidR="00EB2B55" w:rsidRPr="002F7A6A">
        <w:t>(United States Agency for International Development)</w:t>
      </w:r>
      <w:r w:rsidR="00EB2B55" w:rsidRPr="00672DBE">
        <w:rPr>
          <w:rStyle w:val="FootnoteReference"/>
        </w:rPr>
        <w:footnoteReference w:id="3"/>
      </w:r>
      <w:r w:rsidR="00EB2B55" w:rsidRPr="00672DBE">
        <w:t xml:space="preserve">. Gender inequity and discrimination experienced by women and girls put their health and well-being at risk </w:t>
      </w:r>
      <w:r w:rsidR="00EB2B55" w:rsidRPr="002F7A6A">
        <w:t>(World Health Organization)</w:t>
      </w:r>
      <w:r w:rsidR="00EB2B55" w:rsidRPr="00672DBE">
        <w:rPr>
          <w:rStyle w:val="FootnoteReference"/>
        </w:rPr>
        <w:footnoteReference w:id="4"/>
      </w:r>
      <w:r w:rsidR="00EB2B55" w:rsidRPr="00672DBE">
        <w:t>. Women and girls often face greater barriers than men and boys in access to health information and services. These barriers include restrictions on mobility, lack of access to decision-making power, lower literacy rates, discriminatory attitudes of communities and healthcare providers, and healthcare providers’ lack of training and awareness of the specific health needs and challenges of women and girls</w:t>
      </w:r>
      <w:r w:rsidR="00FF2919" w:rsidRPr="00EA3291">
        <w:t>, such as disproportionate experiences of violence</w:t>
      </w:r>
      <w:r w:rsidR="00EB2B55" w:rsidRPr="00672DBE">
        <w:t xml:space="preserve"> </w:t>
      </w:r>
      <w:r w:rsidR="00EB2B55" w:rsidRPr="002F7A6A">
        <w:t>(World Health Organization)</w:t>
      </w:r>
      <w:r w:rsidR="00EB2B55" w:rsidRPr="00672DBE">
        <w:rPr>
          <w:rStyle w:val="FootnoteReference"/>
        </w:rPr>
        <w:footnoteReference w:id="5"/>
      </w:r>
      <w:r w:rsidR="00EB2B55" w:rsidRPr="00672DBE">
        <w:t xml:space="preserve">. </w:t>
      </w:r>
    </w:p>
    <w:p w14:paraId="29E7ED72" w14:textId="77777777" w:rsidR="00EB2B55" w:rsidRPr="00672DBE" w:rsidRDefault="00EB2B55" w:rsidP="003414BB">
      <w:pPr>
        <w:jc w:val="both"/>
      </w:pPr>
      <w:r w:rsidRPr="00672DBE">
        <w:t xml:space="preserve">Gender bias refers to any practice or set of beliefs that favours people of one gender over those of other genders. Traditionally, gender bias favours men and boys, putting them in superior positions over women and girls domestically and socially </w:t>
      </w:r>
      <w:r w:rsidRPr="002F7A6A">
        <w:t>(</w:t>
      </w:r>
      <w:proofErr w:type="spellStart"/>
      <w:r w:rsidRPr="002F7A6A">
        <w:t>Meidert</w:t>
      </w:r>
      <w:proofErr w:type="spellEnd"/>
      <w:r w:rsidRPr="002F7A6A">
        <w:t xml:space="preserve"> et al., 2023)</w:t>
      </w:r>
      <w:r w:rsidRPr="00672DBE">
        <w:t xml:space="preserve">. Although explicit biases are easily recognised and challenged, implicit or unconscious bias, based on pervasive stereotypes, can be insidious and difficult to identify, resulting in discrimination that reinforces inequity </w:t>
      </w:r>
      <w:r w:rsidRPr="002F7A6A">
        <w:t>(FitzGerald &amp; Hurst, 2017)</w:t>
      </w:r>
      <w:r w:rsidRPr="00672DBE">
        <w:t xml:space="preserve">. </w:t>
      </w:r>
    </w:p>
    <w:p w14:paraId="418CE69C" w14:textId="73D3EF97" w:rsidR="00EB2B55" w:rsidRPr="00672DBE" w:rsidRDefault="00EB2B55" w:rsidP="003414BB">
      <w:pPr>
        <w:jc w:val="both"/>
      </w:pPr>
      <w:r w:rsidRPr="00672DBE">
        <w:t xml:space="preserve">Gender bias in medicine is defined as clinically unjustified differences in diagnosis and treatment of </w:t>
      </w:r>
      <w:r w:rsidR="0003422A">
        <w:t>women</w:t>
      </w:r>
      <w:r w:rsidR="0003422A" w:rsidRPr="00672DBE">
        <w:t xml:space="preserve"> </w:t>
      </w:r>
      <w:r w:rsidRPr="00672DBE">
        <w:t xml:space="preserve">and </w:t>
      </w:r>
      <w:r w:rsidR="0003422A">
        <w:t>men</w:t>
      </w:r>
      <w:r w:rsidRPr="00672DBE">
        <w:t xml:space="preserve">; there is evidence that women experience greater adverse discrimination </w:t>
      </w:r>
      <w:r w:rsidRPr="002F7A6A">
        <w:t>(</w:t>
      </w:r>
      <w:proofErr w:type="spellStart"/>
      <w:r w:rsidRPr="002F7A6A">
        <w:t>Łyszczarz</w:t>
      </w:r>
      <w:proofErr w:type="spellEnd"/>
      <w:r w:rsidRPr="002F7A6A">
        <w:t>, 2017)</w:t>
      </w:r>
      <w:r w:rsidRPr="00672DBE">
        <w:t xml:space="preserve">. </w:t>
      </w:r>
      <w:r w:rsidR="0003422A">
        <w:t>Biases</w:t>
      </w:r>
      <w:r w:rsidRPr="00672DBE">
        <w:t xml:space="preserve"> in medicine include differences in the way that women and men perceive and report their illnesses and symptoms, misjudgement of a woman’s health risk, misperception of risks and benefits of </w:t>
      </w:r>
      <w:proofErr w:type="gramStart"/>
      <w:r w:rsidRPr="00672DBE">
        <w:t>particular medical</w:t>
      </w:r>
      <w:proofErr w:type="gramEnd"/>
      <w:r w:rsidRPr="00672DBE">
        <w:t xml:space="preserve"> procedures, subconscious prejudice and explicit discrimination against women, and cultural biases </w:t>
      </w:r>
      <w:r w:rsidRPr="002F7A6A">
        <w:t>(</w:t>
      </w:r>
      <w:proofErr w:type="spellStart"/>
      <w:r w:rsidRPr="002F7A6A">
        <w:t>Asiskovitch</w:t>
      </w:r>
      <w:proofErr w:type="spellEnd"/>
      <w:r w:rsidRPr="002F7A6A">
        <w:t>, 2010)</w:t>
      </w:r>
      <w:r w:rsidRPr="00672DBE">
        <w:t>. Consequently, gender bias in medicine results in inequit</w:t>
      </w:r>
      <w:r w:rsidR="0003422A">
        <w:t>able</w:t>
      </w:r>
      <w:r w:rsidRPr="00672DBE">
        <w:t xml:space="preserve"> access to and utilisation of health services, leading to probable differences in </w:t>
      </w:r>
      <w:r w:rsidR="0003422A">
        <w:t>wo</w:t>
      </w:r>
      <w:r w:rsidR="00700AD8" w:rsidRPr="00672DBE">
        <w:t>men</w:t>
      </w:r>
      <w:r w:rsidR="00700AD8">
        <w:t>’</w:t>
      </w:r>
      <w:r w:rsidR="00700AD8" w:rsidRPr="00672DBE">
        <w:t xml:space="preserve">s </w:t>
      </w:r>
      <w:r w:rsidRPr="00672DBE">
        <w:t xml:space="preserve">and men's health responsiveness to medical care </w:t>
      </w:r>
      <w:r w:rsidRPr="002F7A6A">
        <w:t>(</w:t>
      </w:r>
      <w:proofErr w:type="spellStart"/>
      <w:r w:rsidRPr="002F7A6A">
        <w:t>Łyszczarz</w:t>
      </w:r>
      <w:proofErr w:type="spellEnd"/>
      <w:r w:rsidRPr="002F7A6A">
        <w:t>, 2017)</w:t>
      </w:r>
      <w:r w:rsidRPr="00672DBE">
        <w:t>.</w:t>
      </w:r>
    </w:p>
    <w:p w14:paraId="5577D15A" w14:textId="133AA7ED" w:rsidR="00EB2B55" w:rsidRPr="00672DBE" w:rsidRDefault="00EB2B55" w:rsidP="003414BB">
      <w:pPr>
        <w:jc w:val="both"/>
      </w:pPr>
      <w:r w:rsidRPr="00412728">
        <w:t xml:space="preserve">Gender inequity and restrictive gender norms </w:t>
      </w:r>
      <w:r w:rsidR="006B1E69">
        <w:t xml:space="preserve">or stereotypes </w:t>
      </w:r>
      <w:r w:rsidRPr="00412728">
        <w:t>are closely interrelated. Gender</w:t>
      </w:r>
      <w:r w:rsidRPr="00672DBE">
        <w:t xml:space="preserve"> norms are collectively held ideas and beliefs about how women and men should be and act </w:t>
      </w:r>
      <w:r w:rsidRPr="002F7A6A">
        <w:t>(Heise &amp; Manji, 2016)</w:t>
      </w:r>
      <w:r w:rsidRPr="00672DBE">
        <w:t xml:space="preserve">, usually based on sex and gender binaries. These norms include unspoken rules that govern the attributes and behaviours that are valued and considered acceptable for women and men </w:t>
      </w:r>
      <w:r w:rsidRPr="002F7A6A">
        <w:t>(Heise et al., 2019)</w:t>
      </w:r>
      <w:r w:rsidRPr="00672DBE">
        <w:t xml:space="preserve">. </w:t>
      </w:r>
      <w:r w:rsidR="00412728">
        <w:t>Adverse consequences for health and wellbeing</w:t>
      </w:r>
      <w:r w:rsidR="00412728" w:rsidRPr="00412728">
        <w:t xml:space="preserve"> </w:t>
      </w:r>
      <w:r w:rsidR="00412728">
        <w:t>arising</w:t>
      </w:r>
      <w:r w:rsidR="00412728" w:rsidRPr="00412728">
        <w:t xml:space="preserve"> from gender inequity </w:t>
      </w:r>
      <w:r w:rsidR="00412728">
        <w:t>are experienced particularly by</w:t>
      </w:r>
      <w:r w:rsidR="00412728" w:rsidRPr="00412728">
        <w:t xml:space="preserve"> women</w:t>
      </w:r>
      <w:r w:rsidR="00412728">
        <w:t xml:space="preserve"> and girls, whose health could benefit from the modification of</w:t>
      </w:r>
      <w:r w:rsidR="00412728" w:rsidRPr="00412728">
        <w:t xml:space="preserve"> gender norms</w:t>
      </w:r>
      <w:r w:rsidR="00412728">
        <w:t xml:space="preserve"> </w:t>
      </w:r>
      <w:r w:rsidR="00412728" w:rsidRPr="00412728">
        <w:t xml:space="preserve">(Fisher &amp; </w:t>
      </w:r>
      <w:proofErr w:type="spellStart"/>
      <w:r w:rsidR="00412728" w:rsidRPr="00412728">
        <w:t>Makleff</w:t>
      </w:r>
      <w:proofErr w:type="spellEnd"/>
      <w:r w:rsidR="00412728" w:rsidRPr="00412728">
        <w:t xml:space="preserve">, 2022). </w:t>
      </w:r>
      <w:r w:rsidRPr="00672DBE">
        <w:t>People with diverse gender identities who</w:t>
      </w:r>
      <w:r w:rsidR="00700AD8">
        <w:t>,</w:t>
      </w:r>
      <w:r w:rsidRPr="00672DBE">
        <w:t xml:space="preserve"> by definition</w:t>
      </w:r>
      <w:r w:rsidR="00700AD8">
        <w:t>,</w:t>
      </w:r>
      <w:r w:rsidRPr="00672DBE">
        <w:t xml:space="preserve"> do not fit the binary gender norms, confront violence, stigma, and discrimination, including in healthcare </w:t>
      </w:r>
      <w:r w:rsidRPr="00672DBE">
        <w:lastRenderedPageBreak/>
        <w:t xml:space="preserve">settings. Consequently, they are at a higher risk of HIV, chronic health conditions, and mental health problems such as suicide. Although the most obvious disadvantages of rigid gender norms are evident in gender minorities and women, such restrictions adversely affect everyone by failing to account for individual differences and preferences. </w:t>
      </w:r>
    </w:p>
    <w:p w14:paraId="40D1DC0F" w14:textId="0E057A6D" w:rsidR="00EB2B55" w:rsidRPr="00672DBE" w:rsidRDefault="00EB2B55" w:rsidP="000D7B93">
      <w:pPr>
        <w:jc w:val="both"/>
      </w:pPr>
      <w:r w:rsidRPr="00672DBE">
        <w:t xml:space="preserve">The long history of entrenched </w:t>
      </w:r>
      <w:r w:rsidR="0045229C">
        <w:t xml:space="preserve">sex and </w:t>
      </w:r>
      <w:r w:rsidRPr="00672DBE">
        <w:t xml:space="preserve">gender norms has inevitably led to bias in the collection of scientific and medical data. </w:t>
      </w:r>
      <w:r w:rsidR="006B4C35" w:rsidRPr="00672DBE">
        <w:t>According to Lego (2023), t</w:t>
      </w:r>
      <w:r w:rsidR="003414BB" w:rsidRPr="00672DBE">
        <w:t xml:space="preserve">he bias is </w:t>
      </w:r>
      <w:r w:rsidR="006B4C35" w:rsidRPr="00672DBE">
        <w:t>seen</w:t>
      </w:r>
      <w:r w:rsidR="003414BB" w:rsidRPr="00672DBE">
        <w:t xml:space="preserve"> in</w:t>
      </w:r>
      <w:r w:rsidRPr="00672DBE">
        <w:t xml:space="preserve"> missing or incomplete evidence</w:t>
      </w:r>
      <w:r w:rsidR="006B4C35" w:rsidRPr="00672DBE">
        <w:t xml:space="preserve"> from clinical trials</w:t>
      </w:r>
      <w:r w:rsidRPr="00672DBE">
        <w:t xml:space="preserve"> for diseases that disproportionately </w:t>
      </w:r>
      <w:r w:rsidR="006B4C35" w:rsidRPr="00672DBE">
        <w:t>affect women,</w:t>
      </w:r>
      <w:r w:rsidRPr="00672DBE">
        <w:t xml:space="preserve"> and</w:t>
      </w:r>
      <w:r w:rsidR="006B4C35" w:rsidRPr="00672DBE">
        <w:t xml:space="preserve"> in</w:t>
      </w:r>
      <w:r w:rsidRPr="00672DBE">
        <w:t xml:space="preserve"> </w:t>
      </w:r>
      <w:r w:rsidR="006B4C35" w:rsidRPr="00672DBE">
        <w:t>the interpretation and application of</w:t>
      </w:r>
      <w:r w:rsidRPr="00672DBE">
        <w:t xml:space="preserve"> existing evidence </w:t>
      </w:r>
      <w:r w:rsidR="006B4C35" w:rsidRPr="00672DBE">
        <w:t>in relation only to men’s symptoms</w:t>
      </w:r>
      <w:r w:rsidRPr="00672DBE">
        <w:t xml:space="preserve">. As Nicollette (2000) and others have argued, the </w:t>
      </w:r>
      <w:r w:rsidR="0045229C">
        <w:t xml:space="preserve">sex and </w:t>
      </w:r>
      <w:r w:rsidRPr="00672DBE">
        <w:t xml:space="preserve">gender data gap </w:t>
      </w:r>
      <w:proofErr w:type="gramStart"/>
      <w:r w:rsidRPr="00672DBE">
        <w:t>is</w:t>
      </w:r>
      <w:proofErr w:type="gramEnd"/>
      <w:r w:rsidRPr="00672DBE">
        <w:t xml:space="preserve"> a consequence of the historical assumption that the male (usually Caucasian) body is the norm or standard; the female body is the exception or deviant. Female participants have long been underrepresented not only in medical education but also in basic and clinical research </w:t>
      </w:r>
      <w:r w:rsidRPr="002F7A6A">
        <w:t>(Antequera et al., 2022)</w:t>
      </w:r>
      <w:r w:rsidRPr="00672DBE">
        <w:t xml:space="preserve">. One paternalistic explanation for including only men in research is that it safeguards women and children from the risks inherent in research and clinical trials </w:t>
      </w:r>
      <w:r w:rsidRPr="002F7A6A">
        <w:t>(Heise et al., 2019).</w:t>
      </w:r>
      <w:r w:rsidRPr="00672DBE">
        <w:t xml:space="preserve"> However, applying results from men to non-pregnant women and ignoring pregnant women has had adverse effects on the populations researchers claim to protect </w:t>
      </w:r>
      <w:r w:rsidRPr="002F7A6A">
        <w:t>(Heise et al., 2019)</w:t>
      </w:r>
      <w:r w:rsidRPr="00672DBE">
        <w:t>.</w:t>
      </w:r>
    </w:p>
    <w:p w14:paraId="265C0679" w14:textId="2003B3D7" w:rsidR="00EB2B55" w:rsidRPr="00BC1E71" w:rsidRDefault="00EB2B55" w:rsidP="003414BB">
      <w:pPr>
        <w:pStyle w:val="Heading2"/>
        <w:numPr>
          <w:ilvl w:val="1"/>
          <w:numId w:val="5"/>
        </w:numPr>
        <w:spacing w:before="0" w:after="160"/>
        <w:rPr>
          <w:rFonts w:asciiTheme="minorHAnsi" w:hAnsiTheme="minorHAnsi" w:cstheme="minorHAnsi"/>
          <w:b/>
          <w:bCs/>
          <w:color w:val="30785B"/>
          <w:sz w:val="24"/>
          <w:szCs w:val="24"/>
        </w:rPr>
      </w:pPr>
      <w:bookmarkStart w:id="108" w:name="_Toc161756586"/>
      <w:bookmarkStart w:id="109" w:name="_Toc161757509"/>
      <w:bookmarkStart w:id="110" w:name="_Toc161763934"/>
      <w:bookmarkStart w:id="111" w:name="_Toc165204989"/>
      <w:bookmarkStart w:id="112" w:name="_Toc168390497"/>
      <w:bookmarkStart w:id="113" w:name="_Toc168390865"/>
      <w:bookmarkStart w:id="114" w:name="_Toc168390931"/>
      <w:bookmarkStart w:id="115" w:name="_Toc168392063"/>
      <w:bookmarkStart w:id="116" w:name="_Toc168392420"/>
      <w:bookmarkStart w:id="117" w:name="_Toc168393593"/>
      <w:bookmarkStart w:id="118" w:name="_Toc168393635"/>
      <w:bookmarkStart w:id="119" w:name="_Toc168394309"/>
      <w:bookmarkStart w:id="120" w:name="_Toc168394447"/>
      <w:r w:rsidRPr="00BC1E71">
        <w:rPr>
          <w:rFonts w:asciiTheme="minorHAnsi" w:hAnsiTheme="minorHAnsi" w:cstheme="minorHAnsi"/>
          <w:b/>
          <w:bCs/>
          <w:color w:val="30785B"/>
          <w:sz w:val="24"/>
          <w:szCs w:val="24"/>
        </w:rPr>
        <w:t>Objectives and Research Questions</w:t>
      </w:r>
      <w:bookmarkEnd w:id="108"/>
      <w:bookmarkEnd w:id="109"/>
      <w:bookmarkEnd w:id="110"/>
      <w:bookmarkEnd w:id="111"/>
      <w:bookmarkEnd w:id="112"/>
      <w:bookmarkEnd w:id="113"/>
      <w:bookmarkEnd w:id="114"/>
      <w:bookmarkEnd w:id="115"/>
      <w:bookmarkEnd w:id="116"/>
      <w:bookmarkEnd w:id="117"/>
      <w:bookmarkEnd w:id="118"/>
      <w:bookmarkEnd w:id="119"/>
      <w:bookmarkEnd w:id="120"/>
    </w:p>
    <w:p w14:paraId="2A733325" w14:textId="51B9C128" w:rsidR="00EB2B55" w:rsidRPr="00672DBE" w:rsidRDefault="00BC1E71" w:rsidP="003414BB">
      <w:pPr>
        <w:rPr>
          <w:rFonts w:cstheme="minorHAnsi"/>
        </w:rPr>
      </w:pPr>
      <w:r w:rsidRPr="00BC1E71">
        <w:rPr>
          <w:rFonts w:cstheme="minorHAnsi"/>
          <w:b/>
          <w:bCs/>
        </w:rPr>
        <w:t>Objectives:</w:t>
      </w:r>
      <w:r>
        <w:rPr>
          <w:rFonts w:cstheme="minorHAnsi"/>
        </w:rPr>
        <w:t xml:space="preserve"> </w:t>
      </w:r>
      <w:r w:rsidR="00EB2B55" w:rsidRPr="00672DBE">
        <w:rPr>
          <w:rFonts w:cstheme="minorHAnsi"/>
        </w:rPr>
        <w:t xml:space="preserve">The literature review </w:t>
      </w:r>
      <w:r w:rsidR="00B8090A">
        <w:rPr>
          <w:rFonts w:cstheme="minorHAnsi"/>
        </w:rPr>
        <w:t>aimed to</w:t>
      </w:r>
      <w:r w:rsidR="00EB2B55" w:rsidRPr="00672DBE">
        <w:rPr>
          <w:rFonts w:cstheme="minorHAnsi"/>
        </w:rPr>
        <w:t xml:space="preserve"> identify and summarise evaluations of strategies to reduce sex and gender bias in health care conducted in Australia and internationally.</w:t>
      </w:r>
    </w:p>
    <w:p w14:paraId="207DDB80" w14:textId="77777777" w:rsidR="00EB2B55" w:rsidRPr="00BC1E71" w:rsidRDefault="00EB2B55" w:rsidP="00BC1E71">
      <w:pPr>
        <w:rPr>
          <w:b/>
          <w:bCs/>
        </w:rPr>
      </w:pPr>
      <w:r w:rsidRPr="00BC1E71">
        <w:rPr>
          <w:b/>
          <w:bCs/>
        </w:rPr>
        <w:t xml:space="preserve">Research questions: </w:t>
      </w:r>
    </w:p>
    <w:p w14:paraId="175A74CD" w14:textId="7F4C8257" w:rsidR="00EB2B55" w:rsidRPr="00672DBE" w:rsidRDefault="00EB2B55" w:rsidP="003414BB">
      <w:pPr>
        <w:jc w:val="both"/>
        <w:rPr>
          <w:rFonts w:cstheme="minorHAnsi"/>
        </w:rPr>
      </w:pPr>
      <w:r w:rsidRPr="00672DBE">
        <w:rPr>
          <w:rFonts w:cstheme="minorHAnsi"/>
        </w:rPr>
        <w:t xml:space="preserve">The key questions addressed by the Project </w:t>
      </w:r>
      <w:r w:rsidR="00B8090A">
        <w:rPr>
          <w:rFonts w:cstheme="minorHAnsi"/>
        </w:rPr>
        <w:t>we</w:t>
      </w:r>
      <w:r w:rsidR="00B8090A" w:rsidRPr="00672DBE">
        <w:rPr>
          <w:rFonts w:cstheme="minorHAnsi"/>
        </w:rPr>
        <w:t>re</w:t>
      </w:r>
      <w:r w:rsidRPr="00672DBE">
        <w:rPr>
          <w:rFonts w:cstheme="minorHAnsi"/>
        </w:rPr>
        <w:t>:</w:t>
      </w:r>
    </w:p>
    <w:p w14:paraId="14AD3979" w14:textId="77777777" w:rsidR="000D7B93" w:rsidRDefault="00EB2B55" w:rsidP="000D7B93">
      <w:pPr>
        <w:pStyle w:val="ListParagraph"/>
        <w:numPr>
          <w:ilvl w:val="0"/>
          <w:numId w:val="47"/>
        </w:numPr>
        <w:spacing w:before="120" w:after="120"/>
        <w:ind w:left="714" w:hanging="357"/>
        <w:contextualSpacing w:val="0"/>
        <w:jc w:val="both"/>
        <w:rPr>
          <w:rFonts w:cstheme="minorHAnsi"/>
        </w:rPr>
      </w:pPr>
      <w:r w:rsidRPr="000D7B93">
        <w:rPr>
          <w:rFonts w:cstheme="minorHAnsi"/>
        </w:rPr>
        <w:t>What are the barriers to gender equity in healthcare and services experienced by women and girls in Australia?</w:t>
      </w:r>
    </w:p>
    <w:p w14:paraId="68D54882" w14:textId="77777777" w:rsidR="000D7B93" w:rsidRDefault="00EB2B55" w:rsidP="000D7B93">
      <w:pPr>
        <w:pStyle w:val="ListParagraph"/>
        <w:numPr>
          <w:ilvl w:val="0"/>
          <w:numId w:val="47"/>
        </w:numPr>
        <w:spacing w:before="120" w:after="120"/>
        <w:ind w:left="714" w:hanging="357"/>
        <w:contextualSpacing w:val="0"/>
        <w:jc w:val="both"/>
        <w:rPr>
          <w:rFonts w:cstheme="minorHAnsi"/>
        </w:rPr>
      </w:pPr>
      <w:r w:rsidRPr="000D7B93">
        <w:rPr>
          <w:rFonts w:cstheme="minorHAnsi"/>
        </w:rPr>
        <w:t xml:space="preserve">Are there clinical guidelines, medical treatments, medical devices and diagnostic tools that do not </w:t>
      </w:r>
      <w:proofErr w:type="gramStart"/>
      <w:r w:rsidRPr="000D7B93">
        <w:rPr>
          <w:rFonts w:cstheme="minorHAnsi"/>
        </w:rPr>
        <w:t>take into account</w:t>
      </w:r>
      <w:proofErr w:type="gramEnd"/>
      <w:r w:rsidRPr="000D7B93">
        <w:rPr>
          <w:rFonts w:cstheme="minorHAnsi"/>
        </w:rPr>
        <w:t xml:space="preserve"> sex and gender differences?</w:t>
      </w:r>
    </w:p>
    <w:p w14:paraId="60AB5EFF" w14:textId="77777777" w:rsidR="000D7B93" w:rsidRDefault="00EB2B55" w:rsidP="000D7B93">
      <w:pPr>
        <w:pStyle w:val="ListParagraph"/>
        <w:numPr>
          <w:ilvl w:val="0"/>
          <w:numId w:val="47"/>
        </w:numPr>
        <w:spacing w:before="120" w:after="120"/>
        <w:ind w:left="714" w:hanging="357"/>
        <w:contextualSpacing w:val="0"/>
        <w:jc w:val="both"/>
        <w:rPr>
          <w:rFonts w:cstheme="minorHAnsi"/>
        </w:rPr>
      </w:pPr>
      <w:r w:rsidRPr="000D7B93">
        <w:rPr>
          <w:rFonts w:cstheme="minorHAnsi"/>
        </w:rPr>
        <w:t>What existing measures/ health promotion tools/ interventions/ programs are there in Australia and overseas that apply a gendered approach?</w:t>
      </w:r>
    </w:p>
    <w:p w14:paraId="16EA78DE" w14:textId="2677E57B" w:rsidR="000D7B93" w:rsidRDefault="00EB2B55" w:rsidP="000D7B93">
      <w:pPr>
        <w:pStyle w:val="ListParagraph"/>
        <w:numPr>
          <w:ilvl w:val="0"/>
          <w:numId w:val="47"/>
        </w:numPr>
        <w:spacing w:before="120" w:after="120"/>
        <w:ind w:left="714" w:hanging="357"/>
        <w:contextualSpacing w:val="0"/>
        <w:jc w:val="both"/>
        <w:rPr>
          <w:rFonts w:cstheme="minorHAnsi"/>
        </w:rPr>
      </w:pPr>
      <w:r w:rsidRPr="000D7B93">
        <w:rPr>
          <w:rFonts w:cstheme="minorHAnsi"/>
        </w:rPr>
        <w:t>Are there any existing measures/ health promotion tools/ interventions/ programs that could be tailored and piloted nationally to improve health equity and health literacy for women in priority populations?</w:t>
      </w:r>
    </w:p>
    <w:p w14:paraId="175978D5" w14:textId="354799F7" w:rsidR="00EB2B55" w:rsidRPr="000D7B93" w:rsidRDefault="00EB2B55" w:rsidP="000D7B93">
      <w:pPr>
        <w:pStyle w:val="ListParagraph"/>
        <w:numPr>
          <w:ilvl w:val="0"/>
          <w:numId w:val="47"/>
        </w:numPr>
        <w:spacing w:before="120" w:after="120"/>
        <w:ind w:left="714" w:hanging="357"/>
        <w:contextualSpacing w:val="0"/>
        <w:jc w:val="both"/>
        <w:rPr>
          <w:rFonts w:cstheme="minorHAnsi"/>
        </w:rPr>
      </w:pPr>
      <w:r w:rsidRPr="000D7B93">
        <w:rPr>
          <w:rFonts w:cstheme="minorHAnsi"/>
        </w:rPr>
        <w:t xml:space="preserve">What are the gaps in data collection? e.g. instances where standard reporting does not include disaggregation by sex and/or gender and identify disparities in health outcomes </w:t>
      </w:r>
      <w:proofErr w:type="gramStart"/>
      <w:r w:rsidRPr="000D7B93">
        <w:rPr>
          <w:rFonts w:cstheme="minorHAnsi"/>
        </w:rPr>
        <w:t>on the basis of</w:t>
      </w:r>
      <w:proofErr w:type="gramEnd"/>
      <w:r w:rsidRPr="000D7B93">
        <w:rPr>
          <w:rFonts w:cstheme="minorHAnsi"/>
        </w:rPr>
        <w:t xml:space="preserve"> sex.</w:t>
      </w:r>
    </w:p>
    <w:p w14:paraId="04E7BEA6" w14:textId="77777777" w:rsidR="00EB2B55" w:rsidRPr="00672DBE" w:rsidRDefault="00EB2B55">
      <w:r w:rsidRPr="00672DBE">
        <w:br w:type="page"/>
      </w:r>
    </w:p>
    <w:p w14:paraId="3DF1A9EF" w14:textId="32EE726A" w:rsidR="00EB2B55" w:rsidRPr="00BC1E71" w:rsidRDefault="00EB2B55" w:rsidP="003414BB">
      <w:pPr>
        <w:pStyle w:val="Heading1"/>
        <w:numPr>
          <w:ilvl w:val="0"/>
          <w:numId w:val="1"/>
        </w:numPr>
        <w:spacing w:before="0" w:after="160"/>
        <w:ind w:hanging="720"/>
        <w:rPr>
          <w:rFonts w:asciiTheme="minorHAnsi" w:hAnsiTheme="minorHAnsi" w:cstheme="minorHAnsi"/>
          <w:b/>
          <w:bCs/>
          <w:color w:val="4C2863"/>
          <w:sz w:val="40"/>
          <w:szCs w:val="40"/>
        </w:rPr>
      </w:pPr>
      <w:bookmarkStart w:id="121" w:name="_Toc161756587"/>
      <w:bookmarkStart w:id="122" w:name="_Toc161757510"/>
      <w:bookmarkStart w:id="123" w:name="_Toc161763935"/>
      <w:bookmarkStart w:id="124" w:name="_Toc165204990"/>
      <w:bookmarkStart w:id="125" w:name="_Toc168390498"/>
      <w:bookmarkStart w:id="126" w:name="_Toc168390866"/>
      <w:bookmarkStart w:id="127" w:name="_Toc168390932"/>
      <w:bookmarkStart w:id="128" w:name="_Toc168392064"/>
      <w:bookmarkStart w:id="129" w:name="_Toc168392421"/>
      <w:bookmarkStart w:id="130" w:name="_Toc168393594"/>
      <w:bookmarkStart w:id="131" w:name="_Toc168393636"/>
      <w:bookmarkStart w:id="132" w:name="_Toc168394310"/>
      <w:bookmarkStart w:id="133" w:name="_Toc168394448"/>
      <w:r w:rsidRPr="00BC1E71">
        <w:rPr>
          <w:rFonts w:asciiTheme="minorHAnsi" w:hAnsiTheme="minorHAnsi" w:cstheme="minorHAnsi"/>
          <w:b/>
          <w:bCs/>
          <w:color w:val="4C2863"/>
          <w:sz w:val="40"/>
          <w:szCs w:val="40"/>
        </w:rPr>
        <w:lastRenderedPageBreak/>
        <w:t>Method</w:t>
      </w:r>
      <w:bookmarkEnd w:id="121"/>
      <w:bookmarkEnd w:id="122"/>
      <w:bookmarkEnd w:id="123"/>
      <w:bookmarkEnd w:id="124"/>
      <w:bookmarkEnd w:id="125"/>
      <w:bookmarkEnd w:id="126"/>
      <w:bookmarkEnd w:id="127"/>
      <w:bookmarkEnd w:id="128"/>
      <w:bookmarkEnd w:id="129"/>
      <w:bookmarkEnd w:id="130"/>
      <w:bookmarkEnd w:id="131"/>
      <w:bookmarkEnd w:id="132"/>
      <w:bookmarkEnd w:id="133"/>
    </w:p>
    <w:p w14:paraId="5767CBE1" w14:textId="56BE8EEE" w:rsidR="00EB2B55" w:rsidRPr="000D7B93" w:rsidRDefault="00EB2B55" w:rsidP="00916171">
      <w:pPr>
        <w:pStyle w:val="Heading2"/>
        <w:numPr>
          <w:ilvl w:val="1"/>
          <w:numId w:val="6"/>
        </w:numPr>
        <w:spacing w:before="0" w:after="160"/>
        <w:rPr>
          <w:rFonts w:asciiTheme="minorHAnsi" w:hAnsiTheme="minorHAnsi" w:cstheme="minorHAnsi"/>
          <w:b/>
          <w:bCs/>
          <w:color w:val="30785B"/>
          <w:sz w:val="28"/>
          <w:szCs w:val="28"/>
        </w:rPr>
      </w:pPr>
      <w:bookmarkStart w:id="134" w:name="_Toc161756588"/>
      <w:bookmarkStart w:id="135" w:name="_Toc161757511"/>
      <w:bookmarkStart w:id="136" w:name="_Toc161763936"/>
      <w:bookmarkStart w:id="137" w:name="_Toc165204991"/>
      <w:bookmarkStart w:id="138" w:name="_Toc168390499"/>
      <w:bookmarkStart w:id="139" w:name="_Toc168390867"/>
      <w:bookmarkStart w:id="140" w:name="_Toc168390933"/>
      <w:bookmarkStart w:id="141" w:name="_Toc168392065"/>
      <w:bookmarkStart w:id="142" w:name="_Toc168392422"/>
      <w:bookmarkStart w:id="143" w:name="_Toc168393595"/>
      <w:bookmarkStart w:id="144" w:name="_Toc168393637"/>
      <w:bookmarkStart w:id="145" w:name="_Toc168394311"/>
      <w:bookmarkStart w:id="146" w:name="_Toc168394449"/>
      <w:r w:rsidRPr="000D7B93">
        <w:rPr>
          <w:rFonts w:asciiTheme="minorHAnsi" w:hAnsiTheme="minorHAnsi" w:cstheme="minorHAnsi"/>
          <w:b/>
          <w:bCs/>
          <w:color w:val="30785B"/>
          <w:sz w:val="28"/>
          <w:szCs w:val="28"/>
        </w:rPr>
        <w:t>Search Strategy</w:t>
      </w:r>
      <w:bookmarkEnd w:id="134"/>
      <w:bookmarkEnd w:id="135"/>
      <w:bookmarkEnd w:id="136"/>
      <w:bookmarkEnd w:id="137"/>
      <w:bookmarkEnd w:id="138"/>
      <w:bookmarkEnd w:id="139"/>
      <w:bookmarkEnd w:id="140"/>
      <w:bookmarkEnd w:id="141"/>
      <w:bookmarkEnd w:id="142"/>
      <w:bookmarkEnd w:id="143"/>
      <w:bookmarkEnd w:id="144"/>
      <w:bookmarkEnd w:id="145"/>
      <w:bookmarkEnd w:id="146"/>
    </w:p>
    <w:p w14:paraId="440556DF" w14:textId="77777777" w:rsidR="00EB2B55" w:rsidRPr="00BC1E71" w:rsidRDefault="00EB2B55" w:rsidP="003414BB">
      <w:pPr>
        <w:pStyle w:val="Heading3"/>
        <w:rPr>
          <w:rFonts w:asciiTheme="minorHAnsi" w:hAnsiTheme="minorHAnsi" w:cstheme="minorHAnsi"/>
          <w:b/>
          <w:bCs/>
          <w:color w:val="auto"/>
          <w:sz w:val="27"/>
          <w:szCs w:val="27"/>
        </w:rPr>
      </w:pPr>
      <w:r w:rsidRPr="00BC1E71">
        <w:rPr>
          <w:rFonts w:asciiTheme="minorHAnsi" w:hAnsiTheme="minorHAnsi" w:cstheme="minorHAnsi"/>
          <w:b/>
          <w:bCs/>
          <w:color w:val="auto"/>
        </w:rPr>
        <w:t>Search methods</w:t>
      </w:r>
    </w:p>
    <w:p w14:paraId="183F77F3" w14:textId="02B19E2F" w:rsidR="00F12A1C" w:rsidRDefault="00F12A1C" w:rsidP="002F7A6A">
      <w:pPr>
        <w:spacing w:line="240" w:lineRule="auto"/>
        <w:jc w:val="both"/>
      </w:pPr>
      <w:r>
        <w:t xml:space="preserve">We engaged two information specialists to advise on our search approach. Standard literature review methods were followed and are reported in accordance with </w:t>
      </w:r>
      <w:r w:rsidRPr="000F3D9E">
        <w:t>the Preferred Reporting Items for Systematic reviews and Meta-Analyses (PRISMA)</w:t>
      </w:r>
      <w:r w:rsidR="00E2557F">
        <w:t xml:space="preserve"> (Page et al., 2021</w:t>
      </w:r>
      <w:r w:rsidR="00E2557F" w:rsidRPr="00CE6F79">
        <w:t>)</w:t>
      </w:r>
      <w:r w:rsidR="00E2557F" w:rsidRPr="00CE6F79">
        <w:rPr>
          <w:rStyle w:val="FootnoteReference"/>
        </w:rPr>
        <w:t xml:space="preserve"> </w:t>
      </w:r>
      <w:r w:rsidR="00E2557F" w:rsidRPr="00CE6F79">
        <w:rPr>
          <w:rStyle w:val="FootnoteReference"/>
        </w:rPr>
        <w:footnoteReference w:id="6"/>
      </w:r>
      <w:r w:rsidRPr="00CE6F79">
        <w:t>.</w:t>
      </w:r>
      <w:r w:rsidRPr="000F3D9E">
        <w:t xml:space="preserve"> </w:t>
      </w:r>
    </w:p>
    <w:p w14:paraId="2AD2C503" w14:textId="6EB120C6" w:rsidR="00F12A1C" w:rsidRPr="00F86CC4" w:rsidRDefault="00F12A1C" w:rsidP="002F7A6A">
      <w:pPr>
        <w:spacing w:line="240" w:lineRule="auto"/>
      </w:pPr>
      <w:r w:rsidRPr="000F3D9E">
        <w:rPr>
          <w:rFonts w:ascii="Calibri" w:eastAsia="Times New Roman" w:hAnsi="Calibri" w:cs="Calibri"/>
          <w:color w:val="000000"/>
        </w:rPr>
        <w:t xml:space="preserve">Given the broad scope of the literature review (as represented by the five key </w:t>
      </w:r>
      <w:r>
        <w:rPr>
          <w:rFonts w:ascii="Calibri" w:eastAsia="Times New Roman" w:hAnsi="Calibri" w:cs="Calibri"/>
          <w:color w:val="000000"/>
        </w:rPr>
        <w:t>research</w:t>
      </w:r>
      <w:r w:rsidRPr="000F3D9E">
        <w:rPr>
          <w:rFonts w:ascii="Calibri" w:eastAsia="Times New Roman" w:hAnsi="Calibri" w:cs="Calibri"/>
          <w:color w:val="000000"/>
        </w:rPr>
        <w:t xml:space="preserve"> questions) and the inconsistency with which concepts of gender bias and gender </w:t>
      </w:r>
      <w:r>
        <w:rPr>
          <w:rFonts w:ascii="Calibri" w:eastAsia="Times New Roman" w:hAnsi="Calibri" w:cs="Calibri"/>
          <w:color w:val="000000"/>
        </w:rPr>
        <w:t>in</w:t>
      </w:r>
      <w:r w:rsidRPr="000F3D9E">
        <w:rPr>
          <w:rFonts w:ascii="Calibri" w:eastAsia="Times New Roman" w:hAnsi="Calibri" w:cs="Calibri"/>
          <w:color w:val="000000"/>
        </w:rPr>
        <w:t>equity are indexed in bibliographic databases, we adopted an iterative approach to the search methods</w:t>
      </w:r>
      <w:r>
        <w:rPr>
          <w:rFonts w:ascii="Calibri" w:eastAsia="Times New Roman" w:hAnsi="Calibri" w:cs="Calibri"/>
          <w:color w:val="000000"/>
        </w:rPr>
        <w:t>.</w:t>
      </w:r>
      <w:r w:rsidRPr="000F3D9E">
        <w:t xml:space="preserve"> </w:t>
      </w:r>
    </w:p>
    <w:p w14:paraId="4041BF86" w14:textId="77777777" w:rsidR="00EB2B55" w:rsidRPr="00BC1E71" w:rsidRDefault="00EB2B55" w:rsidP="003414BB">
      <w:pPr>
        <w:pStyle w:val="Heading3"/>
        <w:rPr>
          <w:rFonts w:asciiTheme="minorHAnsi" w:hAnsiTheme="minorHAnsi" w:cstheme="minorHAnsi"/>
          <w:b/>
          <w:bCs/>
          <w:color w:val="auto"/>
        </w:rPr>
      </w:pPr>
      <w:r w:rsidRPr="00BC1E71">
        <w:rPr>
          <w:rFonts w:asciiTheme="minorHAnsi" w:hAnsiTheme="minorHAnsi" w:cstheme="minorHAnsi"/>
          <w:b/>
          <w:bCs/>
          <w:color w:val="auto"/>
        </w:rPr>
        <w:t>Electronic searches</w:t>
      </w:r>
    </w:p>
    <w:p w14:paraId="355D4E86" w14:textId="733E839F" w:rsidR="00EB2B55" w:rsidRPr="00672DBE" w:rsidRDefault="00EB2B55" w:rsidP="003414BB">
      <w:pPr>
        <w:spacing w:line="240" w:lineRule="auto"/>
        <w:jc w:val="both"/>
        <w:rPr>
          <w:rFonts w:ascii="Calibri" w:eastAsia="Times New Roman" w:hAnsi="Calibri" w:cs="Calibri"/>
          <w:sz w:val="24"/>
          <w:szCs w:val="24"/>
        </w:rPr>
      </w:pPr>
      <w:r w:rsidRPr="00672DBE">
        <w:rPr>
          <w:rFonts w:ascii="Calibri" w:eastAsia="Times New Roman" w:hAnsi="Calibri" w:cs="Calibri"/>
          <w:color w:val="000000"/>
        </w:rPr>
        <w:t>In the first instance, an information specialist (L</w:t>
      </w:r>
      <w:r w:rsidR="00DE2AD1">
        <w:rPr>
          <w:rFonts w:ascii="Calibri" w:eastAsia="Times New Roman" w:hAnsi="Calibri" w:cs="Calibri"/>
          <w:color w:val="000000"/>
        </w:rPr>
        <w:t>R</w:t>
      </w:r>
      <w:r w:rsidRPr="00672DBE">
        <w:rPr>
          <w:rFonts w:ascii="Calibri" w:eastAsia="Times New Roman" w:hAnsi="Calibri" w:cs="Calibri"/>
          <w:color w:val="000000"/>
        </w:rPr>
        <w:t xml:space="preserve">) developed separate search strategies for review questions 1 and 3–5 using frameworks (concept grids) that mapped the key concepts of each question to relevant database thesaurus terms and </w:t>
      </w:r>
      <w:proofErr w:type="spellStart"/>
      <w:r w:rsidRPr="00672DBE">
        <w:rPr>
          <w:rFonts w:ascii="Calibri" w:eastAsia="Times New Roman" w:hAnsi="Calibri" w:cs="Calibri"/>
          <w:color w:val="000000"/>
        </w:rPr>
        <w:t>textwords</w:t>
      </w:r>
      <w:proofErr w:type="spellEnd"/>
      <w:r w:rsidRPr="00672DBE">
        <w:rPr>
          <w:rFonts w:ascii="Calibri" w:eastAsia="Times New Roman" w:hAnsi="Calibri" w:cs="Calibri"/>
          <w:color w:val="000000"/>
        </w:rPr>
        <w:t xml:space="preserve">. For review questions 1, 3, and 4 searches were run in MEDLINE, Embase, </w:t>
      </w:r>
      <w:proofErr w:type="spellStart"/>
      <w:r w:rsidRPr="00672DBE">
        <w:rPr>
          <w:rFonts w:ascii="Calibri" w:eastAsia="Times New Roman" w:hAnsi="Calibri" w:cs="Calibri"/>
          <w:color w:val="000000"/>
        </w:rPr>
        <w:t>PsycInfo</w:t>
      </w:r>
      <w:proofErr w:type="spellEnd"/>
      <w:r w:rsidRPr="00672DBE">
        <w:rPr>
          <w:rFonts w:ascii="Calibri" w:eastAsia="Times New Roman" w:hAnsi="Calibri" w:cs="Calibri"/>
          <w:color w:val="000000"/>
        </w:rPr>
        <w:t xml:space="preserve">, and </w:t>
      </w:r>
      <w:proofErr w:type="spellStart"/>
      <w:r w:rsidRPr="00672DBE">
        <w:rPr>
          <w:rFonts w:ascii="Calibri" w:eastAsia="Times New Roman" w:hAnsi="Calibri" w:cs="Calibri"/>
          <w:color w:val="000000"/>
        </w:rPr>
        <w:t>Emcare</w:t>
      </w:r>
      <w:proofErr w:type="spellEnd"/>
      <w:r w:rsidRPr="00672DBE">
        <w:rPr>
          <w:rFonts w:ascii="Calibri" w:eastAsia="Times New Roman" w:hAnsi="Calibri" w:cs="Calibri"/>
          <w:color w:val="000000"/>
        </w:rPr>
        <w:t xml:space="preserve">, all via the Ovid platform. In addition, we searched the Cochrane CENTRAL trials database for questions 3 and 4. For question 5 (gaps in data collection), the search was limited to MEDLINE. (Details for each question are summarised in Table 1.) Searches were initially conducted in September 2023, with the MEDLINE searches all updated on 14 January 2024 (see summary below, Table 1). The concept grids and search strategies for each database are in Appendix </w:t>
      </w:r>
      <w:r w:rsidR="00A471B8">
        <w:rPr>
          <w:rFonts w:ascii="Calibri" w:eastAsia="Times New Roman" w:hAnsi="Calibri" w:cs="Calibri"/>
          <w:color w:val="000000"/>
        </w:rPr>
        <w:t>A</w:t>
      </w:r>
      <w:r w:rsidRPr="00672DBE">
        <w:rPr>
          <w:rFonts w:ascii="Calibri" w:eastAsia="Times New Roman" w:hAnsi="Calibri" w:cs="Calibri"/>
          <w:color w:val="000000"/>
        </w:rPr>
        <w:t>.</w:t>
      </w:r>
    </w:p>
    <w:p w14:paraId="579A3229" w14:textId="404C4DE4" w:rsidR="00EB2B55" w:rsidRPr="00672DBE" w:rsidRDefault="00EB2B55" w:rsidP="003414BB">
      <w:pPr>
        <w:spacing w:line="240" w:lineRule="auto"/>
        <w:jc w:val="both"/>
        <w:rPr>
          <w:rFonts w:ascii="Calibri" w:eastAsia="Times New Roman" w:hAnsi="Calibri" w:cs="Calibri"/>
          <w:sz w:val="24"/>
          <w:szCs w:val="24"/>
        </w:rPr>
      </w:pPr>
      <w:r w:rsidRPr="00672DBE">
        <w:rPr>
          <w:rFonts w:ascii="Calibri" w:eastAsia="Times New Roman" w:hAnsi="Calibri" w:cs="Calibri"/>
          <w:color w:val="000000"/>
        </w:rPr>
        <w:t xml:space="preserve">A supplementary search of MEDLINE was developed by a second information specialist (SM) to identify systematic reviews and studies evaluating interventions to reduce gender bias, which may not have been captured in the initial searches (see Appendix </w:t>
      </w:r>
      <w:r w:rsidR="00A471B8">
        <w:rPr>
          <w:rFonts w:ascii="Calibri" w:eastAsia="Times New Roman" w:hAnsi="Calibri" w:cs="Calibri"/>
          <w:color w:val="000000"/>
        </w:rPr>
        <w:t>A</w:t>
      </w:r>
      <w:r w:rsidRPr="00672DBE">
        <w:rPr>
          <w:rFonts w:ascii="Calibri" w:eastAsia="Times New Roman" w:hAnsi="Calibri" w:cs="Calibri"/>
          <w:color w:val="000000"/>
        </w:rPr>
        <w:t xml:space="preserve">. The supplementary search also incorporated the search (translated from PubMed to Ovid MEDLINE) run by Alcalde-Rubio et al. (2020) for their scoping review of interventions to overcome gender bias in clinical practice </w:t>
      </w:r>
      <w:r w:rsidRPr="002F7A6A">
        <w:rPr>
          <w:rFonts w:ascii="Calibri" w:eastAsia="Times New Roman" w:hAnsi="Calibri" w:cs="Calibri"/>
          <w:color w:val="000000"/>
        </w:rPr>
        <w:t>(Alcalde-Rubio et al., 2020)</w:t>
      </w:r>
      <w:r w:rsidRPr="00672DBE">
        <w:rPr>
          <w:rFonts w:ascii="Calibri" w:eastAsia="Times New Roman" w:hAnsi="Calibri" w:cs="Calibri"/>
          <w:color w:val="000000"/>
        </w:rPr>
        <w:t>.</w:t>
      </w:r>
    </w:p>
    <w:p w14:paraId="518333AC" w14:textId="77777777" w:rsidR="00EB2B55" w:rsidRPr="00BC1E71" w:rsidRDefault="00EB2B55" w:rsidP="003414BB">
      <w:pPr>
        <w:pStyle w:val="Heading3"/>
        <w:rPr>
          <w:rFonts w:asciiTheme="minorHAnsi" w:hAnsiTheme="minorHAnsi" w:cstheme="minorHAnsi"/>
          <w:b/>
          <w:bCs/>
          <w:color w:val="auto"/>
        </w:rPr>
      </w:pPr>
      <w:r w:rsidRPr="00BC1E71">
        <w:rPr>
          <w:rFonts w:asciiTheme="minorHAnsi" w:hAnsiTheme="minorHAnsi" w:cstheme="minorHAnsi"/>
          <w:b/>
          <w:bCs/>
          <w:color w:val="auto"/>
        </w:rPr>
        <w:t>Search for guidelines</w:t>
      </w:r>
    </w:p>
    <w:p w14:paraId="1F4EB886" w14:textId="7215B015" w:rsidR="00EB2B55" w:rsidRPr="00C66338" w:rsidRDefault="00EB2B55" w:rsidP="00C66338">
      <w:pPr>
        <w:spacing w:line="240" w:lineRule="auto"/>
        <w:jc w:val="both"/>
        <w:rPr>
          <w:rFonts w:eastAsia="Times New Roman" w:cstheme="minorHAnsi"/>
          <w:color w:val="000000"/>
        </w:rPr>
      </w:pPr>
      <w:r w:rsidRPr="00672DBE">
        <w:rPr>
          <w:rFonts w:ascii="Calibri" w:eastAsia="Times New Roman" w:hAnsi="Calibri" w:cs="Calibri"/>
          <w:color w:val="000000"/>
        </w:rPr>
        <w:t xml:space="preserve">For review question 2 (clinical guidelines) we searched the GIN International Guidelines Library, limited to Australia as the country of application. We also searched Google using the keywords </w:t>
      </w:r>
      <w:r w:rsidR="00E015D5">
        <w:rPr>
          <w:rFonts w:ascii="Calibri" w:eastAsia="Times New Roman" w:hAnsi="Calibri" w:cs="Calibri"/>
          <w:color w:val="000000"/>
        </w:rPr>
        <w:t>“</w:t>
      </w:r>
      <w:r w:rsidRPr="00672DBE">
        <w:rPr>
          <w:rFonts w:ascii="Calibri" w:eastAsia="Times New Roman" w:hAnsi="Calibri" w:cs="Calibri"/>
          <w:color w:val="000000"/>
        </w:rPr>
        <w:t>clinical guidelines</w:t>
      </w:r>
      <w:r w:rsidR="00E015D5">
        <w:rPr>
          <w:rFonts w:ascii="Calibri" w:eastAsia="Times New Roman" w:hAnsi="Calibri" w:cs="Calibri"/>
          <w:color w:val="000000"/>
        </w:rPr>
        <w:t>”</w:t>
      </w:r>
      <w:r w:rsidRPr="00672DBE">
        <w:rPr>
          <w:rFonts w:ascii="Calibri" w:eastAsia="Times New Roman" w:hAnsi="Calibri" w:cs="Calibri"/>
          <w:color w:val="000000"/>
        </w:rPr>
        <w:t xml:space="preserve"> and </w:t>
      </w:r>
      <w:r w:rsidR="00E015D5">
        <w:rPr>
          <w:rFonts w:ascii="Calibri" w:eastAsia="Times New Roman" w:hAnsi="Calibri" w:cs="Calibri"/>
          <w:color w:val="000000"/>
        </w:rPr>
        <w:t>“</w:t>
      </w:r>
      <w:r w:rsidRPr="00672DBE">
        <w:rPr>
          <w:rFonts w:ascii="Calibri" w:eastAsia="Times New Roman" w:hAnsi="Calibri" w:cs="Calibri"/>
          <w:color w:val="000000"/>
        </w:rPr>
        <w:t>Australia</w:t>
      </w:r>
      <w:r w:rsidR="00E015D5">
        <w:rPr>
          <w:rFonts w:ascii="Calibri" w:eastAsia="Times New Roman" w:hAnsi="Calibri" w:cs="Calibri"/>
          <w:color w:val="000000"/>
        </w:rPr>
        <w:t>”</w:t>
      </w:r>
      <w:r w:rsidRPr="00672DBE">
        <w:rPr>
          <w:rFonts w:ascii="Calibri" w:eastAsia="Times New Roman" w:hAnsi="Calibri" w:cs="Calibri"/>
          <w:color w:val="000000"/>
        </w:rPr>
        <w:t>. We identified organisations (e.g., N</w:t>
      </w:r>
      <w:r w:rsidR="0022320B">
        <w:rPr>
          <w:rFonts w:ascii="Calibri" w:eastAsia="Times New Roman" w:hAnsi="Calibri" w:cs="Calibri"/>
          <w:color w:val="000000"/>
        </w:rPr>
        <w:t xml:space="preserve">ational </w:t>
      </w:r>
      <w:r w:rsidRPr="00672DBE">
        <w:rPr>
          <w:rFonts w:ascii="Calibri" w:eastAsia="Times New Roman" w:hAnsi="Calibri" w:cs="Calibri"/>
          <w:color w:val="000000"/>
        </w:rPr>
        <w:t>H</w:t>
      </w:r>
      <w:r w:rsidR="0022320B">
        <w:rPr>
          <w:rFonts w:ascii="Calibri" w:eastAsia="Times New Roman" w:hAnsi="Calibri" w:cs="Calibri"/>
          <w:color w:val="000000"/>
        </w:rPr>
        <w:t xml:space="preserve">ealth and </w:t>
      </w:r>
      <w:r w:rsidRPr="00672DBE">
        <w:rPr>
          <w:rFonts w:ascii="Calibri" w:eastAsia="Times New Roman" w:hAnsi="Calibri" w:cs="Calibri"/>
          <w:color w:val="000000"/>
        </w:rPr>
        <w:t>M</w:t>
      </w:r>
      <w:r w:rsidR="0022320B">
        <w:rPr>
          <w:rFonts w:ascii="Calibri" w:eastAsia="Times New Roman" w:hAnsi="Calibri" w:cs="Calibri"/>
          <w:color w:val="000000"/>
        </w:rPr>
        <w:t xml:space="preserve">edical Research </w:t>
      </w:r>
      <w:r w:rsidRPr="007240DC">
        <w:rPr>
          <w:rFonts w:eastAsia="Times New Roman" w:cstheme="minorHAnsi"/>
          <w:color w:val="000000"/>
        </w:rPr>
        <w:t>C</w:t>
      </w:r>
      <w:r w:rsidR="0022320B" w:rsidRPr="007240DC">
        <w:rPr>
          <w:rFonts w:eastAsia="Times New Roman" w:cstheme="minorHAnsi"/>
          <w:color w:val="000000"/>
        </w:rPr>
        <w:t>ouncil</w:t>
      </w:r>
      <w:r w:rsidRPr="007240DC">
        <w:rPr>
          <w:rFonts w:eastAsia="Times New Roman" w:cstheme="minorHAnsi"/>
          <w:color w:val="000000"/>
        </w:rPr>
        <w:t xml:space="preserve">, royal colleges, universities, state and federal governments, associations, societies, foundations, non-government organisations) likely to have relevant guidelines. </w:t>
      </w:r>
      <w:r w:rsidR="004E3135" w:rsidRPr="007240DC">
        <w:rPr>
          <w:rFonts w:eastAsia="Times New Roman" w:cstheme="minorHAnsi"/>
          <w:color w:val="000000"/>
        </w:rPr>
        <w:t>We searched the supporting information of Shalit</w:t>
      </w:r>
      <w:r w:rsidR="007240DC" w:rsidRPr="007240DC">
        <w:rPr>
          <w:rFonts w:eastAsia="Times New Roman" w:cstheme="minorHAnsi"/>
          <w:color w:val="000000"/>
        </w:rPr>
        <w:t xml:space="preserve"> et al. (2023), whose authors had had access to the NHMRC guideline database before it was shut down. We decided to </w:t>
      </w:r>
      <w:r w:rsidR="007240DC">
        <w:rPr>
          <w:rFonts w:cstheme="minorHAnsi"/>
        </w:rPr>
        <w:t>include</w:t>
      </w:r>
      <w:r w:rsidR="007240DC" w:rsidRPr="007240DC">
        <w:rPr>
          <w:rFonts w:cstheme="minorHAnsi"/>
        </w:rPr>
        <w:t xml:space="preserve"> a representative example of guidelines from </w:t>
      </w:r>
      <w:r w:rsidR="007240DC">
        <w:rPr>
          <w:rFonts w:cstheme="minorHAnsi"/>
        </w:rPr>
        <w:t xml:space="preserve">the </w:t>
      </w:r>
      <w:r w:rsidR="007240DC" w:rsidRPr="007240DC">
        <w:rPr>
          <w:rFonts w:cstheme="minorHAnsi"/>
        </w:rPr>
        <w:t>R</w:t>
      </w:r>
      <w:r w:rsidR="007240DC">
        <w:rPr>
          <w:rFonts w:cstheme="minorHAnsi"/>
        </w:rPr>
        <w:t xml:space="preserve">oyal </w:t>
      </w:r>
      <w:r w:rsidR="007240DC" w:rsidRPr="007240DC">
        <w:rPr>
          <w:rFonts w:cstheme="minorHAnsi"/>
        </w:rPr>
        <w:t>A</w:t>
      </w:r>
      <w:r w:rsidR="007240DC">
        <w:rPr>
          <w:rFonts w:cstheme="minorHAnsi"/>
        </w:rPr>
        <w:t xml:space="preserve">ustralian and </w:t>
      </w:r>
      <w:r w:rsidR="007240DC" w:rsidRPr="007240DC">
        <w:rPr>
          <w:rFonts w:cstheme="minorHAnsi"/>
        </w:rPr>
        <w:t>N</w:t>
      </w:r>
      <w:r w:rsidR="007240DC">
        <w:rPr>
          <w:rFonts w:cstheme="minorHAnsi"/>
        </w:rPr>
        <w:t xml:space="preserve">ew </w:t>
      </w:r>
      <w:r w:rsidR="007240DC" w:rsidRPr="007240DC">
        <w:rPr>
          <w:rFonts w:cstheme="minorHAnsi"/>
        </w:rPr>
        <w:t>Z</w:t>
      </w:r>
      <w:r w:rsidR="007240DC">
        <w:rPr>
          <w:rFonts w:cstheme="minorHAnsi"/>
        </w:rPr>
        <w:t xml:space="preserve">ealand </w:t>
      </w:r>
      <w:r w:rsidR="007240DC" w:rsidRPr="007240DC">
        <w:rPr>
          <w:rFonts w:cstheme="minorHAnsi"/>
        </w:rPr>
        <w:t>C</w:t>
      </w:r>
      <w:r w:rsidR="007240DC">
        <w:rPr>
          <w:rFonts w:cstheme="minorHAnsi"/>
        </w:rPr>
        <w:t xml:space="preserve">ollege of </w:t>
      </w:r>
      <w:r w:rsidR="007240DC" w:rsidRPr="007240DC">
        <w:rPr>
          <w:rFonts w:cstheme="minorHAnsi"/>
        </w:rPr>
        <w:t>O</w:t>
      </w:r>
      <w:r w:rsidR="007240DC">
        <w:rPr>
          <w:rFonts w:cstheme="minorHAnsi"/>
        </w:rPr>
        <w:t xml:space="preserve">bstetrics and </w:t>
      </w:r>
      <w:r w:rsidR="007240DC" w:rsidRPr="007240DC">
        <w:rPr>
          <w:rFonts w:cstheme="minorHAnsi"/>
        </w:rPr>
        <w:t>G</w:t>
      </w:r>
      <w:r w:rsidR="007240DC">
        <w:rPr>
          <w:rFonts w:cstheme="minorHAnsi"/>
        </w:rPr>
        <w:t>ynaecology</w:t>
      </w:r>
      <w:r w:rsidR="007240DC" w:rsidRPr="007240DC">
        <w:rPr>
          <w:rFonts w:cstheme="minorHAnsi"/>
        </w:rPr>
        <w:t xml:space="preserve"> (in theory, dealing </w:t>
      </w:r>
      <w:r w:rsidR="008268E3">
        <w:rPr>
          <w:rFonts w:cstheme="minorHAnsi"/>
        </w:rPr>
        <w:t xml:space="preserve">only </w:t>
      </w:r>
      <w:r w:rsidR="007240DC" w:rsidRPr="007240DC">
        <w:rPr>
          <w:rFonts w:cstheme="minorHAnsi"/>
        </w:rPr>
        <w:t xml:space="preserve">with women’s health) and </w:t>
      </w:r>
      <w:r w:rsidR="007240DC">
        <w:rPr>
          <w:rFonts w:cstheme="minorHAnsi"/>
        </w:rPr>
        <w:t xml:space="preserve">from the </w:t>
      </w:r>
      <w:r w:rsidR="007240DC" w:rsidRPr="007240DC">
        <w:rPr>
          <w:rFonts w:cstheme="minorHAnsi"/>
        </w:rPr>
        <w:t>U</w:t>
      </w:r>
      <w:r w:rsidR="007240DC">
        <w:rPr>
          <w:rFonts w:cstheme="minorHAnsi"/>
        </w:rPr>
        <w:t xml:space="preserve">rology </w:t>
      </w:r>
      <w:r w:rsidR="007240DC" w:rsidRPr="007240DC">
        <w:rPr>
          <w:rFonts w:cstheme="minorHAnsi"/>
        </w:rPr>
        <w:t>S</w:t>
      </w:r>
      <w:r w:rsidR="007240DC">
        <w:rPr>
          <w:rFonts w:cstheme="minorHAnsi"/>
        </w:rPr>
        <w:t xml:space="preserve">ociety of </w:t>
      </w:r>
      <w:r w:rsidR="007240DC" w:rsidRPr="007240DC">
        <w:rPr>
          <w:rFonts w:cstheme="minorHAnsi"/>
        </w:rPr>
        <w:t>A</w:t>
      </w:r>
      <w:r w:rsidR="007240DC">
        <w:rPr>
          <w:rFonts w:cstheme="minorHAnsi"/>
        </w:rPr>
        <w:t xml:space="preserve">ustralia and </w:t>
      </w:r>
      <w:r w:rsidR="007240DC" w:rsidRPr="007240DC">
        <w:rPr>
          <w:rFonts w:cstheme="minorHAnsi"/>
        </w:rPr>
        <w:t>N</w:t>
      </w:r>
      <w:r w:rsidR="007240DC">
        <w:rPr>
          <w:rFonts w:cstheme="minorHAnsi"/>
        </w:rPr>
        <w:t xml:space="preserve">ew </w:t>
      </w:r>
      <w:r w:rsidR="007240DC" w:rsidRPr="007240DC">
        <w:rPr>
          <w:rFonts w:cstheme="minorHAnsi"/>
        </w:rPr>
        <w:t>Z</w:t>
      </w:r>
      <w:r w:rsidR="007240DC">
        <w:rPr>
          <w:rFonts w:cstheme="minorHAnsi"/>
        </w:rPr>
        <w:t>ealand</w:t>
      </w:r>
      <w:r w:rsidR="007240DC" w:rsidRPr="007240DC">
        <w:rPr>
          <w:rFonts w:cstheme="minorHAnsi"/>
        </w:rPr>
        <w:t xml:space="preserve"> (</w:t>
      </w:r>
      <w:r w:rsidR="00F41912">
        <w:rPr>
          <w:rFonts w:cstheme="minorHAnsi"/>
        </w:rPr>
        <w:t xml:space="preserve">which has dealt </w:t>
      </w:r>
      <w:r w:rsidR="0053377E">
        <w:rPr>
          <w:rFonts w:cstheme="minorHAnsi"/>
        </w:rPr>
        <w:t>predominantly</w:t>
      </w:r>
      <w:r w:rsidR="00F41912">
        <w:rPr>
          <w:rFonts w:cstheme="minorHAnsi"/>
        </w:rPr>
        <w:t xml:space="preserve"> with </w:t>
      </w:r>
      <w:r w:rsidR="007240DC" w:rsidRPr="007240DC">
        <w:rPr>
          <w:rFonts w:cstheme="minorHAnsi"/>
        </w:rPr>
        <w:t>men’s health)</w:t>
      </w:r>
      <w:r w:rsidR="007240DC">
        <w:rPr>
          <w:rFonts w:cstheme="minorHAnsi"/>
        </w:rPr>
        <w:t xml:space="preserve"> so as not to skew for sex-specific guidelines.</w:t>
      </w:r>
    </w:p>
    <w:p w14:paraId="2A09A4E1" w14:textId="2E60C0EC" w:rsidR="00EB2B55" w:rsidRDefault="00EB2B55" w:rsidP="003414BB">
      <w:pPr>
        <w:keepNext/>
        <w:keepLines/>
        <w:spacing w:line="240" w:lineRule="auto"/>
        <w:rPr>
          <w:rFonts w:ascii="Calibri" w:eastAsia="Times New Roman" w:hAnsi="Calibri" w:cs="Calibri"/>
          <w:b/>
          <w:color w:val="000000"/>
          <w:sz w:val="24"/>
          <w:szCs w:val="24"/>
        </w:rPr>
      </w:pPr>
      <w:r w:rsidRPr="00672DBE">
        <w:rPr>
          <w:rFonts w:ascii="Calibri" w:eastAsia="Times New Roman" w:hAnsi="Calibri" w:cs="Calibri"/>
          <w:b/>
          <w:color w:val="000000"/>
          <w:sz w:val="24"/>
          <w:szCs w:val="24"/>
        </w:rPr>
        <w:lastRenderedPageBreak/>
        <w:t>Summary of Databases by Research Question</w:t>
      </w:r>
      <w:r w:rsidR="00916171">
        <w:rPr>
          <w:rFonts w:ascii="Calibri" w:eastAsia="Times New Roman" w:hAnsi="Calibri" w:cs="Calibri"/>
          <w:b/>
          <w:color w:val="000000"/>
          <w:sz w:val="24"/>
          <w:szCs w:val="24"/>
        </w:rPr>
        <w:t xml:space="preserve"> – Table 1</w:t>
      </w:r>
    </w:p>
    <w:p w14:paraId="068EBC9A" w14:textId="2CE0BD60" w:rsidR="00BC1E71" w:rsidRPr="00BC1E71" w:rsidRDefault="00BC1E71" w:rsidP="00916171">
      <w:pPr>
        <w:keepNext/>
        <w:keepLines/>
        <w:spacing w:before="120" w:line="240" w:lineRule="auto"/>
        <w:ind w:left="340"/>
        <w:rPr>
          <w:rFonts w:ascii="Calibri" w:eastAsia="Times New Roman" w:hAnsi="Calibri" w:cs="Calibri"/>
          <w:b/>
        </w:rPr>
      </w:pPr>
      <w:r w:rsidRPr="00BC1E71">
        <w:rPr>
          <w:rFonts w:ascii="Calibri" w:eastAsia="Times New Roman" w:hAnsi="Calibri" w:cs="Calibri"/>
          <w:b/>
        </w:rPr>
        <w:t xml:space="preserve">Question 1: </w:t>
      </w:r>
      <w:r w:rsidRPr="00BC1E71">
        <w:rPr>
          <w:rFonts w:ascii="Calibri" w:eastAsia="Times New Roman" w:hAnsi="Calibri" w:cs="Calibri"/>
          <w:color w:val="000000"/>
        </w:rPr>
        <w:t>What are the barriers to gender equity in health care and services experienced by women and girls in Australia?</w:t>
      </w:r>
    </w:p>
    <w:p w14:paraId="583BB013" w14:textId="00BA68E5" w:rsidR="00BC1E71" w:rsidRPr="00BC1E71" w:rsidRDefault="00BC1E71" w:rsidP="00916171">
      <w:pPr>
        <w:keepNext/>
        <w:keepLines/>
        <w:spacing w:before="120" w:line="240" w:lineRule="auto"/>
        <w:ind w:left="340"/>
        <w:rPr>
          <w:rFonts w:ascii="Calibri" w:eastAsia="Times New Roman" w:hAnsi="Calibri" w:cs="Calibri"/>
          <w:bCs/>
        </w:rPr>
      </w:pPr>
      <w:r w:rsidRPr="00BC1E71">
        <w:rPr>
          <w:rFonts w:ascii="Calibri" w:eastAsia="Times New Roman" w:hAnsi="Calibri" w:cs="Calibri"/>
          <w:bCs/>
        </w:rPr>
        <w:t>Data source:</w:t>
      </w:r>
      <w:r w:rsidRPr="00BC1E71">
        <w:t xml:space="preserve"> </w:t>
      </w:r>
      <w:r w:rsidRPr="00BC1E71">
        <w:rPr>
          <w:rFonts w:ascii="Calibri" w:eastAsia="Times New Roman" w:hAnsi="Calibri" w:cs="Calibri"/>
          <w:bCs/>
        </w:rPr>
        <w:t xml:space="preserve">MEDLINE, Embase, </w:t>
      </w:r>
      <w:proofErr w:type="spellStart"/>
      <w:r w:rsidRPr="00BC1E71">
        <w:rPr>
          <w:rFonts w:ascii="Calibri" w:eastAsia="Times New Roman" w:hAnsi="Calibri" w:cs="Calibri"/>
          <w:bCs/>
        </w:rPr>
        <w:t>PsycInfo</w:t>
      </w:r>
      <w:proofErr w:type="spellEnd"/>
      <w:r w:rsidRPr="00BC1E71">
        <w:rPr>
          <w:rFonts w:ascii="Calibri" w:eastAsia="Times New Roman" w:hAnsi="Calibri" w:cs="Calibri"/>
          <w:bCs/>
        </w:rPr>
        <w:t xml:space="preserve">, </w:t>
      </w:r>
      <w:proofErr w:type="spellStart"/>
      <w:r w:rsidRPr="00BC1E71">
        <w:rPr>
          <w:rFonts w:ascii="Calibri" w:eastAsia="Times New Roman" w:hAnsi="Calibri" w:cs="Calibri"/>
          <w:bCs/>
        </w:rPr>
        <w:t>Emcare</w:t>
      </w:r>
      <w:proofErr w:type="spellEnd"/>
    </w:p>
    <w:p w14:paraId="7D9F2708" w14:textId="40C58D51" w:rsidR="00BC1E71" w:rsidRPr="00BC1E71" w:rsidRDefault="00BC1E71" w:rsidP="00916171">
      <w:pPr>
        <w:keepNext/>
        <w:keepLines/>
        <w:spacing w:before="120" w:line="240" w:lineRule="auto"/>
        <w:ind w:left="340"/>
        <w:rPr>
          <w:rFonts w:ascii="Calibri" w:eastAsia="Times New Roman" w:hAnsi="Calibri" w:cs="Calibri"/>
          <w:b/>
        </w:rPr>
      </w:pPr>
      <w:r w:rsidRPr="00BC1E71">
        <w:rPr>
          <w:rFonts w:ascii="Calibri" w:eastAsia="Times New Roman" w:hAnsi="Calibri" w:cs="Calibri"/>
          <w:b/>
        </w:rPr>
        <w:t xml:space="preserve">Question 2: </w:t>
      </w:r>
      <w:r w:rsidRPr="00BC1E71">
        <w:rPr>
          <w:rFonts w:ascii="Calibri" w:eastAsia="Times New Roman" w:hAnsi="Calibri" w:cs="Calibri"/>
          <w:color w:val="000000"/>
        </w:rPr>
        <w:t xml:space="preserve">Are there clinical guidelines, medical treatments, medical devices and diagnostic tools that do not </w:t>
      </w:r>
      <w:proofErr w:type="gramStart"/>
      <w:r w:rsidRPr="00BC1E71">
        <w:rPr>
          <w:rFonts w:ascii="Calibri" w:eastAsia="Times New Roman" w:hAnsi="Calibri" w:cs="Calibri"/>
          <w:color w:val="000000"/>
        </w:rPr>
        <w:t>take into account</w:t>
      </w:r>
      <w:proofErr w:type="gramEnd"/>
      <w:r w:rsidRPr="00BC1E71">
        <w:rPr>
          <w:rFonts w:ascii="Calibri" w:eastAsia="Times New Roman" w:hAnsi="Calibri" w:cs="Calibri"/>
          <w:color w:val="000000"/>
        </w:rPr>
        <w:t xml:space="preserve"> sex and gender differences?</w:t>
      </w:r>
    </w:p>
    <w:p w14:paraId="19E1097A" w14:textId="0B043E86" w:rsidR="00BC1E71" w:rsidRPr="00BC1E71" w:rsidRDefault="00BC1E71" w:rsidP="00916171">
      <w:pPr>
        <w:keepNext/>
        <w:keepLines/>
        <w:spacing w:before="120" w:after="0" w:line="240" w:lineRule="auto"/>
        <w:ind w:left="340"/>
        <w:rPr>
          <w:rFonts w:ascii="Calibri" w:eastAsia="Times New Roman" w:hAnsi="Calibri" w:cs="Calibri"/>
          <w:bCs/>
        </w:rPr>
      </w:pPr>
      <w:r w:rsidRPr="00BC1E71">
        <w:rPr>
          <w:rFonts w:ascii="Calibri" w:eastAsia="Times New Roman" w:hAnsi="Calibri" w:cs="Calibri"/>
          <w:bCs/>
        </w:rPr>
        <w:t>Data source:</w:t>
      </w:r>
      <w:r w:rsidRPr="00BC1E71">
        <w:rPr>
          <w:rFonts w:ascii="Calibri" w:eastAsia="Times New Roman" w:hAnsi="Calibri" w:cs="Calibri"/>
          <w:color w:val="000000"/>
        </w:rPr>
        <w:t xml:space="preserve"> GIN International Guidelines Library, Organisation websites Google</w:t>
      </w:r>
    </w:p>
    <w:p w14:paraId="0CDE6109" w14:textId="241C58D4" w:rsidR="00BC1E71" w:rsidRPr="00BC1E71" w:rsidRDefault="00BC1E71" w:rsidP="00916171">
      <w:pPr>
        <w:keepNext/>
        <w:keepLines/>
        <w:spacing w:before="120" w:line="240" w:lineRule="auto"/>
        <w:ind w:left="340"/>
        <w:rPr>
          <w:rFonts w:ascii="Calibri" w:eastAsia="Times New Roman" w:hAnsi="Calibri" w:cs="Calibri"/>
          <w:b/>
        </w:rPr>
      </w:pPr>
      <w:r w:rsidRPr="00BC1E71">
        <w:rPr>
          <w:rFonts w:ascii="Calibri" w:eastAsia="Times New Roman" w:hAnsi="Calibri" w:cs="Calibri"/>
          <w:b/>
        </w:rPr>
        <w:t xml:space="preserve">Question 3: </w:t>
      </w:r>
      <w:r w:rsidRPr="00BC1E71">
        <w:rPr>
          <w:rFonts w:ascii="Calibri" w:eastAsia="Times New Roman" w:hAnsi="Calibri" w:cs="Calibri"/>
          <w:color w:val="000000"/>
        </w:rPr>
        <w:t>What existing measures/ health promotion tools/ interventions/ programs are there in Australia and overseas that apply a gendered approach?</w:t>
      </w:r>
    </w:p>
    <w:p w14:paraId="1177E9B8" w14:textId="125E4F9F" w:rsidR="00BC1E71" w:rsidRPr="00BC1E71" w:rsidRDefault="00BC1E71" w:rsidP="00916171">
      <w:pPr>
        <w:keepNext/>
        <w:keepLines/>
        <w:spacing w:before="120" w:line="240" w:lineRule="auto"/>
        <w:ind w:left="340"/>
        <w:rPr>
          <w:rFonts w:ascii="Calibri" w:eastAsia="Times New Roman" w:hAnsi="Calibri" w:cs="Calibri"/>
          <w:bCs/>
        </w:rPr>
      </w:pPr>
      <w:r w:rsidRPr="00BC1E71">
        <w:rPr>
          <w:rFonts w:ascii="Calibri" w:eastAsia="Times New Roman" w:hAnsi="Calibri" w:cs="Calibri"/>
          <w:bCs/>
        </w:rPr>
        <w:t>Data source:</w:t>
      </w:r>
      <w:r w:rsidRPr="00BC1E71">
        <w:rPr>
          <w:rFonts w:ascii="Calibri" w:eastAsia="Times New Roman" w:hAnsi="Calibri" w:cs="Calibri"/>
          <w:color w:val="000000"/>
        </w:rPr>
        <w:t xml:space="preserve"> MEDLINE, Embase, </w:t>
      </w:r>
      <w:proofErr w:type="spellStart"/>
      <w:r w:rsidRPr="00BC1E71">
        <w:rPr>
          <w:rFonts w:ascii="Calibri" w:eastAsia="Times New Roman" w:hAnsi="Calibri" w:cs="Calibri"/>
          <w:color w:val="000000"/>
        </w:rPr>
        <w:t>PsycInfo</w:t>
      </w:r>
      <w:proofErr w:type="spellEnd"/>
      <w:r w:rsidRPr="00BC1E71">
        <w:rPr>
          <w:rFonts w:ascii="Calibri" w:eastAsia="Times New Roman" w:hAnsi="Calibri" w:cs="Calibri"/>
          <w:color w:val="000000"/>
        </w:rPr>
        <w:t xml:space="preserve">, </w:t>
      </w:r>
      <w:proofErr w:type="spellStart"/>
      <w:r w:rsidRPr="00BC1E71">
        <w:rPr>
          <w:rFonts w:ascii="Calibri" w:eastAsia="Times New Roman" w:hAnsi="Calibri" w:cs="Calibri"/>
          <w:color w:val="000000"/>
        </w:rPr>
        <w:t>Emcare</w:t>
      </w:r>
      <w:proofErr w:type="spellEnd"/>
      <w:r w:rsidRPr="00BC1E71">
        <w:rPr>
          <w:rFonts w:ascii="Calibri" w:eastAsia="Times New Roman" w:hAnsi="Calibri" w:cs="Calibri"/>
          <w:color w:val="000000"/>
        </w:rPr>
        <w:t>, Cochrane CENTRAL</w:t>
      </w:r>
    </w:p>
    <w:p w14:paraId="2AC9AF90" w14:textId="04C79991" w:rsidR="00BC1E71" w:rsidRPr="00BC1E71" w:rsidRDefault="00BC1E71" w:rsidP="00916171">
      <w:pPr>
        <w:keepNext/>
        <w:keepLines/>
        <w:spacing w:before="120" w:line="240" w:lineRule="auto"/>
        <w:ind w:left="340"/>
        <w:rPr>
          <w:rFonts w:ascii="Calibri" w:eastAsia="Times New Roman" w:hAnsi="Calibri" w:cs="Calibri"/>
          <w:b/>
        </w:rPr>
      </w:pPr>
      <w:r w:rsidRPr="00BC1E71">
        <w:rPr>
          <w:rFonts w:ascii="Calibri" w:eastAsia="Times New Roman" w:hAnsi="Calibri" w:cs="Calibri"/>
          <w:b/>
        </w:rPr>
        <w:t xml:space="preserve">Question 4: </w:t>
      </w:r>
      <w:r w:rsidRPr="00BC1E71">
        <w:rPr>
          <w:rFonts w:ascii="Calibri" w:eastAsia="Times New Roman" w:hAnsi="Calibri" w:cs="Calibri"/>
          <w:color w:val="000000"/>
        </w:rPr>
        <w:t>Are there any existing measures/ health promotion tools/ interventions/ programs that could be tailored and piloted nationally to improve health equity and health literacy for women in priority populations?</w:t>
      </w:r>
    </w:p>
    <w:p w14:paraId="2ED3CDBA" w14:textId="1FA7BBE0" w:rsidR="00BC1E71" w:rsidRPr="00BC1E71" w:rsidRDefault="00BC1E71" w:rsidP="00916171">
      <w:pPr>
        <w:keepNext/>
        <w:keepLines/>
        <w:spacing w:before="120" w:after="0" w:line="240" w:lineRule="auto"/>
        <w:ind w:left="340"/>
        <w:rPr>
          <w:rFonts w:ascii="Calibri" w:eastAsia="Times New Roman" w:hAnsi="Calibri" w:cs="Calibri"/>
          <w:bCs/>
        </w:rPr>
      </w:pPr>
      <w:r w:rsidRPr="00BC1E71">
        <w:rPr>
          <w:rFonts w:ascii="Calibri" w:eastAsia="Times New Roman" w:hAnsi="Calibri" w:cs="Calibri"/>
          <w:bCs/>
        </w:rPr>
        <w:t xml:space="preserve">Data source: </w:t>
      </w:r>
      <w:r w:rsidRPr="00BC1E71">
        <w:rPr>
          <w:rFonts w:ascii="Calibri" w:eastAsia="Times New Roman" w:hAnsi="Calibri" w:cs="Calibri"/>
          <w:color w:val="000000"/>
        </w:rPr>
        <w:t>Update search of Alcalde-Rubio 2020</w:t>
      </w:r>
    </w:p>
    <w:p w14:paraId="52810AF4" w14:textId="70D11773" w:rsidR="00BC1E71" w:rsidRPr="00BC1E71" w:rsidRDefault="00BC1E71" w:rsidP="00916171">
      <w:pPr>
        <w:keepNext/>
        <w:keepLines/>
        <w:spacing w:before="120" w:line="240" w:lineRule="auto"/>
        <w:ind w:left="340"/>
        <w:rPr>
          <w:rFonts w:ascii="Calibri" w:eastAsia="Times New Roman" w:hAnsi="Calibri" w:cs="Calibri"/>
          <w:b/>
        </w:rPr>
      </w:pPr>
      <w:r w:rsidRPr="00BC1E71">
        <w:rPr>
          <w:rFonts w:ascii="Calibri" w:eastAsia="Times New Roman" w:hAnsi="Calibri" w:cs="Calibri"/>
          <w:b/>
        </w:rPr>
        <w:t xml:space="preserve">Question 5: </w:t>
      </w:r>
      <w:r w:rsidRPr="00BC1E71">
        <w:rPr>
          <w:rFonts w:ascii="Calibri" w:eastAsia="Times New Roman" w:hAnsi="Calibri" w:cs="Calibri"/>
          <w:color w:val="000000"/>
        </w:rPr>
        <w:t xml:space="preserve">What are the gaps in data collection? </w:t>
      </w:r>
      <w:r w:rsidRPr="00BC1E71">
        <w:t xml:space="preserve"> e.g. instances where standard reporting does not include</w:t>
      </w:r>
      <w:r w:rsidRPr="00BC1E71">
        <w:rPr>
          <w:spacing w:val="-3"/>
        </w:rPr>
        <w:t xml:space="preserve"> </w:t>
      </w:r>
      <w:r w:rsidRPr="00BC1E71">
        <w:t>disaggregation</w:t>
      </w:r>
      <w:r w:rsidRPr="00BC1E71">
        <w:rPr>
          <w:spacing w:val="-3"/>
        </w:rPr>
        <w:t xml:space="preserve"> </w:t>
      </w:r>
      <w:r w:rsidRPr="00BC1E71">
        <w:t>by</w:t>
      </w:r>
      <w:r w:rsidRPr="00BC1E71">
        <w:rPr>
          <w:spacing w:val="-3"/>
        </w:rPr>
        <w:t xml:space="preserve"> </w:t>
      </w:r>
      <w:r w:rsidRPr="00BC1E71">
        <w:t>sex</w:t>
      </w:r>
      <w:r w:rsidRPr="00BC1E71">
        <w:rPr>
          <w:spacing w:val="-3"/>
        </w:rPr>
        <w:t xml:space="preserve"> </w:t>
      </w:r>
      <w:r w:rsidRPr="00BC1E71">
        <w:t>and/or</w:t>
      </w:r>
      <w:r w:rsidRPr="00BC1E71">
        <w:rPr>
          <w:spacing w:val="-3"/>
        </w:rPr>
        <w:t xml:space="preserve"> </w:t>
      </w:r>
      <w:r w:rsidRPr="00BC1E71">
        <w:t>gender</w:t>
      </w:r>
      <w:r w:rsidRPr="00BC1E71">
        <w:rPr>
          <w:spacing w:val="-3"/>
        </w:rPr>
        <w:t xml:space="preserve"> </w:t>
      </w:r>
      <w:r w:rsidRPr="00BC1E71">
        <w:t>and</w:t>
      </w:r>
      <w:r w:rsidRPr="00BC1E71">
        <w:rPr>
          <w:spacing w:val="-3"/>
        </w:rPr>
        <w:t xml:space="preserve"> </w:t>
      </w:r>
      <w:r w:rsidRPr="00BC1E71">
        <w:t>identify</w:t>
      </w:r>
      <w:r w:rsidRPr="00BC1E71">
        <w:rPr>
          <w:spacing w:val="-3"/>
        </w:rPr>
        <w:t xml:space="preserve"> </w:t>
      </w:r>
      <w:r w:rsidRPr="00BC1E71">
        <w:t>disparities</w:t>
      </w:r>
      <w:r w:rsidRPr="00BC1E71">
        <w:rPr>
          <w:spacing w:val="-3"/>
        </w:rPr>
        <w:t xml:space="preserve"> </w:t>
      </w:r>
      <w:r w:rsidRPr="00BC1E71">
        <w:t>in</w:t>
      </w:r>
      <w:r w:rsidRPr="00BC1E71">
        <w:rPr>
          <w:spacing w:val="-3"/>
        </w:rPr>
        <w:t xml:space="preserve"> </w:t>
      </w:r>
      <w:r w:rsidRPr="00BC1E71">
        <w:t>health</w:t>
      </w:r>
      <w:r w:rsidRPr="00BC1E71">
        <w:rPr>
          <w:spacing w:val="-3"/>
        </w:rPr>
        <w:t xml:space="preserve"> </w:t>
      </w:r>
      <w:r w:rsidRPr="00BC1E71">
        <w:t>outcomes</w:t>
      </w:r>
      <w:r w:rsidRPr="00BC1E71">
        <w:rPr>
          <w:spacing w:val="-3"/>
        </w:rPr>
        <w:t xml:space="preserve"> </w:t>
      </w:r>
      <w:proofErr w:type="gramStart"/>
      <w:r w:rsidRPr="00BC1E71">
        <w:t>on the basis of</w:t>
      </w:r>
      <w:proofErr w:type="gramEnd"/>
      <w:r w:rsidRPr="00BC1E71">
        <w:t xml:space="preserve"> sex.</w:t>
      </w:r>
    </w:p>
    <w:p w14:paraId="5DDB5D89" w14:textId="0A544876" w:rsidR="00BC1E71" w:rsidRPr="00BC1E71" w:rsidRDefault="00BC1E71" w:rsidP="00916171">
      <w:pPr>
        <w:keepNext/>
        <w:keepLines/>
        <w:spacing w:before="120" w:line="240" w:lineRule="auto"/>
        <w:ind w:left="340"/>
        <w:rPr>
          <w:rFonts w:ascii="Calibri" w:eastAsia="Times New Roman" w:hAnsi="Calibri" w:cs="Calibri"/>
          <w:bCs/>
        </w:rPr>
      </w:pPr>
      <w:r w:rsidRPr="00BC1E71">
        <w:rPr>
          <w:rFonts w:ascii="Calibri" w:eastAsia="Times New Roman" w:hAnsi="Calibri" w:cs="Calibri"/>
          <w:bCs/>
        </w:rPr>
        <w:t xml:space="preserve">Data source: </w:t>
      </w:r>
      <w:r w:rsidRPr="00BC1E71">
        <w:rPr>
          <w:rFonts w:ascii="Calibri" w:eastAsia="Times New Roman" w:hAnsi="Calibri" w:cs="Calibri"/>
          <w:color w:val="000000"/>
        </w:rPr>
        <w:t>MEDLINE</w:t>
      </w:r>
    </w:p>
    <w:p w14:paraId="27DF382A" w14:textId="77777777" w:rsidR="00EB2B55" w:rsidRPr="00BC1E71" w:rsidRDefault="00EB2B55" w:rsidP="003414BB">
      <w:pPr>
        <w:pStyle w:val="Heading3"/>
        <w:rPr>
          <w:rFonts w:asciiTheme="minorHAnsi" w:hAnsiTheme="minorHAnsi" w:cstheme="minorHAnsi"/>
          <w:b/>
          <w:bCs/>
        </w:rPr>
      </w:pPr>
      <w:r w:rsidRPr="00BC1E71">
        <w:rPr>
          <w:rFonts w:asciiTheme="minorHAnsi" w:hAnsiTheme="minorHAnsi" w:cstheme="minorHAnsi"/>
          <w:b/>
          <w:bCs/>
          <w:color w:val="auto"/>
        </w:rPr>
        <w:t>Selection of articles</w:t>
      </w:r>
    </w:p>
    <w:p w14:paraId="4DE7F00F" w14:textId="70CFD487" w:rsidR="00EB2B55" w:rsidRPr="00672DBE" w:rsidRDefault="00EB2B55" w:rsidP="00916171">
      <w:pPr>
        <w:spacing w:line="240" w:lineRule="auto"/>
        <w:jc w:val="both"/>
      </w:pPr>
      <w:r w:rsidRPr="00672DBE">
        <w:rPr>
          <w:rFonts w:ascii="Calibri" w:eastAsia="Times New Roman" w:hAnsi="Calibri" w:cs="Calibri"/>
          <w:color w:val="000000"/>
        </w:rPr>
        <w:t>Records retrieved from the database searches were imported into EndNote and duplicates manually removed. Screening was piloted on a sample of 400 records independently by two team members (TH, SM) to ensure the selection criteria were being interpreted appropriately. After piloting, one team member (TH) screened the remaining citations, using groups in EndNote to triage records to the appropriate review question(s). Any uncertainties were resolved through discussion with a senior researcher (MK).</w:t>
      </w:r>
    </w:p>
    <w:p w14:paraId="27612D5B" w14:textId="206D5DB3" w:rsidR="00EB2B55" w:rsidRPr="00916171" w:rsidRDefault="00EB2B55" w:rsidP="00916171">
      <w:pPr>
        <w:pStyle w:val="Heading2"/>
        <w:numPr>
          <w:ilvl w:val="1"/>
          <w:numId w:val="7"/>
        </w:numPr>
        <w:spacing w:before="0" w:after="160"/>
        <w:rPr>
          <w:rFonts w:asciiTheme="minorHAnsi" w:hAnsiTheme="minorHAnsi" w:cstheme="minorHAnsi"/>
          <w:b/>
          <w:bCs/>
          <w:color w:val="30785B"/>
          <w:sz w:val="28"/>
          <w:szCs w:val="28"/>
        </w:rPr>
      </w:pPr>
      <w:bookmarkStart w:id="147" w:name="_Toc161756589"/>
      <w:bookmarkStart w:id="148" w:name="_Toc161757512"/>
      <w:bookmarkStart w:id="149" w:name="_Toc161763937"/>
      <w:bookmarkStart w:id="150" w:name="_Toc165204992"/>
      <w:bookmarkStart w:id="151" w:name="_Toc168390500"/>
      <w:bookmarkStart w:id="152" w:name="_Toc168390868"/>
      <w:bookmarkStart w:id="153" w:name="_Toc168390934"/>
      <w:bookmarkStart w:id="154" w:name="_Toc168392066"/>
      <w:bookmarkStart w:id="155" w:name="_Toc168392423"/>
      <w:bookmarkStart w:id="156" w:name="_Toc168393596"/>
      <w:bookmarkStart w:id="157" w:name="_Toc168393638"/>
      <w:bookmarkStart w:id="158" w:name="_Toc168394312"/>
      <w:bookmarkStart w:id="159" w:name="_Toc168394450"/>
      <w:r w:rsidRPr="00916171">
        <w:rPr>
          <w:rFonts w:asciiTheme="minorHAnsi" w:hAnsiTheme="minorHAnsi" w:cstheme="minorHAnsi"/>
          <w:b/>
          <w:bCs/>
          <w:color w:val="30785B"/>
          <w:sz w:val="28"/>
          <w:szCs w:val="28"/>
        </w:rPr>
        <w:t>Selection Criteria</w:t>
      </w:r>
      <w:bookmarkEnd w:id="147"/>
      <w:bookmarkEnd w:id="148"/>
      <w:bookmarkEnd w:id="149"/>
      <w:bookmarkEnd w:id="150"/>
      <w:bookmarkEnd w:id="151"/>
      <w:bookmarkEnd w:id="152"/>
      <w:bookmarkEnd w:id="153"/>
      <w:bookmarkEnd w:id="154"/>
      <w:bookmarkEnd w:id="155"/>
      <w:bookmarkEnd w:id="156"/>
      <w:bookmarkEnd w:id="157"/>
      <w:bookmarkEnd w:id="158"/>
      <w:bookmarkEnd w:id="159"/>
    </w:p>
    <w:p w14:paraId="5615B8C0" w14:textId="028D8B22" w:rsidR="00EB2B55" w:rsidRPr="00672DBE" w:rsidRDefault="00EB2B55" w:rsidP="003414BB">
      <w:pPr>
        <w:rPr>
          <w:rFonts w:cstheme="minorHAnsi"/>
        </w:rPr>
      </w:pPr>
      <w:r w:rsidRPr="00672DBE">
        <w:rPr>
          <w:rFonts w:cstheme="minorHAnsi"/>
        </w:rPr>
        <w:t xml:space="preserve">The </w:t>
      </w:r>
      <w:r w:rsidR="00D51C32" w:rsidRPr="00672DBE">
        <w:rPr>
          <w:rFonts w:cstheme="minorHAnsi"/>
        </w:rPr>
        <w:t>se</w:t>
      </w:r>
      <w:r w:rsidR="00D51C32">
        <w:rPr>
          <w:rFonts w:cstheme="minorHAnsi"/>
        </w:rPr>
        <w:t>arch</w:t>
      </w:r>
      <w:r w:rsidR="00D51C32" w:rsidRPr="00672DBE">
        <w:rPr>
          <w:rFonts w:cstheme="minorHAnsi"/>
        </w:rPr>
        <w:t xml:space="preserve"> </w:t>
      </w:r>
      <w:r w:rsidRPr="00672DBE">
        <w:rPr>
          <w:rFonts w:cstheme="minorHAnsi"/>
        </w:rPr>
        <w:t xml:space="preserve">criteria defined in advance by the Australian Government Department of Health and Aged Care and elaborated by Monash University </w:t>
      </w:r>
      <w:r w:rsidR="001546E0">
        <w:rPr>
          <w:rFonts w:cstheme="minorHAnsi"/>
        </w:rPr>
        <w:t>we</w:t>
      </w:r>
      <w:r w:rsidRPr="00672DBE">
        <w:rPr>
          <w:rFonts w:cstheme="minorHAnsi"/>
        </w:rPr>
        <w:t>re as follows:</w:t>
      </w:r>
    </w:p>
    <w:p w14:paraId="0F7F64FF" w14:textId="77777777" w:rsidR="00EB2B55" w:rsidRPr="00672DBE" w:rsidRDefault="00EB2B55" w:rsidP="00916171">
      <w:pPr>
        <w:spacing w:after="120"/>
        <w:jc w:val="both"/>
        <w:rPr>
          <w:rFonts w:cstheme="minorHAnsi"/>
          <w:b/>
        </w:rPr>
      </w:pPr>
      <w:r w:rsidRPr="00672DBE">
        <w:rPr>
          <w:rFonts w:cstheme="minorHAnsi"/>
          <w:b/>
        </w:rPr>
        <w:t>Inclusion criteria:</w:t>
      </w:r>
    </w:p>
    <w:p w14:paraId="25523A38" w14:textId="70146459" w:rsidR="00EB2B55" w:rsidRPr="00BC1E71" w:rsidRDefault="00EB2B55" w:rsidP="00BC1E71">
      <w:pPr>
        <w:pStyle w:val="ListParagraph"/>
        <w:numPr>
          <w:ilvl w:val="0"/>
          <w:numId w:val="40"/>
        </w:numPr>
        <w:spacing w:after="120"/>
        <w:jc w:val="both"/>
        <w:rPr>
          <w:rFonts w:cstheme="minorHAnsi"/>
        </w:rPr>
      </w:pPr>
      <w:r w:rsidRPr="00BC1E71">
        <w:rPr>
          <w:rFonts w:cstheme="minorHAnsi"/>
        </w:rPr>
        <w:t xml:space="preserve">Women and girls of </w:t>
      </w:r>
      <w:r w:rsidR="00F055BB" w:rsidRPr="00BC1E71">
        <w:rPr>
          <w:rFonts w:cstheme="minorHAnsi"/>
        </w:rPr>
        <w:t xml:space="preserve">any </w:t>
      </w:r>
      <w:r w:rsidRPr="00BC1E71">
        <w:rPr>
          <w:rFonts w:cstheme="minorHAnsi"/>
        </w:rPr>
        <w:t xml:space="preserve">age </w:t>
      </w:r>
      <w:proofErr w:type="gramStart"/>
      <w:r w:rsidRPr="00BC1E71">
        <w:rPr>
          <w:rFonts w:cstheme="minorHAnsi"/>
        </w:rPr>
        <w:t>group;</w:t>
      </w:r>
      <w:proofErr w:type="gramEnd"/>
    </w:p>
    <w:p w14:paraId="5E9036EE" w14:textId="02677546" w:rsidR="00EB2B55" w:rsidRPr="00BC1E71" w:rsidRDefault="00EB2B55" w:rsidP="00BC1E71">
      <w:pPr>
        <w:pStyle w:val="ListParagraph"/>
        <w:numPr>
          <w:ilvl w:val="0"/>
          <w:numId w:val="40"/>
        </w:numPr>
        <w:spacing w:after="120"/>
        <w:jc w:val="both"/>
        <w:rPr>
          <w:rFonts w:cstheme="minorHAnsi"/>
        </w:rPr>
      </w:pPr>
      <w:r w:rsidRPr="00BC1E71">
        <w:rPr>
          <w:rFonts w:cstheme="minorHAnsi"/>
        </w:rPr>
        <w:t xml:space="preserve">First Nations, LGBTIQ+, CALD, migrant/refugee, disabled, socioeconomically disadvantaged, and regional/remote women and </w:t>
      </w:r>
      <w:proofErr w:type="gramStart"/>
      <w:r w:rsidRPr="00BC1E71">
        <w:rPr>
          <w:rFonts w:cstheme="minorHAnsi"/>
        </w:rPr>
        <w:t>girls;</w:t>
      </w:r>
      <w:proofErr w:type="gramEnd"/>
    </w:p>
    <w:p w14:paraId="5D983854" w14:textId="36CCA9B4" w:rsidR="00EB2B55" w:rsidRPr="00BC1E71" w:rsidRDefault="00EB2B55" w:rsidP="00BC1E71">
      <w:pPr>
        <w:pStyle w:val="ListParagraph"/>
        <w:numPr>
          <w:ilvl w:val="0"/>
          <w:numId w:val="40"/>
        </w:numPr>
        <w:spacing w:after="120"/>
        <w:jc w:val="both"/>
        <w:rPr>
          <w:rFonts w:cstheme="minorHAnsi"/>
        </w:rPr>
      </w:pPr>
      <w:r w:rsidRPr="00BC1E71">
        <w:rPr>
          <w:rFonts w:cstheme="minorHAnsi"/>
        </w:rPr>
        <w:t>Research conducted in Australia and overseas (in economically similar countries</w:t>
      </w:r>
      <w:proofErr w:type="gramStart"/>
      <w:r w:rsidRPr="00BC1E71">
        <w:rPr>
          <w:rFonts w:cstheme="minorHAnsi"/>
        </w:rPr>
        <w:t>);</w:t>
      </w:r>
      <w:proofErr w:type="gramEnd"/>
    </w:p>
    <w:p w14:paraId="33B5CFA0" w14:textId="66ED949A" w:rsidR="00EB2B55" w:rsidRPr="00BC1E71" w:rsidRDefault="00EB2B55" w:rsidP="00BC1E71">
      <w:pPr>
        <w:pStyle w:val="ListParagraph"/>
        <w:numPr>
          <w:ilvl w:val="0"/>
          <w:numId w:val="40"/>
        </w:numPr>
        <w:spacing w:after="120"/>
        <w:jc w:val="both"/>
        <w:rPr>
          <w:rFonts w:cstheme="minorHAnsi"/>
        </w:rPr>
      </w:pPr>
      <w:r w:rsidRPr="00BC1E71">
        <w:rPr>
          <w:rFonts w:cstheme="minorHAnsi"/>
        </w:rPr>
        <w:t xml:space="preserve">Prospective and retrospective </w:t>
      </w:r>
      <w:proofErr w:type="gramStart"/>
      <w:r w:rsidRPr="00BC1E71">
        <w:rPr>
          <w:rFonts w:cstheme="minorHAnsi"/>
        </w:rPr>
        <w:t>studies;</w:t>
      </w:r>
      <w:proofErr w:type="gramEnd"/>
    </w:p>
    <w:p w14:paraId="60EAF02F" w14:textId="5FC8E14D" w:rsidR="00EB2B55" w:rsidRPr="00BC1E71" w:rsidRDefault="00EB2B55" w:rsidP="00BC1E71">
      <w:pPr>
        <w:pStyle w:val="ListParagraph"/>
        <w:numPr>
          <w:ilvl w:val="0"/>
          <w:numId w:val="40"/>
        </w:numPr>
        <w:spacing w:after="120"/>
        <w:jc w:val="both"/>
        <w:rPr>
          <w:rFonts w:cstheme="minorHAnsi"/>
        </w:rPr>
      </w:pPr>
      <w:r w:rsidRPr="00BC1E71">
        <w:rPr>
          <w:rFonts w:cstheme="minorHAnsi"/>
        </w:rPr>
        <w:t>Any type of evaluation study (using qualitative, quantitative, or mixed methods</w:t>
      </w:r>
      <w:proofErr w:type="gramStart"/>
      <w:r w:rsidRPr="00BC1E71">
        <w:rPr>
          <w:rFonts w:cstheme="minorHAnsi"/>
        </w:rPr>
        <w:t>);</w:t>
      </w:r>
      <w:proofErr w:type="gramEnd"/>
    </w:p>
    <w:p w14:paraId="300D2AB8" w14:textId="5883CEEE" w:rsidR="00EB2B55" w:rsidRPr="00BC1E71" w:rsidRDefault="00EB2B55" w:rsidP="00BC1E71">
      <w:pPr>
        <w:pStyle w:val="ListParagraph"/>
        <w:numPr>
          <w:ilvl w:val="0"/>
          <w:numId w:val="40"/>
        </w:numPr>
        <w:spacing w:after="120"/>
        <w:jc w:val="both"/>
        <w:rPr>
          <w:rFonts w:cstheme="minorHAnsi"/>
        </w:rPr>
      </w:pPr>
      <w:r w:rsidRPr="00BC1E71">
        <w:rPr>
          <w:rFonts w:cstheme="minorHAnsi"/>
        </w:rPr>
        <w:t>Programs, interventions, measures, policy reforms, or laws that apply a gendered approach, targeting healthcare users (women or girls) or healthcare providers, applied across different settings (community, health facility, health system</w:t>
      </w:r>
      <w:proofErr w:type="gramStart"/>
      <w:r w:rsidRPr="00BC1E71">
        <w:rPr>
          <w:rFonts w:cstheme="minorHAnsi"/>
        </w:rPr>
        <w:t>);</w:t>
      </w:r>
      <w:proofErr w:type="gramEnd"/>
    </w:p>
    <w:p w14:paraId="3F2B18C9" w14:textId="023C9C53" w:rsidR="00EB2B55" w:rsidRPr="00BC1E71" w:rsidRDefault="00EB2B55" w:rsidP="00BC1E71">
      <w:pPr>
        <w:pStyle w:val="ListParagraph"/>
        <w:numPr>
          <w:ilvl w:val="0"/>
          <w:numId w:val="40"/>
        </w:numPr>
        <w:spacing w:after="120"/>
        <w:jc w:val="both"/>
        <w:rPr>
          <w:rFonts w:cstheme="minorHAnsi"/>
        </w:rPr>
      </w:pPr>
      <w:r w:rsidRPr="00BC1E71">
        <w:rPr>
          <w:rFonts w:cstheme="minorHAnsi"/>
        </w:rPr>
        <w:t>Peer-reviewed papers and grey literature published in English from January 2014 to the present.</w:t>
      </w:r>
    </w:p>
    <w:p w14:paraId="1E8FB482" w14:textId="77777777" w:rsidR="00916171" w:rsidRDefault="00916171" w:rsidP="00E320AF">
      <w:pPr>
        <w:rPr>
          <w:rFonts w:cstheme="minorHAnsi"/>
          <w:b/>
        </w:rPr>
      </w:pPr>
    </w:p>
    <w:p w14:paraId="73629F2C" w14:textId="403A7B0F" w:rsidR="00EB2B55" w:rsidRPr="00672DBE" w:rsidRDefault="00EB2B55" w:rsidP="00E320AF">
      <w:pPr>
        <w:rPr>
          <w:rFonts w:cstheme="minorHAnsi"/>
          <w:b/>
        </w:rPr>
      </w:pPr>
      <w:r w:rsidRPr="00672DBE">
        <w:rPr>
          <w:rFonts w:cstheme="minorHAnsi"/>
          <w:b/>
        </w:rPr>
        <w:lastRenderedPageBreak/>
        <w:t>Exclusion criteria:</w:t>
      </w:r>
    </w:p>
    <w:p w14:paraId="2981581E" w14:textId="66382118" w:rsidR="00EB2B55" w:rsidRPr="00BC1E71" w:rsidRDefault="00EB2B55" w:rsidP="00BC1E71">
      <w:pPr>
        <w:pStyle w:val="ListParagraph"/>
        <w:numPr>
          <w:ilvl w:val="0"/>
          <w:numId w:val="40"/>
        </w:numPr>
        <w:spacing w:after="120"/>
        <w:rPr>
          <w:rFonts w:cstheme="minorHAnsi"/>
        </w:rPr>
      </w:pPr>
      <w:r w:rsidRPr="00BC1E71">
        <w:rPr>
          <w:rFonts w:cstheme="minorHAnsi"/>
        </w:rPr>
        <w:t xml:space="preserve">Workplace gender equality, including equity in pay, leadership, participation, recruitment, career progression, and work </w:t>
      </w:r>
      <w:proofErr w:type="gramStart"/>
      <w:r w:rsidRPr="00BC1E71">
        <w:rPr>
          <w:rFonts w:cstheme="minorHAnsi"/>
        </w:rPr>
        <w:t>conditions;</w:t>
      </w:r>
      <w:proofErr w:type="gramEnd"/>
    </w:p>
    <w:p w14:paraId="621E378F" w14:textId="4F924BAF" w:rsidR="00EB2B55" w:rsidRPr="00BC1E71" w:rsidRDefault="00EB2B55" w:rsidP="00BC1E71">
      <w:pPr>
        <w:pStyle w:val="ListParagraph"/>
        <w:numPr>
          <w:ilvl w:val="0"/>
          <w:numId w:val="40"/>
        </w:numPr>
        <w:spacing w:after="120"/>
        <w:rPr>
          <w:rFonts w:cstheme="minorHAnsi"/>
        </w:rPr>
      </w:pPr>
      <w:r w:rsidRPr="00BC1E71">
        <w:rPr>
          <w:rFonts w:cstheme="minorHAnsi"/>
        </w:rPr>
        <w:t xml:space="preserve">Gender equality strategies of businesses and </w:t>
      </w:r>
      <w:proofErr w:type="gramStart"/>
      <w:r w:rsidRPr="00BC1E71">
        <w:rPr>
          <w:rFonts w:cstheme="minorHAnsi"/>
        </w:rPr>
        <w:t>employers;</w:t>
      </w:r>
      <w:proofErr w:type="gramEnd"/>
    </w:p>
    <w:p w14:paraId="3C465FC9" w14:textId="6E7447A3" w:rsidR="00EB2B55" w:rsidRPr="00BC1E71" w:rsidRDefault="00EB2B55" w:rsidP="00BC1E71">
      <w:pPr>
        <w:pStyle w:val="ListParagraph"/>
        <w:numPr>
          <w:ilvl w:val="0"/>
          <w:numId w:val="40"/>
        </w:numPr>
        <w:spacing w:after="120"/>
        <w:rPr>
          <w:rFonts w:cstheme="minorHAnsi"/>
        </w:rPr>
      </w:pPr>
      <w:r w:rsidRPr="00BC1E71">
        <w:rPr>
          <w:rFonts w:cstheme="minorHAnsi"/>
        </w:rPr>
        <w:t xml:space="preserve">Gender equity issues covered by the National Strategy to Achieve Gender </w:t>
      </w:r>
      <w:proofErr w:type="gramStart"/>
      <w:r w:rsidRPr="00BC1E71">
        <w:rPr>
          <w:rFonts w:cstheme="minorHAnsi"/>
        </w:rPr>
        <w:t>Equality;</w:t>
      </w:r>
      <w:proofErr w:type="gramEnd"/>
    </w:p>
    <w:p w14:paraId="72D57F01" w14:textId="1DDE3752" w:rsidR="00EB2B55" w:rsidRPr="00BC1E71" w:rsidRDefault="00EB2B55" w:rsidP="00BC1E71">
      <w:pPr>
        <w:pStyle w:val="ListParagraph"/>
        <w:numPr>
          <w:ilvl w:val="0"/>
          <w:numId w:val="40"/>
        </w:numPr>
        <w:spacing w:after="120"/>
        <w:rPr>
          <w:rFonts w:cstheme="minorHAnsi"/>
        </w:rPr>
      </w:pPr>
      <w:r w:rsidRPr="00BC1E71">
        <w:rPr>
          <w:rFonts w:cstheme="minorHAnsi"/>
        </w:rPr>
        <w:t xml:space="preserve">Female representation or gender balance on </w:t>
      </w:r>
      <w:proofErr w:type="gramStart"/>
      <w:r w:rsidRPr="00BC1E71">
        <w:rPr>
          <w:rFonts w:cstheme="minorHAnsi"/>
        </w:rPr>
        <w:t>boards;</w:t>
      </w:r>
      <w:proofErr w:type="gramEnd"/>
    </w:p>
    <w:p w14:paraId="0376332B" w14:textId="1A4E29AA" w:rsidR="00EB2B55" w:rsidRPr="00BC1E71" w:rsidRDefault="00EB2B55" w:rsidP="00BC1E71">
      <w:pPr>
        <w:pStyle w:val="ListParagraph"/>
        <w:numPr>
          <w:ilvl w:val="0"/>
          <w:numId w:val="40"/>
        </w:numPr>
        <w:spacing w:after="120"/>
        <w:rPr>
          <w:rFonts w:cstheme="minorHAnsi"/>
        </w:rPr>
      </w:pPr>
      <w:r w:rsidRPr="00BC1E71">
        <w:rPr>
          <w:rFonts w:cstheme="minorHAnsi"/>
        </w:rPr>
        <w:t xml:space="preserve">Gendered occupations and </w:t>
      </w:r>
      <w:proofErr w:type="gramStart"/>
      <w:r w:rsidRPr="00BC1E71">
        <w:rPr>
          <w:rFonts w:cstheme="minorHAnsi"/>
        </w:rPr>
        <w:t>industries;</w:t>
      </w:r>
      <w:proofErr w:type="gramEnd"/>
    </w:p>
    <w:p w14:paraId="68959804" w14:textId="00C988FC" w:rsidR="00EB2B55" w:rsidRPr="00BC1E71" w:rsidRDefault="00EB2B55" w:rsidP="00BC1E71">
      <w:pPr>
        <w:pStyle w:val="ListParagraph"/>
        <w:numPr>
          <w:ilvl w:val="0"/>
          <w:numId w:val="40"/>
        </w:numPr>
        <w:spacing w:after="120"/>
        <w:rPr>
          <w:rFonts w:cstheme="minorHAnsi"/>
        </w:rPr>
      </w:pPr>
      <w:r w:rsidRPr="00BC1E71">
        <w:rPr>
          <w:rFonts w:cstheme="minorHAnsi"/>
        </w:rPr>
        <w:t xml:space="preserve">Numbers of women vs men taking up medicine or sex disparity in medical </w:t>
      </w:r>
      <w:proofErr w:type="gramStart"/>
      <w:r w:rsidRPr="00BC1E71">
        <w:rPr>
          <w:rFonts w:cstheme="minorHAnsi"/>
        </w:rPr>
        <w:t>specialisation;</w:t>
      </w:r>
      <w:proofErr w:type="gramEnd"/>
    </w:p>
    <w:p w14:paraId="655746CE" w14:textId="22CD2358" w:rsidR="00EB2B55" w:rsidRPr="00BC1E71" w:rsidRDefault="00EB2B55" w:rsidP="003414BB">
      <w:pPr>
        <w:pStyle w:val="ListParagraph"/>
        <w:numPr>
          <w:ilvl w:val="0"/>
          <w:numId w:val="40"/>
        </w:numPr>
        <w:spacing w:after="120"/>
        <w:rPr>
          <w:rFonts w:cstheme="minorHAnsi"/>
        </w:rPr>
      </w:pPr>
      <w:r w:rsidRPr="00BC1E71">
        <w:rPr>
          <w:rFonts w:cstheme="minorHAnsi"/>
        </w:rPr>
        <w:t>Special institutions or setting such as prisons, the military, and conflict zones including detention centres and refugee camps.</w:t>
      </w:r>
    </w:p>
    <w:p w14:paraId="2A6FD6F4" w14:textId="09F98840" w:rsidR="00110858" w:rsidRDefault="00110858" w:rsidP="00E320AF">
      <w:pPr>
        <w:rPr>
          <w:b/>
          <w:bCs/>
        </w:rPr>
      </w:pPr>
      <w:r>
        <w:rPr>
          <w:b/>
          <w:bCs/>
        </w:rPr>
        <w:t>Guidelines</w:t>
      </w:r>
    </w:p>
    <w:p w14:paraId="2CC33117" w14:textId="1688D065" w:rsidR="00E320AF" w:rsidRPr="00E320AF" w:rsidRDefault="00110858" w:rsidP="00E320AF">
      <w:pPr>
        <w:rPr>
          <w:rFonts w:cstheme="minorHAnsi"/>
        </w:rPr>
      </w:pPr>
      <w:r w:rsidRPr="00E320AF">
        <w:rPr>
          <w:rFonts w:cstheme="minorHAnsi"/>
        </w:rPr>
        <w:t>We established eligibility criteria for guidelines</w:t>
      </w:r>
      <w:r w:rsidR="00E320AF">
        <w:rPr>
          <w:rFonts w:cstheme="minorHAnsi"/>
        </w:rPr>
        <w:t>:</w:t>
      </w:r>
    </w:p>
    <w:p w14:paraId="29333512" w14:textId="6E0A8E4A" w:rsidR="00110858" w:rsidRPr="00BC1E71" w:rsidRDefault="00110858" w:rsidP="00BC1E71">
      <w:pPr>
        <w:pStyle w:val="ListParagraph"/>
        <w:numPr>
          <w:ilvl w:val="0"/>
          <w:numId w:val="45"/>
        </w:numPr>
        <w:spacing w:after="120"/>
        <w:rPr>
          <w:rFonts w:cstheme="minorHAnsi"/>
        </w:rPr>
      </w:pPr>
      <w:r w:rsidRPr="00BC1E71">
        <w:rPr>
          <w:rFonts w:cstheme="minorHAnsi"/>
        </w:rPr>
        <w:t xml:space="preserve">Published 2014-April </w:t>
      </w:r>
      <w:proofErr w:type="gramStart"/>
      <w:r w:rsidRPr="00BC1E71">
        <w:rPr>
          <w:rFonts w:cstheme="minorHAnsi"/>
        </w:rPr>
        <w:t>2024;</w:t>
      </w:r>
      <w:proofErr w:type="gramEnd"/>
    </w:p>
    <w:p w14:paraId="56FCD3E9" w14:textId="2C1C5736" w:rsidR="00E320AF" w:rsidRPr="00BC1E71" w:rsidRDefault="00110858" w:rsidP="00BC1E71">
      <w:pPr>
        <w:pStyle w:val="ListParagraph"/>
        <w:numPr>
          <w:ilvl w:val="0"/>
          <w:numId w:val="45"/>
        </w:numPr>
        <w:spacing w:after="120"/>
        <w:rPr>
          <w:rFonts w:cstheme="minorHAnsi"/>
        </w:rPr>
      </w:pPr>
      <w:r w:rsidRPr="00BC1E71">
        <w:rPr>
          <w:rFonts w:cstheme="minorHAnsi"/>
        </w:rPr>
        <w:t xml:space="preserve">Employed </w:t>
      </w:r>
      <w:r w:rsidRPr="00BC1E71">
        <w:rPr>
          <w:rFonts w:cstheme="minorHAnsi"/>
          <w:shd w:val="clear" w:color="auto" w:fill="FFFFFF"/>
        </w:rPr>
        <w:t>Grading of Recommendations, Assessment, Development, and Evaluations</w:t>
      </w:r>
      <w:r w:rsidR="00E320AF" w:rsidRPr="00BC1E71">
        <w:rPr>
          <w:rFonts w:cstheme="minorHAnsi"/>
          <w:shd w:val="clear" w:color="auto" w:fill="FFFFFF"/>
        </w:rPr>
        <w:t xml:space="preserve"> (GRADE</w:t>
      </w:r>
      <w:r w:rsidRPr="00BC1E71">
        <w:rPr>
          <w:rFonts w:cstheme="minorHAnsi"/>
          <w:shd w:val="clear" w:color="auto" w:fill="FFFFFF"/>
        </w:rPr>
        <w:t>)</w:t>
      </w:r>
      <w:r w:rsidR="00E320AF" w:rsidRPr="00BC1E71">
        <w:rPr>
          <w:rFonts w:cstheme="minorHAnsi"/>
          <w:shd w:val="clear" w:color="auto" w:fill="FFFFFF"/>
        </w:rPr>
        <w:t xml:space="preserve"> method or </w:t>
      </w:r>
      <w:proofErr w:type="gramStart"/>
      <w:r w:rsidR="00E320AF" w:rsidRPr="00BC1E71">
        <w:rPr>
          <w:rFonts w:cstheme="minorHAnsi"/>
          <w:shd w:val="clear" w:color="auto" w:fill="FFFFFF"/>
        </w:rPr>
        <w:t>similar;</w:t>
      </w:r>
      <w:proofErr w:type="gramEnd"/>
    </w:p>
    <w:p w14:paraId="604429BF" w14:textId="18E63604" w:rsidR="00EB2B55" w:rsidRPr="00672DBE" w:rsidRDefault="00E320AF" w:rsidP="00C035AE">
      <w:pPr>
        <w:pStyle w:val="ListParagraph"/>
        <w:numPr>
          <w:ilvl w:val="0"/>
          <w:numId w:val="45"/>
        </w:numPr>
        <w:spacing w:after="120"/>
      </w:pPr>
      <w:r w:rsidRPr="00916171">
        <w:rPr>
          <w:rFonts w:cstheme="minorHAnsi"/>
        </w:rPr>
        <w:t>If no statement of method, EITHER e</w:t>
      </w:r>
      <w:r w:rsidR="00110858" w:rsidRPr="00916171">
        <w:rPr>
          <w:rFonts w:cstheme="minorHAnsi"/>
        </w:rPr>
        <w:t xml:space="preserve">ndorsed by </w:t>
      </w:r>
      <w:r w:rsidR="00C6732C" w:rsidRPr="00916171">
        <w:rPr>
          <w:rFonts w:cstheme="minorHAnsi"/>
        </w:rPr>
        <w:t xml:space="preserve">the </w:t>
      </w:r>
      <w:r w:rsidR="00110858" w:rsidRPr="00916171">
        <w:rPr>
          <w:rFonts w:cstheme="minorHAnsi"/>
        </w:rPr>
        <w:t>NHMRC or other major national body</w:t>
      </w:r>
      <w:r w:rsidRPr="00916171">
        <w:rPr>
          <w:rFonts w:cstheme="minorHAnsi"/>
        </w:rPr>
        <w:t>,</w:t>
      </w:r>
      <w:r w:rsidR="00110858" w:rsidRPr="00916171">
        <w:rPr>
          <w:rFonts w:cstheme="minorHAnsi"/>
        </w:rPr>
        <w:t xml:space="preserve"> </w:t>
      </w:r>
      <w:r w:rsidRPr="00916171">
        <w:rPr>
          <w:rFonts w:cstheme="minorHAnsi"/>
        </w:rPr>
        <w:t>OR</w:t>
      </w:r>
      <w:r w:rsidR="00110858" w:rsidRPr="00916171">
        <w:rPr>
          <w:rFonts w:cstheme="minorHAnsi"/>
        </w:rPr>
        <w:t xml:space="preserve"> concern</w:t>
      </w:r>
      <w:r w:rsidRPr="00916171">
        <w:rPr>
          <w:rFonts w:cstheme="minorHAnsi"/>
        </w:rPr>
        <w:t>ed</w:t>
      </w:r>
      <w:r w:rsidR="00110858" w:rsidRPr="00916171">
        <w:rPr>
          <w:rFonts w:cstheme="minorHAnsi"/>
        </w:rPr>
        <w:t xml:space="preserve"> marginalised groups </w:t>
      </w:r>
      <w:r w:rsidRPr="00916171">
        <w:rPr>
          <w:rFonts w:cstheme="minorHAnsi"/>
        </w:rPr>
        <w:t>as listed above</w:t>
      </w:r>
      <w:r w:rsidR="00110858" w:rsidRPr="00916171">
        <w:rPr>
          <w:rFonts w:cstheme="minorHAnsi"/>
        </w:rPr>
        <w:t>.</w:t>
      </w:r>
    </w:p>
    <w:p w14:paraId="213E993A" w14:textId="3AF6FDB8" w:rsidR="00EB2B55" w:rsidRPr="00916171" w:rsidRDefault="00EB2B55" w:rsidP="00916171">
      <w:pPr>
        <w:pStyle w:val="Heading2"/>
        <w:numPr>
          <w:ilvl w:val="1"/>
          <w:numId w:val="8"/>
        </w:numPr>
        <w:spacing w:before="0" w:after="160"/>
        <w:rPr>
          <w:rFonts w:asciiTheme="minorHAnsi" w:hAnsiTheme="minorHAnsi" w:cstheme="minorHAnsi"/>
          <w:b/>
          <w:bCs/>
          <w:color w:val="30785B"/>
          <w:sz w:val="28"/>
          <w:szCs w:val="28"/>
        </w:rPr>
      </w:pPr>
      <w:bookmarkStart w:id="160" w:name="_Toc161756590"/>
      <w:bookmarkStart w:id="161" w:name="_Toc161757513"/>
      <w:bookmarkStart w:id="162" w:name="_Toc161763938"/>
      <w:bookmarkStart w:id="163" w:name="_Toc165204993"/>
      <w:bookmarkStart w:id="164" w:name="_Toc168390501"/>
      <w:bookmarkStart w:id="165" w:name="_Toc168390869"/>
      <w:bookmarkStart w:id="166" w:name="_Toc168390935"/>
      <w:bookmarkStart w:id="167" w:name="_Toc168392067"/>
      <w:bookmarkStart w:id="168" w:name="_Toc168392424"/>
      <w:bookmarkStart w:id="169" w:name="_Toc168393597"/>
      <w:bookmarkStart w:id="170" w:name="_Toc168393639"/>
      <w:bookmarkStart w:id="171" w:name="_Toc168394313"/>
      <w:bookmarkStart w:id="172" w:name="_Toc168394451"/>
      <w:r w:rsidRPr="00916171">
        <w:rPr>
          <w:rFonts w:asciiTheme="minorHAnsi" w:hAnsiTheme="minorHAnsi" w:cstheme="minorHAnsi"/>
          <w:b/>
          <w:bCs/>
          <w:color w:val="30785B"/>
          <w:sz w:val="28"/>
          <w:szCs w:val="28"/>
        </w:rPr>
        <w:t>Data Extraction, Analysis, and Narrative Synthesis</w:t>
      </w:r>
      <w:bookmarkEnd w:id="160"/>
      <w:bookmarkEnd w:id="161"/>
      <w:bookmarkEnd w:id="162"/>
      <w:bookmarkEnd w:id="163"/>
      <w:bookmarkEnd w:id="164"/>
      <w:bookmarkEnd w:id="165"/>
      <w:bookmarkEnd w:id="166"/>
      <w:bookmarkEnd w:id="167"/>
      <w:bookmarkEnd w:id="168"/>
      <w:bookmarkEnd w:id="169"/>
      <w:bookmarkEnd w:id="170"/>
      <w:bookmarkEnd w:id="171"/>
      <w:bookmarkEnd w:id="172"/>
    </w:p>
    <w:p w14:paraId="66936A3E" w14:textId="74F46803" w:rsidR="007240DC" w:rsidRPr="002F7A6A" w:rsidRDefault="00EB2B55" w:rsidP="007240DC">
      <w:pPr>
        <w:spacing w:line="240" w:lineRule="auto"/>
        <w:jc w:val="both"/>
        <w:rPr>
          <w:rFonts w:ascii="Calibri" w:eastAsia="Times New Roman" w:hAnsi="Calibri" w:cs="Calibri"/>
        </w:rPr>
      </w:pPr>
      <w:proofErr w:type="gramStart"/>
      <w:r w:rsidRPr="00672DBE">
        <w:t>In order to</w:t>
      </w:r>
      <w:proofErr w:type="gramEnd"/>
      <w:r w:rsidRPr="00672DBE">
        <w:t xml:space="preserve"> identify eligible peer-reviewed papers, titles and abstracts were screened in accordance with the inclusion criteria, followed by assessment of the full texts of potentially eligible </w:t>
      </w:r>
      <w:r w:rsidR="00C67732" w:rsidRPr="00672DBE">
        <w:t>papers</w:t>
      </w:r>
      <w:r w:rsidRPr="00672DBE">
        <w:t xml:space="preserve">. Data were then extracted from the </w:t>
      </w:r>
      <w:r w:rsidR="00B77D51">
        <w:t xml:space="preserve">included </w:t>
      </w:r>
      <w:r w:rsidRPr="00672DBE">
        <w:t xml:space="preserve">papers and tabulated, enabling comparison and, where possible, summaries. We used a standard data extraction form with the categories of study design, objectives, location, sample size, type of intervention (approach, program, or treatment), and outcomes (gender equity, reduction of gender inequities), main findings, conclusions, and limitations. Data extracted from the clinical guidelines were the use and definition of the </w:t>
      </w:r>
      <w:proofErr w:type="gramStart"/>
      <w:r w:rsidRPr="00672DBE">
        <w:t>terms</w:t>
      </w:r>
      <w:proofErr w:type="gramEnd"/>
      <w:r w:rsidRPr="00672DBE">
        <w:t xml:space="preserve"> </w:t>
      </w:r>
      <w:r w:rsidR="002215AA">
        <w:t>“</w:t>
      </w:r>
      <w:r w:rsidRPr="00672DBE">
        <w:t>sex</w:t>
      </w:r>
      <w:r w:rsidR="002215AA">
        <w:t>”</w:t>
      </w:r>
      <w:r w:rsidR="007240DC">
        <w:t>,</w:t>
      </w:r>
      <w:r w:rsidRPr="00672DBE">
        <w:t xml:space="preserve"> </w:t>
      </w:r>
      <w:r w:rsidR="002215AA">
        <w:t>“</w:t>
      </w:r>
      <w:r w:rsidRPr="00672DBE">
        <w:t>gender</w:t>
      </w:r>
      <w:r w:rsidR="002215AA">
        <w:t>”</w:t>
      </w:r>
      <w:r w:rsidR="007240DC">
        <w:t>,</w:t>
      </w:r>
      <w:r w:rsidRPr="00672DBE">
        <w:t xml:space="preserve"> </w:t>
      </w:r>
      <w:r w:rsidR="007240DC" w:rsidRPr="00F86CC4">
        <w:rPr>
          <w:rFonts w:ascii="Calibri" w:eastAsia="Times New Roman" w:hAnsi="Calibri" w:cs="Calibri"/>
          <w:color w:val="000000"/>
        </w:rPr>
        <w:t>“female”, “male”, “women”, “men”, “girl”, and “boy”.</w:t>
      </w:r>
      <w:r w:rsidR="007240DC">
        <w:rPr>
          <w:rFonts w:ascii="Calibri" w:eastAsia="Times New Roman" w:hAnsi="Calibri" w:cs="Calibri"/>
          <w:color w:val="000000"/>
        </w:rPr>
        <w:t xml:space="preserve"> </w:t>
      </w:r>
      <w:r w:rsidR="00B77D51">
        <w:rPr>
          <w:rFonts w:ascii="Calibri" w:eastAsia="Times New Roman" w:hAnsi="Calibri" w:cs="Calibri"/>
          <w:color w:val="000000"/>
        </w:rPr>
        <w:t xml:space="preserve">If none of these terms were </w:t>
      </w:r>
      <w:proofErr w:type="gramStart"/>
      <w:r w:rsidR="00B77D51">
        <w:rPr>
          <w:rFonts w:ascii="Calibri" w:eastAsia="Times New Roman" w:hAnsi="Calibri" w:cs="Calibri"/>
          <w:color w:val="000000"/>
        </w:rPr>
        <w:t>identified</w:t>
      </w:r>
      <w:proofErr w:type="gramEnd"/>
      <w:r w:rsidR="00B77D51">
        <w:rPr>
          <w:rFonts w:ascii="Calibri" w:eastAsia="Times New Roman" w:hAnsi="Calibri" w:cs="Calibri"/>
          <w:color w:val="000000"/>
        </w:rPr>
        <w:t xml:space="preserve"> we also searched for “psychosocial” and “cultural”. </w:t>
      </w:r>
      <w:r w:rsidR="007240DC">
        <w:rPr>
          <w:rFonts w:ascii="Calibri" w:eastAsia="Times New Roman" w:hAnsi="Calibri" w:cs="Calibri"/>
          <w:color w:val="000000"/>
        </w:rPr>
        <w:t xml:space="preserve">We recorded whether </w:t>
      </w:r>
      <w:r w:rsidR="00C95E44">
        <w:rPr>
          <w:rFonts w:ascii="Calibri" w:eastAsia="Times New Roman" w:hAnsi="Calibri" w:cs="Calibri"/>
          <w:color w:val="000000"/>
        </w:rPr>
        <w:t xml:space="preserve">guideline developers had used a method such as GRADE, and which organisations had approved or endorsed the guidelines. </w:t>
      </w:r>
    </w:p>
    <w:p w14:paraId="7988FD4A" w14:textId="405FB712" w:rsidR="00EB2B55" w:rsidRPr="00672DBE" w:rsidRDefault="00EB2B55" w:rsidP="003414BB">
      <w:pPr>
        <w:jc w:val="both"/>
      </w:pPr>
      <w:r w:rsidRPr="00672DBE">
        <w:t xml:space="preserve">Data extraction was cross-checked by two reviewers (TH, </w:t>
      </w:r>
      <w:r w:rsidR="008365D3">
        <w:t>MK</w:t>
      </w:r>
      <w:r w:rsidRPr="00672DBE">
        <w:t xml:space="preserve">). Decisions were discussed within the research team until consensus was reached. </w:t>
      </w:r>
    </w:p>
    <w:p w14:paraId="1769FB11" w14:textId="7E07BD25" w:rsidR="00EB2B55" w:rsidRPr="00672DBE" w:rsidRDefault="00EB2B55" w:rsidP="003414BB">
      <w:pPr>
        <w:jc w:val="both"/>
      </w:pPr>
      <w:r w:rsidRPr="00672DBE">
        <w:t>To enable a narrative synthesis of the heterogeneous studies</w:t>
      </w:r>
      <w:r w:rsidR="00C67732" w:rsidRPr="00672DBE">
        <w:t xml:space="preserve"> included</w:t>
      </w:r>
      <w:r w:rsidRPr="00672DBE">
        <w:t xml:space="preserve">, qualitative and quantitative data were analysed descriptively and organised into themes pertaining to the five </w:t>
      </w:r>
      <w:r w:rsidR="008365D3" w:rsidRPr="00672DBE">
        <w:t>re</w:t>
      </w:r>
      <w:r w:rsidR="008365D3">
        <w:t>search</w:t>
      </w:r>
      <w:r w:rsidR="008365D3" w:rsidRPr="00672DBE">
        <w:t xml:space="preserve"> </w:t>
      </w:r>
      <w:r w:rsidRPr="00672DBE">
        <w:t xml:space="preserve">questions. </w:t>
      </w:r>
    </w:p>
    <w:p w14:paraId="57D18654" w14:textId="77777777" w:rsidR="00EB2B55" w:rsidRDefault="00EB2B55" w:rsidP="003414BB">
      <w:pPr>
        <w:jc w:val="both"/>
      </w:pPr>
      <w:r w:rsidRPr="00672DBE">
        <w:t xml:space="preserve">The papers included were categorised according to the patterns within and across the studies and their relevance to each of the five research questions. Characteristics considered during categorisation included the type of intervention being studied, the setting or context for the intervention, the target group or subgroup, the study design, and the nature of results being </w:t>
      </w:r>
      <w:r w:rsidRPr="002F7A6A">
        <w:t>reported (different outcome measures or different types of factors that have an impact on interventions)</w:t>
      </w:r>
      <w:r w:rsidRPr="00672DBE">
        <w:t xml:space="preserve">. </w:t>
      </w:r>
    </w:p>
    <w:p w14:paraId="7AB0F976" w14:textId="7984C8F0" w:rsidR="00C95E44" w:rsidRPr="00672DBE" w:rsidRDefault="00C95E44" w:rsidP="003414BB">
      <w:pPr>
        <w:jc w:val="both"/>
      </w:pPr>
      <w:r>
        <w:t>The text of guidelines surrounding any relevant identified terms was searched for context and meaning.</w:t>
      </w:r>
      <w:r w:rsidR="00B77D51">
        <w:t xml:space="preserve"> </w:t>
      </w:r>
    </w:p>
    <w:p w14:paraId="1C1B257A" w14:textId="77777777" w:rsidR="00EB2B55" w:rsidRPr="00672DBE" w:rsidRDefault="00EB2B55">
      <w:r w:rsidRPr="00672DBE">
        <w:br w:type="page"/>
      </w:r>
    </w:p>
    <w:p w14:paraId="58796E71" w14:textId="534B4809" w:rsidR="00EB2B55" w:rsidRPr="00916171" w:rsidRDefault="00EB2B55" w:rsidP="00916171">
      <w:pPr>
        <w:pStyle w:val="Heading2"/>
        <w:numPr>
          <w:ilvl w:val="1"/>
          <w:numId w:val="9"/>
        </w:numPr>
        <w:spacing w:before="0" w:after="160"/>
        <w:rPr>
          <w:rFonts w:asciiTheme="minorHAnsi" w:hAnsiTheme="minorHAnsi" w:cstheme="minorHAnsi"/>
          <w:b/>
          <w:bCs/>
          <w:color w:val="30785B"/>
          <w:sz w:val="28"/>
          <w:szCs w:val="28"/>
        </w:rPr>
      </w:pPr>
      <w:bookmarkStart w:id="173" w:name="_Toc161756591"/>
      <w:bookmarkStart w:id="174" w:name="_Toc161757514"/>
      <w:bookmarkStart w:id="175" w:name="_Toc161763939"/>
      <w:bookmarkStart w:id="176" w:name="_Toc165204994"/>
      <w:bookmarkStart w:id="177" w:name="_Toc168390502"/>
      <w:bookmarkStart w:id="178" w:name="_Toc168390870"/>
      <w:bookmarkStart w:id="179" w:name="_Toc168390936"/>
      <w:bookmarkStart w:id="180" w:name="_Toc168392068"/>
      <w:bookmarkStart w:id="181" w:name="_Toc168392425"/>
      <w:bookmarkStart w:id="182" w:name="_Toc168393598"/>
      <w:bookmarkStart w:id="183" w:name="_Toc168393640"/>
      <w:bookmarkStart w:id="184" w:name="_Toc168394314"/>
      <w:bookmarkStart w:id="185" w:name="_Toc168394452"/>
      <w:r w:rsidRPr="00916171">
        <w:rPr>
          <w:rFonts w:asciiTheme="minorHAnsi" w:hAnsiTheme="minorHAnsi" w:cstheme="minorHAnsi"/>
          <w:b/>
          <w:bCs/>
          <w:color w:val="30785B"/>
          <w:sz w:val="28"/>
          <w:szCs w:val="28"/>
        </w:rPr>
        <w:lastRenderedPageBreak/>
        <w:t>Quality Assessment</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14BEAEA5" w14:textId="4FFDC8DA" w:rsidR="00EB2B55" w:rsidRPr="00672DBE" w:rsidRDefault="00EB2B55" w:rsidP="003414BB">
      <w:pPr>
        <w:jc w:val="both"/>
      </w:pPr>
      <w:r w:rsidRPr="00672DBE">
        <w:t xml:space="preserve">The quality assessment of included </w:t>
      </w:r>
      <w:r w:rsidR="00C67732" w:rsidRPr="00672DBE">
        <w:t xml:space="preserve">papers </w:t>
      </w:r>
      <w:r w:rsidRPr="00672DBE">
        <w:t>was directed at the reporting of sex and gender, using a modified version of the Sex and Gender Equity in Research (SAGER) Guidelines</w:t>
      </w:r>
      <w:r w:rsidRPr="00672DBE">
        <w:rPr>
          <w:rStyle w:val="FootnoteReference"/>
        </w:rPr>
        <w:footnoteReference w:id="7"/>
      </w:r>
      <w:r w:rsidRPr="00672DBE">
        <w:t xml:space="preserve">. These guidelines were designed to promote systematic and standardised reporting of sex and gender in research </w:t>
      </w:r>
      <w:r w:rsidRPr="002F7A6A">
        <w:t>(Heidari et al., 2016)</w:t>
      </w:r>
      <w:r w:rsidRPr="00672DBE">
        <w:t>, providing a checklist relating to study design, data analysis, results, interpretation, and implication of results for gender equity. The assessment was conducted independently by two reviewers (TH, MK); any disagreements were resolved by discussion.</w:t>
      </w:r>
    </w:p>
    <w:p w14:paraId="723EA00B" w14:textId="77777777" w:rsidR="00EB2B55" w:rsidRPr="00672DBE" w:rsidRDefault="00EB2B55" w:rsidP="003414BB">
      <w:pPr>
        <w:jc w:val="both"/>
      </w:pPr>
      <w:r w:rsidRPr="00672DBE">
        <w:t xml:space="preserve">We refined the SAGER Guidelines by distinguishing sex from gender. Because all studies in this review </w:t>
      </w:r>
      <w:proofErr w:type="gramStart"/>
      <w:r w:rsidRPr="00672DBE">
        <w:t>by definition included</w:t>
      </w:r>
      <w:proofErr w:type="gramEnd"/>
      <w:r w:rsidRPr="00672DBE">
        <w:t xml:space="preserve"> matters of relevance to sex or gender equity, questions about whether or not sex or gender were included in the reported research were excluded from our assessment. </w:t>
      </w:r>
    </w:p>
    <w:p w14:paraId="678EB75C" w14:textId="77777777" w:rsidR="00EB2B55" w:rsidRPr="00672DBE" w:rsidRDefault="00EB2B55" w:rsidP="003414BB">
      <w:pPr>
        <w:jc w:val="both"/>
      </w:pPr>
      <w:r w:rsidRPr="00672DBE">
        <w:t>Our modified SAGER Guideline checklist includes eight indicators, as follows:</w:t>
      </w:r>
    </w:p>
    <w:p w14:paraId="691D3DE1" w14:textId="57A6E862" w:rsidR="00EB2B55" w:rsidRPr="003730E0" w:rsidRDefault="00EB2B55" w:rsidP="003730E0">
      <w:pPr>
        <w:pStyle w:val="ListParagraph"/>
        <w:numPr>
          <w:ilvl w:val="0"/>
          <w:numId w:val="40"/>
        </w:numPr>
        <w:spacing w:after="120"/>
        <w:jc w:val="both"/>
        <w:rPr>
          <w:rFonts w:cstheme="minorHAnsi"/>
        </w:rPr>
      </w:pPr>
      <w:r w:rsidRPr="003730E0">
        <w:rPr>
          <w:rFonts w:cstheme="minorHAnsi"/>
        </w:rPr>
        <w:t>Authors reported in</w:t>
      </w:r>
      <w:r w:rsidR="0072590C" w:rsidRPr="003730E0">
        <w:rPr>
          <w:rFonts w:cstheme="minorHAnsi"/>
        </w:rPr>
        <w:t xml:space="preserve"> the</w:t>
      </w:r>
      <w:r w:rsidRPr="003730E0">
        <w:rPr>
          <w:rFonts w:cstheme="minorHAnsi"/>
        </w:rPr>
        <w:t xml:space="preserve"> introduction whether sex and/or gender differences can be expected.</w:t>
      </w:r>
    </w:p>
    <w:p w14:paraId="21DBCB70" w14:textId="4F7CD521" w:rsidR="00EB2B55" w:rsidRPr="003730E0" w:rsidRDefault="00EB2B55" w:rsidP="003730E0">
      <w:pPr>
        <w:pStyle w:val="ListParagraph"/>
        <w:numPr>
          <w:ilvl w:val="0"/>
          <w:numId w:val="40"/>
        </w:numPr>
        <w:spacing w:after="120"/>
        <w:jc w:val="both"/>
        <w:rPr>
          <w:rFonts w:cstheme="minorHAnsi"/>
        </w:rPr>
      </w:pPr>
      <w:r w:rsidRPr="003730E0">
        <w:rPr>
          <w:rFonts w:cstheme="minorHAnsi"/>
        </w:rPr>
        <w:t xml:space="preserve">Authors ensured adequate representation of women/females and men/males in </w:t>
      </w:r>
      <w:r w:rsidR="0072590C" w:rsidRPr="003730E0">
        <w:rPr>
          <w:rFonts w:cstheme="minorHAnsi"/>
        </w:rPr>
        <w:t xml:space="preserve">the </w:t>
      </w:r>
      <w:r w:rsidRPr="003730E0">
        <w:rPr>
          <w:rFonts w:cstheme="minorHAnsi"/>
        </w:rPr>
        <w:t>methods section (</w:t>
      </w:r>
      <w:proofErr w:type="gramStart"/>
      <w:r w:rsidRPr="003730E0">
        <w:rPr>
          <w:rFonts w:cstheme="minorHAnsi"/>
        </w:rPr>
        <w:t>taking into account</w:t>
      </w:r>
      <w:proofErr w:type="gramEnd"/>
      <w:r w:rsidRPr="003730E0">
        <w:rPr>
          <w:rFonts w:cstheme="minorHAnsi"/>
        </w:rPr>
        <w:t xml:space="preserve"> those cases in which authors were basing their analyses on existing data and could not control representation).</w:t>
      </w:r>
    </w:p>
    <w:p w14:paraId="08185458" w14:textId="77777777" w:rsidR="00EB2B55" w:rsidRPr="003730E0" w:rsidRDefault="00EB2B55" w:rsidP="003730E0">
      <w:pPr>
        <w:pStyle w:val="ListParagraph"/>
        <w:numPr>
          <w:ilvl w:val="0"/>
          <w:numId w:val="40"/>
        </w:numPr>
        <w:spacing w:after="120"/>
        <w:jc w:val="both"/>
        <w:rPr>
          <w:rFonts w:cstheme="minorHAnsi"/>
        </w:rPr>
      </w:pPr>
      <w:r w:rsidRPr="003730E0">
        <w:rPr>
          <w:rFonts w:cstheme="minorHAnsi"/>
        </w:rPr>
        <w:t>Methods section included variables/information that enabled a sex-based or gender-based analysis.</w:t>
      </w:r>
    </w:p>
    <w:p w14:paraId="2868607A" w14:textId="4A1D67D5" w:rsidR="00EB2B55" w:rsidRPr="003730E0" w:rsidRDefault="00EB2B55" w:rsidP="003730E0">
      <w:pPr>
        <w:pStyle w:val="ListParagraph"/>
        <w:numPr>
          <w:ilvl w:val="0"/>
          <w:numId w:val="40"/>
        </w:numPr>
        <w:spacing w:after="120"/>
        <w:jc w:val="both"/>
        <w:rPr>
          <w:rFonts w:cstheme="minorHAnsi"/>
        </w:rPr>
      </w:pPr>
      <w:r w:rsidRPr="003730E0">
        <w:rPr>
          <w:rFonts w:cstheme="minorHAnsi"/>
        </w:rPr>
        <w:t xml:space="preserve">In </w:t>
      </w:r>
      <w:r w:rsidR="0072590C" w:rsidRPr="003730E0">
        <w:rPr>
          <w:rFonts w:cstheme="minorHAnsi"/>
        </w:rPr>
        <w:t xml:space="preserve">the </w:t>
      </w:r>
      <w:r w:rsidRPr="003730E0">
        <w:rPr>
          <w:rFonts w:cstheme="minorHAnsi"/>
        </w:rPr>
        <w:t>methods section, authors reported how sex and/or gender was assigned (e.g., self-report, genetic testing).</w:t>
      </w:r>
    </w:p>
    <w:p w14:paraId="4749FE1D" w14:textId="202766EC" w:rsidR="00EB2B55" w:rsidRPr="003730E0" w:rsidRDefault="00EB2B55" w:rsidP="003730E0">
      <w:pPr>
        <w:pStyle w:val="ListParagraph"/>
        <w:numPr>
          <w:ilvl w:val="0"/>
          <w:numId w:val="40"/>
        </w:numPr>
        <w:spacing w:after="120"/>
        <w:jc w:val="both"/>
        <w:rPr>
          <w:rFonts w:cstheme="minorHAnsi"/>
        </w:rPr>
      </w:pPr>
      <w:r w:rsidRPr="003730E0">
        <w:rPr>
          <w:rFonts w:cstheme="minorHAnsi"/>
        </w:rPr>
        <w:t xml:space="preserve">In </w:t>
      </w:r>
      <w:r w:rsidR="003A3DC6" w:rsidRPr="003730E0">
        <w:rPr>
          <w:rFonts w:cstheme="minorHAnsi"/>
        </w:rPr>
        <w:t xml:space="preserve">the </w:t>
      </w:r>
      <w:r w:rsidRPr="003730E0">
        <w:rPr>
          <w:rFonts w:cstheme="minorHAnsi"/>
        </w:rPr>
        <w:t>results section, data were disaggregated by sex or gender, and sex or gender differences and similarities are described.</w:t>
      </w:r>
    </w:p>
    <w:p w14:paraId="7CA6778C" w14:textId="79030E37" w:rsidR="00EB2B55" w:rsidRPr="003730E0" w:rsidRDefault="00EB2B55" w:rsidP="003730E0">
      <w:pPr>
        <w:pStyle w:val="ListParagraph"/>
        <w:numPr>
          <w:ilvl w:val="0"/>
          <w:numId w:val="40"/>
        </w:numPr>
        <w:spacing w:after="120"/>
        <w:jc w:val="both"/>
        <w:rPr>
          <w:rFonts w:cstheme="minorHAnsi"/>
        </w:rPr>
      </w:pPr>
      <w:r w:rsidRPr="003730E0">
        <w:rPr>
          <w:rFonts w:cstheme="minorHAnsi"/>
        </w:rPr>
        <w:t xml:space="preserve">In </w:t>
      </w:r>
      <w:r w:rsidR="003A3DC6" w:rsidRPr="003730E0">
        <w:rPr>
          <w:rFonts w:cstheme="minorHAnsi"/>
        </w:rPr>
        <w:t xml:space="preserve">the </w:t>
      </w:r>
      <w:r w:rsidRPr="003730E0">
        <w:rPr>
          <w:rFonts w:cstheme="minorHAnsi"/>
        </w:rPr>
        <w:t>discussion, authors discussed sex differences or applied a gender perspective.</w:t>
      </w:r>
    </w:p>
    <w:p w14:paraId="19452DF9" w14:textId="77777777" w:rsidR="00EB2B55" w:rsidRPr="003730E0" w:rsidRDefault="00EB2B55" w:rsidP="003730E0">
      <w:pPr>
        <w:pStyle w:val="ListParagraph"/>
        <w:numPr>
          <w:ilvl w:val="0"/>
          <w:numId w:val="40"/>
        </w:numPr>
        <w:spacing w:after="120"/>
        <w:jc w:val="both"/>
        <w:rPr>
          <w:rFonts w:cstheme="minorHAnsi"/>
        </w:rPr>
      </w:pPr>
      <w:r w:rsidRPr="003730E0">
        <w:rPr>
          <w:rFonts w:cstheme="minorHAnsi"/>
        </w:rPr>
        <w:t>Authors discussed the implications of the results from a sex and/or gender perspective.</w:t>
      </w:r>
    </w:p>
    <w:p w14:paraId="0E016388" w14:textId="118BD463" w:rsidR="00EB2B55" w:rsidRPr="003730E0" w:rsidRDefault="00EB2B55" w:rsidP="003730E0">
      <w:pPr>
        <w:pStyle w:val="ListParagraph"/>
        <w:numPr>
          <w:ilvl w:val="0"/>
          <w:numId w:val="40"/>
        </w:numPr>
        <w:spacing w:after="120"/>
        <w:jc w:val="both"/>
        <w:rPr>
          <w:rFonts w:cstheme="minorHAnsi"/>
        </w:rPr>
      </w:pPr>
      <w:r w:rsidRPr="003730E0">
        <w:rPr>
          <w:rFonts w:cstheme="minorHAnsi"/>
        </w:rPr>
        <w:t xml:space="preserve">Authors used </w:t>
      </w:r>
      <w:r w:rsidR="002215AA" w:rsidRPr="003730E0">
        <w:rPr>
          <w:rFonts w:cstheme="minorHAnsi"/>
        </w:rPr>
        <w:t>“</w:t>
      </w:r>
      <w:r w:rsidRPr="003730E0">
        <w:rPr>
          <w:rFonts w:cstheme="minorHAnsi"/>
        </w:rPr>
        <w:t>sex</w:t>
      </w:r>
      <w:r w:rsidR="002215AA" w:rsidRPr="003730E0">
        <w:rPr>
          <w:rFonts w:cstheme="minorHAnsi"/>
        </w:rPr>
        <w:t>”</w:t>
      </w:r>
      <w:r w:rsidRPr="003730E0">
        <w:rPr>
          <w:rFonts w:cstheme="minorHAnsi"/>
        </w:rPr>
        <w:t xml:space="preserve"> and </w:t>
      </w:r>
      <w:r w:rsidR="002215AA" w:rsidRPr="003730E0">
        <w:rPr>
          <w:rFonts w:cstheme="minorHAnsi"/>
        </w:rPr>
        <w:t>“</w:t>
      </w:r>
      <w:r w:rsidRPr="003730E0">
        <w:rPr>
          <w:rFonts w:cstheme="minorHAnsi"/>
        </w:rPr>
        <w:t>gender</w:t>
      </w:r>
      <w:r w:rsidR="002215AA" w:rsidRPr="003730E0">
        <w:rPr>
          <w:rFonts w:cstheme="minorHAnsi"/>
        </w:rPr>
        <w:t>”</w:t>
      </w:r>
      <w:r w:rsidRPr="003730E0">
        <w:rPr>
          <w:rFonts w:cstheme="minorHAnsi"/>
        </w:rPr>
        <w:t xml:space="preserve"> appropriately.</w:t>
      </w:r>
    </w:p>
    <w:p w14:paraId="6654031D" w14:textId="1ED51AEA" w:rsidR="00EB2B55" w:rsidRDefault="00EB2B55" w:rsidP="003414BB">
      <w:pPr>
        <w:jc w:val="both"/>
      </w:pPr>
      <w:r w:rsidRPr="00672DBE">
        <w:t>Papers assessed using these indicators were those pertinent to Question 1, Question 2 (excluding guidelines), and Question 3. Question 4 applied to women only and Question 5 concerned gaps in data collection.</w:t>
      </w:r>
    </w:p>
    <w:p w14:paraId="325BC6F2" w14:textId="1EA3C9C1" w:rsidR="00EB69C7" w:rsidRPr="00672DBE" w:rsidRDefault="00EB69C7" w:rsidP="003414BB">
      <w:pPr>
        <w:jc w:val="both"/>
      </w:pPr>
      <w:r>
        <w:t>Guideline developers assess the quality of evidence in included papers</w:t>
      </w:r>
      <w:r w:rsidR="00293527">
        <w:t>. W</w:t>
      </w:r>
      <w:r>
        <w:t>e did not conduct further quality assessment of guidelines</w:t>
      </w:r>
      <w:r w:rsidR="00293527">
        <w:t xml:space="preserve"> because we sought only to identify the inclusion of sex and gender in each guideline</w:t>
      </w:r>
      <w:r>
        <w:t>.</w:t>
      </w:r>
    </w:p>
    <w:p w14:paraId="1C07561D" w14:textId="77777777" w:rsidR="00EB2B55" w:rsidRPr="00672DBE" w:rsidRDefault="00EB2B55">
      <w:pPr>
        <w:rPr>
          <w:rFonts w:asciiTheme="majorHAnsi" w:eastAsiaTheme="majorEastAsia" w:hAnsiTheme="majorHAnsi" w:cstheme="majorBidi"/>
          <w:color w:val="2E74B5" w:themeColor="accent1" w:themeShade="BF"/>
          <w:sz w:val="32"/>
          <w:szCs w:val="32"/>
        </w:rPr>
      </w:pPr>
      <w:r w:rsidRPr="00672DBE">
        <w:br w:type="page"/>
      </w:r>
    </w:p>
    <w:p w14:paraId="607F5F4A" w14:textId="71F7900A" w:rsidR="00EB2B55" w:rsidRPr="00916171" w:rsidRDefault="00EB2B55" w:rsidP="00916171">
      <w:pPr>
        <w:pStyle w:val="Heading1"/>
        <w:numPr>
          <w:ilvl w:val="0"/>
          <w:numId w:val="1"/>
        </w:numPr>
        <w:spacing w:before="0" w:after="160"/>
        <w:ind w:left="425" w:hanging="425"/>
        <w:rPr>
          <w:rFonts w:asciiTheme="minorHAnsi" w:hAnsiTheme="minorHAnsi" w:cstheme="minorHAnsi"/>
          <w:b/>
          <w:bCs/>
          <w:color w:val="4C2863"/>
          <w:sz w:val="40"/>
          <w:szCs w:val="40"/>
        </w:rPr>
      </w:pPr>
      <w:bookmarkStart w:id="186" w:name="_Toc161756592"/>
      <w:bookmarkStart w:id="187" w:name="_Toc161757515"/>
      <w:bookmarkStart w:id="188" w:name="_Toc161763940"/>
      <w:bookmarkStart w:id="189" w:name="_Toc165204995"/>
      <w:bookmarkStart w:id="190" w:name="_Toc168390503"/>
      <w:bookmarkStart w:id="191" w:name="_Toc168390871"/>
      <w:bookmarkStart w:id="192" w:name="_Toc168390937"/>
      <w:bookmarkStart w:id="193" w:name="_Toc168392069"/>
      <w:bookmarkStart w:id="194" w:name="_Toc168392426"/>
      <w:bookmarkStart w:id="195" w:name="_Toc168393599"/>
      <w:bookmarkStart w:id="196" w:name="_Toc168393641"/>
      <w:bookmarkStart w:id="197" w:name="_Toc168394315"/>
      <w:bookmarkStart w:id="198" w:name="_Toc168394453"/>
      <w:r w:rsidRPr="00916171">
        <w:rPr>
          <w:rFonts w:asciiTheme="minorHAnsi" w:hAnsiTheme="minorHAnsi" w:cstheme="minorHAnsi"/>
          <w:b/>
          <w:bCs/>
          <w:color w:val="4C2863"/>
          <w:sz w:val="40"/>
          <w:szCs w:val="40"/>
        </w:rPr>
        <w:lastRenderedPageBreak/>
        <w:t>Results</w:t>
      </w:r>
      <w:bookmarkEnd w:id="186"/>
      <w:bookmarkEnd w:id="187"/>
      <w:bookmarkEnd w:id="188"/>
      <w:bookmarkEnd w:id="189"/>
      <w:bookmarkEnd w:id="190"/>
      <w:bookmarkEnd w:id="191"/>
      <w:bookmarkEnd w:id="192"/>
      <w:bookmarkEnd w:id="193"/>
      <w:bookmarkEnd w:id="194"/>
      <w:bookmarkEnd w:id="195"/>
      <w:bookmarkEnd w:id="196"/>
      <w:bookmarkEnd w:id="197"/>
      <w:bookmarkEnd w:id="198"/>
    </w:p>
    <w:p w14:paraId="11778209" w14:textId="386B3FBA" w:rsidR="00EB2B55" w:rsidRPr="00916171" w:rsidRDefault="00EB2B55" w:rsidP="00877C53">
      <w:pPr>
        <w:pStyle w:val="Heading2"/>
        <w:numPr>
          <w:ilvl w:val="1"/>
          <w:numId w:val="50"/>
        </w:numPr>
        <w:spacing w:before="0" w:after="160"/>
        <w:rPr>
          <w:rFonts w:asciiTheme="minorHAnsi" w:hAnsiTheme="minorHAnsi" w:cstheme="minorHAnsi"/>
          <w:b/>
          <w:bCs/>
          <w:color w:val="30785B"/>
          <w:sz w:val="24"/>
          <w:szCs w:val="24"/>
        </w:rPr>
      </w:pPr>
      <w:r w:rsidRPr="00916171">
        <w:rPr>
          <w:rFonts w:asciiTheme="minorHAnsi" w:hAnsiTheme="minorHAnsi" w:cstheme="minorHAnsi"/>
          <w:b/>
          <w:bCs/>
          <w:color w:val="30785B"/>
          <w:sz w:val="24"/>
          <w:szCs w:val="24"/>
        </w:rPr>
        <w:t>Screening Process and Papers Included</w:t>
      </w:r>
    </w:p>
    <w:p w14:paraId="30C4592E" w14:textId="4AD65069" w:rsidR="00EB2B55" w:rsidRPr="00672DBE" w:rsidRDefault="00EB2B55" w:rsidP="003414BB">
      <w:pPr>
        <w:jc w:val="both"/>
      </w:pPr>
      <w:r w:rsidRPr="00672DBE">
        <w:t xml:space="preserve">The </w:t>
      </w:r>
      <w:r w:rsidR="003003BC">
        <w:t xml:space="preserve">study </w:t>
      </w:r>
      <w:r w:rsidRPr="00672DBE">
        <w:t>selection process is presented in Figure 1. A total of 6,</w:t>
      </w:r>
      <w:r w:rsidR="00311EF5" w:rsidRPr="00672DBE">
        <w:t>2</w:t>
      </w:r>
      <w:r w:rsidR="00311EF5">
        <w:t>56</w:t>
      </w:r>
      <w:r w:rsidR="00311EF5" w:rsidRPr="00672DBE">
        <w:t xml:space="preserve"> </w:t>
      </w:r>
      <w:r w:rsidR="00F857F6">
        <w:t>records</w:t>
      </w:r>
      <w:r w:rsidR="00F857F6" w:rsidRPr="00672DBE">
        <w:t xml:space="preserve"> </w:t>
      </w:r>
      <w:r w:rsidRPr="00672DBE">
        <w:t xml:space="preserve">were initially identified in the five databases and a further </w:t>
      </w:r>
      <w:r w:rsidR="00D83CCA" w:rsidRPr="00672DBE">
        <w:t>3</w:t>
      </w:r>
      <w:r w:rsidR="00311EF5">
        <w:t>8</w:t>
      </w:r>
      <w:r w:rsidR="00D83CCA" w:rsidRPr="00672DBE">
        <w:t xml:space="preserve"> </w:t>
      </w:r>
      <w:r w:rsidRPr="00672DBE">
        <w:t>papers were found by manual searches. After removing 3,640 duplicates, 2,</w:t>
      </w:r>
      <w:r w:rsidR="005B3C81" w:rsidRPr="00672DBE">
        <w:t>6</w:t>
      </w:r>
      <w:r w:rsidR="005B3C81">
        <w:t>8</w:t>
      </w:r>
      <w:r w:rsidR="00311EF5">
        <w:t>9</w:t>
      </w:r>
      <w:r w:rsidR="005B3C81" w:rsidRPr="00672DBE">
        <w:t xml:space="preserve"> </w:t>
      </w:r>
      <w:r w:rsidR="00F857F6">
        <w:t>record</w:t>
      </w:r>
      <w:r w:rsidR="00F857F6" w:rsidRPr="00672DBE">
        <w:t xml:space="preserve">s </w:t>
      </w:r>
      <w:r w:rsidRPr="00672DBE">
        <w:t xml:space="preserve">were assessed as potentially eligible based on their titles and abstracts; </w:t>
      </w:r>
      <w:r w:rsidR="003003BC" w:rsidRPr="00672DBE">
        <w:t>24</w:t>
      </w:r>
      <w:r w:rsidR="003003BC">
        <w:t>37</w:t>
      </w:r>
      <w:r w:rsidR="003003BC" w:rsidRPr="00672DBE">
        <w:t xml:space="preserve"> </w:t>
      </w:r>
      <w:r w:rsidRPr="00672DBE">
        <w:t xml:space="preserve">were </w:t>
      </w:r>
      <w:r w:rsidR="003003BC">
        <w:t>deemed</w:t>
      </w:r>
      <w:r w:rsidRPr="00672DBE">
        <w:t xml:space="preserve"> ineligible. </w:t>
      </w:r>
      <w:r w:rsidR="006515FF">
        <w:t>Reading t</w:t>
      </w:r>
      <w:r w:rsidR="006515FF" w:rsidRPr="00672DBE">
        <w:t xml:space="preserve">he </w:t>
      </w:r>
      <w:r w:rsidRPr="00672DBE">
        <w:t xml:space="preserve">full texts of the remaining </w:t>
      </w:r>
      <w:r w:rsidR="005B3C81" w:rsidRPr="00672DBE">
        <w:t>2</w:t>
      </w:r>
      <w:r w:rsidR="005B3C81">
        <w:t>5</w:t>
      </w:r>
      <w:r w:rsidR="00311EF5">
        <w:t>2</w:t>
      </w:r>
      <w:r w:rsidR="005B3C81" w:rsidRPr="00672DBE">
        <w:t xml:space="preserve"> </w:t>
      </w:r>
      <w:r w:rsidRPr="00672DBE">
        <w:t xml:space="preserve">papers </w:t>
      </w:r>
      <w:r w:rsidR="006515FF">
        <w:t>left</w:t>
      </w:r>
      <w:r w:rsidRPr="00672DBE">
        <w:t xml:space="preserve"> </w:t>
      </w:r>
      <w:r w:rsidR="005B3C81">
        <w:t>5</w:t>
      </w:r>
      <w:r w:rsidR="00311EF5">
        <w:t>1</w:t>
      </w:r>
      <w:r w:rsidR="005B3C81" w:rsidRPr="00672DBE">
        <w:t xml:space="preserve"> </w:t>
      </w:r>
      <w:r w:rsidRPr="00672DBE">
        <w:t xml:space="preserve">papers </w:t>
      </w:r>
      <w:r w:rsidR="00F857F6">
        <w:t xml:space="preserve">(representing </w:t>
      </w:r>
      <w:r w:rsidR="00311EF5">
        <w:t>50</w:t>
      </w:r>
      <w:r w:rsidR="005B3C81">
        <w:t xml:space="preserve"> </w:t>
      </w:r>
      <w:r w:rsidR="00F857F6">
        <w:t xml:space="preserve">studies) </w:t>
      </w:r>
      <w:r w:rsidRPr="00672DBE">
        <w:t xml:space="preserve">meeting inclusion criteria for the review. Papers were further categorised by their relevance to the five research questions. There were </w:t>
      </w:r>
      <w:r w:rsidR="005B3C81">
        <w:t>2</w:t>
      </w:r>
      <w:r w:rsidR="00311EF5">
        <w:t>1</w:t>
      </w:r>
      <w:r w:rsidR="005B3C81" w:rsidRPr="00672DBE">
        <w:t xml:space="preserve"> </w:t>
      </w:r>
      <w:r w:rsidR="00F857F6">
        <w:t>papers (</w:t>
      </w:r>
      <w:r w:rsidR="00311EF5">
        <w:t>20</w:t>
      </w:r>
      <w:r w:rsidR="005B3C81">
        <w:t xml:space="preserve"> </w:t>
      </w:r>
      <w:r w:rsidR="00F857F6">
        <w:t xml:space="preserve">studies) </w:t>
      </w:r>
      <w:r w:rsidRPr="00672DBE">
        <w:t xml:space="preserve">for Question 1 (Barriers in Australia), 1 for Question 2 (Measures and devices), 9 for Question 3 (Interventions), 5 for Question 4 (Health equity and literacy), and 15 for Question 5 (Data gaps) (Appendix </w:t>
      </w:r>
      <w:r w:rsidR="005253AB">
        <w:t>B</w:t>
      </w:r>
      <w:r w:rsidRPr="00672DBE">
        <w:t xml:space="preserve">). In addition, we identified </w:t>
      </w:r>
      <w:r w:rsidR="000E3752">
        <w:t>80</w:t>
      </w:r>
      <w:r w:rsidR="000E3752" w:rsidRPr="00672DBE">
        <w:t xml:space="preserve"> </w:t>
      </w:r>
      <w:r w:rsidRPr="00672DBE">
        <w:t>Australian clinical guidelines in a separate research strategy relevant to Question 2 (Appendix</w:t>
      </w:r>
      <w:r w:rsidR="009F389F" w:rsidRPr="00672DBE">
        <w:t xml:space="preserve"> </w:t>
      </w:r>
      <w:r w:rsidR="005253AB">
        <w:t>D</w:t>
      </w:r>
      <w:r w:rsidRPr="00672DBE">
        <w:t xml:space="preserve">).  </w:t>
      </w:r>
    </w:p>
    <w:p w14:paraId="779DFF3E" w14:textId="56F7115B" w:rsidR="00EB2B55" w:rsidRPr="00672DBE" w:rsidRDefault="0051197F" w:rsidP="003414BB">
      <w:pPr>
        <w:keepLines/>
      </w:pPr>
      <w:r w:rsidRPr="005B2562">
        <w:rPr>
          <w:rFonts w:ascii="Calibri" w:eastAsia="Calibri" w:hAnsi="Calibri" w:cs="Calibri"/>
          <w:noProof/>
          <w:sz w:val="24"/>
          <w:szCs w:val="24"/>
        </w:rPr>
        <mc:AlternateContent>
          <mc:Choice Requires="wpg">
            <w:drawing>
              <wp:anchor distT="0" distB="0" distL="114300" distR="114300" simplePos="0" relativeHeight="251661312" behindDoc="0" locked="0" layoutInCell="1" allowOverlap="1" wp14:anchorId="3A417BD8" wp14:editId="4C470205">
                <wp:simplePos x="0" y="0"/>
                <wp:positionH relativeFrom="column">
                  <wp:posOffset>365760</wp:posOffset>
                </wp:positionH>
                <wp:positionV relativeFrom="paragraph">
                  <wp:posOffset>73660</wp:posOffset>
                </wp:positionV>
                <wp:extent cx="4884420" cy="5826125"/>
                <wp:effectExtent l="0" t="0" r="11430" b="22225"/>
                <wp:wrapSquare wrapText="bothSides"/>
                <wp:docPr id="48" name="Group 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884420" cy="5826125"/>
                          <a:chOff x="0" y="0"/>
                          <a:chExt cx="4853305" cy="6294120"/>
                        </a:xfrm>
                      </wpg:grpSpPr>
                      <wps:wsp>
                        <wps:cNvPr id="49" name="Straight Arrow Connector 49"/>
                        <wps:cNvCnPr/>
                        <wps:spPr>
                          <a:xfrm>
                            <a:off x="1394460" y="1676400"/>
                            <a:ext cx="0" cy="281305"/>
                          </a:xfrm>
                          <a:prstGeom prst="straightConnector1">
                            <a:avLst/>
                          </a:prstGeom>
                          <a:noFill/>
                          <a:ln w="9525" cap="flat" cmpd="sng">
                            <a:solidFill>
                              <a:srgbClr val="4C2863"/>
                            </a:solidFill>
                            <a:prstDash val="solid"/>
                            <a:miter lim="800000"/>
                            <a:headEnd type="none" w="sm" len="sm"/>
                            <a:tailEnd type="triangle" w="med" len="med"/>
                          </a:ln>
                        </wps:spPr>
                        <wps:bodyPr/>
                      </wps:wsp>
                      <wps:wsp>
                        <wps:cNvPr id="50" name="Straight Arrow Connector 50"/>
                        <wps:cNvCnPr/>
                        <wps:spPr>
                          <a:xfrm>
                            <a:off x="1386840" y="2499360"/>
                            <a:ext cx="0" cy="281305"/>
                          </a:xfrm>
                          <a:prstGeom prst="straightConnector1">
                            <a:avLst/>
                          </a:prstGeom>
                          <a:noFill/>
                          <a:ln w="9525" cap="flat" cmpd="sng">
                            <a:solidFill>
                              <a:srgbClr val="4C2863"/>
                            </a:solidFill>
                            <a:prstDash val="solid"/>
                            <a:miter lim="800000"/>
                            <a:headEnd type="none" w="sm" len="sm"/>
                            <a:tailEnd type="triangle" w="med" len="med"/>
                          </a:ln>
                        </wps:spPr>
                        <wps:bodyPr/>
                      </wps:wsp>
                      <wps:wsp>
                        <wps:cNvPr id="51" name="Straight Arrow Connector 51"/>
                        <wps:cNvCnPr/>
                        <wps:spPr>
                          <a:xfrm>
                            <a:off x="1394460" y="3337560"/>
                            <a:ext cx="0" cy="281305"/>
                          </a:xfrm>
                          <a:prstGeom prst="straightConnector1">
                            <a:avLst/>
                          </a:prstGeom>
                          <a:noFill/>
                          <a:ln w="9525" cap="flat" cmpd="sng">
                            <a:solidFill>
                              <a:srgbClr val="4C2863"/>
                            </a:solidFill>
                            <a:prstDash val="solid"/>
                            <a:miter lim="800000"/>
                            <a:headEnd type="none" w="sm" len="sm"/>
                            <a:tailEnd type="triangle" w="med" len="med"/>
                          </a:ln>
                        </wps:spPr>
                        <wps:bodyPr/>
                      </wps:wsp>
                      <wps:wsp>
                        <wps:cNvPr id="52" name="Straight Arrow Connector 52"/>
                        <wps:cNvCnPr/>
                        <wps:spPr>
                          <a:xfrm>
                            <a:off x="1386840" y="4175760"/>
                            <a:ext cx="0" cy="746125"/>
                          </a:xfrm>
                          <a:prstGeom prst="straightConnector1">
                            <a:avLst/>
                          </a:prstGeom>
                          <a:noFill/>
                          <a:ln w="9525" cap="flat" cmpd="sng">
                            <a:solidFill>
                              <a:srgbClr val="4C2863"/>
                            </a:solidFill>
                            <a:prstDash val="solid"/>
                            <a:miter lim="800000"/>
                            <a:headEnd type="none" w="sm" len="sm"/>
                            <a:tailEnd type="triangle" w="med" len="med"/>
                          </a:ln>
                        </wps:spPr>
                        <wps:bodyPr/>
                      </wps:wsp>
                      <wps:wsp>
                        <wps:cNvPr id="53" name="Alternative Process 43"/>
                        <wps:cNvSpPr/>
                        <wps:spPr>
                          <a:xfrm>
                            <a:off x="205740" y="0"/>
                            <a:ext cx="4345229" cy="262957"/>
                          </a:xfrm>
                          <a:prstGeom prst="flowChartAlternateProcess">
                            <a:avLst/>
                          </a:prstGeom>
                          <a:solidFill>
                            <a:srgbClr val="4C2863">
                              <a:alpha val="10000"/>
                            </a:srgbClr>
                          </a:solidFill>
                          <a:ln w="12700" cap="flat" cmpd="sng">
                            <a:solidFill>
                              <a:srgbClr val="4C2863"/>
                            </a:solidFill>
                            <a:prstDash val="solid"/>
                            <a:miter lim="800000"/>
                            <a:headEnd type="none" w="sm" len="sm"/>
                            <a:tailEnd type="none" w="sm" len="sm"/>
                          </a:ln>
                        </wps:spPr>
                        <wps:txbx>
                          <w:txbxContent>
                            <w:p w14:paraId="4688E56B" w14:textId="77777777" w:rsidR="009A0F85" w:rsidRDefault="009A0F85" w:rsidP="003414BB">
                              <w:pPr>
                                <w:jc w:val="center"/>
                                <w:textDirection w:val="btLr"/>
                              </w:pPr>
                              <w:r>
                                <w:rPr>
                                  <w:rFonts w:ascii="Arial" w:eastAsia="Arial" w:hAnsi="Arial" w:cs="Arial"/>
                                  <w:b/>
                                  <w:color w:val="000000"/>
                                  <w:sz w:val="18"/>
                                </w:rPr>
                                <w:t>Identification of studies via databases and other sources</w:t>
                              </w:r>
                            </w:p>
                          </w:txbxContent>
                        </wps:txbx>
                        <wps:bodyPr spcFirstLastPara="1" wrap="square" lIns="91425" tIns="45700" rIns="91425" bIns="45700" anchor="ctr" anchorCtr="0">
                          <a:noAutofit/>
                        </wps:bodyPr>
                      </wps:wsp>
                      <wps:wsp>
                        <wps:cNvPr id="54" name="Rectangle 54"/>
                        <wps:cNvSpPr/>
                        <wps:spPr>
                          <a:xfrm>
                            <a:off x="441960" y="472440"/>
                            <a:ext cx="1899920" cy="1209783"/>
                          </a:xfrm>
                          <a:prstGeom prst="rect">
                            <a:avLst/>
                          </a:prstGeom>
                          <a:noFill/>
                          <a:ln w="12700" cap="flat" cmpd="sng">
                            <a:solidFill>
                              <a:srgbClr val="4C2863"/>
                            </a:solidFill>
                            <a:prstDash val="solid"/>
                            <a:miter lim="800000"/>
                            <a:headEnd type="none" w="sm" len="sm"/>
                            <a:tailEnd type="none" w="sm" len="sm"/>
                          </a:ln>
                        </wps:spPr>
                        <wps:txbx>
                          <w:txbxContent>
                            <w:p w14:paraId="0CDE71DC" w14:textId="77777777" w:rsidR="009A0F85" w:rsidRDefault="009A0F85" w:rsidP="003414BB">
                              <w:pPr>
                                <w:textDirection w:val="btLr"/>
                              </w:pPr>
                              <w:r>
                                <w:rPr>
                                  <w:rFonts w:ascii="Arial" w:eastAsia="Arial" w:hAnsi="Arial" w:cs="Arial"/>
                                  <w:color w:val="000000"/>
                                  <w:sz w:val="18"/>
                                </w:rPr>
                                <w:t>Records identified from:</w:t>
                              </w:r>
                            </w:p>
                            <w:p w14:paraId="4CC2C1D7" w14:textId="77777777" w:rsidR="009A0F85" w:rsidRDefault="009A0F85" w:rsidP="003414BB">
                              <w:pPr>
                                <w:spacing w:after="0" w:line="200" w:lineRule="exact"/>
                                <w:textDirection w:val="btLr"/>
                              </w:pPr>
                              <w:r>
                                <w:rPr>
                                  <w:rFonts w:ascii="Arial" w:eastAsia="Arial" w:hAnsi="Arial" w:cs="Arial"/>
                                  <w:color w:val="000000"/>
                                  <w:sz w:val="18"/>
                                </w:rPr>
                                <w:t xml:space="preserve">                 MEDLINE (n = 3187)</w:t>
                              </w:r>
                            </w:p>
                            <w:p w14:paraId="6693226E" w14:textId="77777777" w:rsidR="009A0F85" w:rsidRDefault="009A0F85" w:rsidP="003414BB">
                              <w:pPr>
                                <w:spacing w:after="0" w:line="200" w:lineRule="exact"/>
                                <w:textDirection w:val="btLr"/>
                              </w:pPr>
                              <w:r>
                                <w:rPr>
                                  <w:rFonts w:ascii="Arial" w:eastAsia="Arial" w:hAnsi="Arial" w:cs="Arial"/>
                                  <w:color w:val="000000"/>
                                  <w:sz w:val="18"/>
                                </w:rPr>
                                <w:t xml:space="preserve">                 Embase (n = 2345)</w:t>
                              </w:r>
                            </w:p>
                            <w:p w14:paraId="359CC12F" w14:textId="43A2E547" w:rsidR="009A0F85" w:rsidRDefault="009A0F85" w:rsidP="003414BB">
                              <w:pPr>
                                <w:spacing w:after="0" w:line="200" w:lineRule="exact"/>
                                <w:textDirection w:val="btLr"/>
                              </w:pPr>
                              <w:r>
                                <w:rPr>
                                  <w:rFonts w:ascii="Arial" w:eastAsia="Arial" w:hAnsi="Arial" w:cs="Arial"/>
                                  <w:color w:val="000000"/>
                                  <w:sz w:val="18"/>
                                </w:rPr>
                                <w:t>n= 6,294   PsycINFO (n = 116)</w:t>
                              </w:r>
                            </w:p>
                            <w:p w14:paraId="59ABFF24" w14:textId="77777777" w:rsidR="009A0F85" w:rsidRDefault="009A0F85" w:rsidP="003414BB">
                              <w:pPr>
                                <w:spacing w:after="0" w:line="200" w:lineRule="exact"/>
                                <w:ind w:left="284"/>
                                <w:textDirection w:val="btLr"/>
                              </w:pPr>
                              <w:r>
                                <w:rPr>
                                  <w:rFonts w:ascii="Arial" w:eastAsia="Arial" w:hAnsi="Arial" w:cs="Arial"/>
                                  <w:color w:val="000000"/>
                                  <w:sz w:val="18"/>
                                </w:rPr>
                                <w:t xml:space="preserve">           </w:t>
                              </w:r>
                              <w:proofErr w:type="spellStart"/>
                              <w:r>
                                <w:rPr>
                                  <w:rFonts w:ascii="Arial" w:eastAsia="Arial" w:hAnsi="Arial" w:cs="Arial"/>
                                  <w:color w:val="000000"/>
                                  <w:sz w:val="18"/>
                                </w:rPr>
                                <w:t>Emcare</w:t>
                              </w:r>
                              <w:proofErr w:type="spellEnd"/>
                              <w:r>
                                <w:rPr>
                                  <w:rFonts w:ascii="Arial" w:eastAsia="Arial" w:hAnsi="Arial" w:cs="Arial"/>
                                  <w:color w:val="000000"/>
                                  <w:sz w:val="18"/>
                                </w:rPr>
                                <w:t xml:space="preserve"> (n = 563)</w:t>
                              </w:r>
                            </w:p>
                            <w:p w14:paraId="3667E477" w14:textId="77777777" w:rsidR="009A0F85" w:rsidRDefault="009A0F85" w:rsidP="003414BB">
                              <w:pPr>
                                <w:spacing w:after="0" w:line="200" w:lineRule="exact"/>
                                <w:ind w:left="283" w:firstLine="1"/>
                                <w:textDirection w:val="btLr"/>
                                <w:rPr>
                                  <w:rFonts w:ascii="Arial" w:eastAsia="Arial" w:hAnsi="Arial" w:cs="Arial"/>
                                  <w:color w:val="000000"/>
                                  <w:sz w:val="18"/>
                                </w:rPr>
                              </w:pPr>
                              <w:r>
                                <w:rPr>
                                  <w:rFonts w:ascii="Arial" w:eastAsia="Arial" w:hAnsi="Arial" w:cs="Arial"/>
                                  <w:color w:val="000000"/>
                                  <w:sz w:val="18"/>
                                </w:rPr>
                                <w:t xml:space="preserve">           CENTRAL (n = 45)</w:t>
                              </w:r>
                            </w:p>
                            <w:p w14:paraId="4AB481A5" w14:textId="29829F65" w:rsidR="009A0F85" w:rsidRDefault="009A0F85" w:rsidP="003414BB">
                              <w:pPr>
                                <w:spacing w:after="0" w:line="200" w:lineRule="exact"/>
                                <w:ind w:left="283" w:firstLine="1"/>
                                <w:textDirection w:val="btLr"/>
                              </w:pPr>
                              <w:r>
                                <w:rPr>
                                  <w:rFonts w:ascii="Arial" w:eastAsia="Arial" w:hAnsi="Arial" w:cs="Arial"/>
                                  <w:color w:val="000000"/>
                                  <w:sz w:val="18"/>
                                </w:rPr>
                                <w:t xml:space="preserve">           Other sources (n = 38)</w:t>
                              </w:r>
                            </w:p>
                          </w:txbxContent>
                        </wps:txbx>
                        <wps:bodyPr spcFirstLastPara="1" wrap="square" lIns="91425" tIns="45700" rIns="91425" bIns="45700" anchor="ctr" anchorCtr="0">
                          <a:noAutofit/>
                        </wps:bodyPr>
                      </wps:wsp>
                      <wps:wsp>
                        <wps:cNvPr id="55" name="Rectangle 55"/>
                        <wps:cNvSpPr/>
                        <wps:spPr>
                          <a:xfrm>
                            <a:off x="2941320" y="472440"/>
                            <a:ext cx="1899920" cy="829967"/>
                          </a:xfrm>
                          <a:prstGeom prst="rect">
                            <a:avLst/>
                          </a:prstGeom>
                          <a:noFill/>
                          <a:ln w="12700" cap="flat" cmpd="sng">
                            <a:solidFill>
                              <a:srgbClr val="4C2863"/>
                            </a:solidFill>
                            <a:prstDash val="solid"/>
                            <a:miter lim="800000"/>
                            <a:headEnd type="none" w="sm" len="sm"/>
                            <a:tailEnd type="none" w="sm" len="sm"/>
                          </a:ln>
                        </wps:spPr>
                        <wps:txbx>
                          <w:txbxContent>
                            <w:p w14:paraId="3787E416" w14:textId="77777777" w:rsidR="009A0F85" w:rsidRDefault="009A0F85" w:rsidP="003414BB">
                              <w:pPr>
                                <w:textDirection w:val="btLr"/>
                              </w:pPr>
                              <w:r>
                                <w:rPr>
                                  <w:rFonts w:ascii="Arial" w:eastAsia="Arial" w:hAnsi="Arial" w:cs="Arial"/>
                                  <w:color w:val="000000"/>
                                  <w:sz w:val="18"/>
                                </w:rPr>
                                <w:t xml:space="preserve">Records removed </w:t>
                              </w:r>
                              <w:r>
                                <w:rPr>
                                  <w:rFonts w:ascii="Arial" w:eastAsia="Arial" w:hAnsi="Arial" w:cs="Arial"/>
                                  <w:i/>
                                  <w:color w:val="000000"/>
                                  <w:sz w:val="18"/>
                                </w:rPr>
                                <w:t>before screening</w:t>
                              </w:r>
                              <w:r>
                                <w:rPr>
                                  <w:rFonts w:ascii="Arial" w:eastAsia="Arial" w:hAnsi="Arial" w:cs="Arial"/>
                                  <w:color w:val="000000"/>
                                  <w:sz w:val="18"/>
                                </w:rPr>
                                <w:t>:</w:t>
                              </w:r>
                            </w:p>
                            <w:p w14:paraId="7345E719" w14:textId="77777777" w:rsidR="009A0F85" w:rsidRDefault="009A0F85" w:rsidP="003414BB">
                              <w:pPr>
                                <w:ind w:left="283" w:firstLine="1"/>
                                <w:textDirection w:val="btLr"/>
                              </w:pPr>
                              <w:r>
                                <w:rPr>
                                  <w:rFonts w:ascii="Arial" w:eastAsia="Arial" w:hAnsi="Arial" w:cs="Arial"/>
                                  <w:color w:val="000000"/>
                                  <w:sz w:val="18"/>
                                </w:rPr>
                                <w:t xml:space="preserve">Duplicate records removed </w:t>
                              </w:r>
                              <w:r>
                                <w:rPr>
                                  <w:rFonts w:ascii="Arial" w:eastAsia="Arial" w:hAnsi="Arial" w:cs="Arial"/>
                                  <w:color w:val="000000"/>
                                  <w:sz w:val="18"/>
                                </w:rPr>
                                <w:br/>
                                <w:t>(n = 3640)</w:t>
                              </w:r>
                            </w:p>
                          </w:txbxContent>
                        </wps:txbx>
                        <wps:bodyPr spcFirstLastPara="1" wrap="square" lIns="91425" tIns="45700" rIns="91425" bIns="45700" anchor="ctr" anchorCtr="0">
                          <a:noAutofit/>
                        </wps:bodyPr>
                      </wps:wsp>
                      <wps:wsp>
                        <wps:cNvPr id="56" name="Alternative Process 54"/>
                        <wps:cNvSpPr/>
                        <wps:spPr>
                          <a:xfrm>
                            <a:off x="0" y="480060"/>
                            <a:ext cx="288925" cy="1167581"/>
                          </a:xfrm>
                          <a:prstGeom prst="flowChartAlternateProcess">
                            <a:avLst/>
                          </a:prstGeom>
                          <a:solidFill>
                            <a:srgbClr val="4C2863">
                              <a:alpha val="10196"/>
                            </a:srgbClr>
                          </a:solidFill>
                          <a:ln w="12700" cap="flat" cmpd="sng">
                            <a:solidFill>
                              <a:srgbClr val="4C2863"/>
                            </a:solidFill>
                            <a:prstDash val="solid"/>
                            <a:miter lim="800000"/>
                            <a:headEnd type="none" w="sm" len="sm"/>
                            <a:tailEnd type="none" w="sm" len="sm"/>
                          </a:ln>
                        </wps:spPr>
                        <wps:txbx>
                          <w:txbxContent>
                            <w:p w14:paraId="5F5F8D72" w14:textId="77777777" w:rsidR="009A0F85" w:rsidRDefault="009A0F85" w:rsidP="003414BB">
                              <w:pPr>
                                <w:jc w:val="center"/>
                                <w:textDirection w:val="btLr"/>
                              </w:pPr>
                              <w:r>
                                <w:rPr>
                                  <w:rFonts w:ascii="Arial" w:eastAsia="Arial" w:hAnsi="Arial" w:cs="Arial"/>
                                  <w:b/>
                                  <w:color w:val="000000"/>
                                  <w:sz w:val="18"/>
                                </w:rPr>
                                <w:t>Identification</w:t>
                              </w:r>
                            </w:p>
                          </w:txbxContent>
                        </wps:txbx>
                        <wps:bodyPr spcFirstLastPara="1" vert="vert270" wrap="square" lIns="36000" tIns="36000" rIns="36000" bIns="36000" anchor="ctr" anchorCtr="0">
                          <a:noAutofit/>
                        </wps:bodyPr>
                      </wps:wsp>
                      <wps:wsp>
                        <wps:cNvPr id="57" name="Rectangle 57"/>
                        <wps:cNvSpPr/>
                        <wps:spPr>
                          <a:xfrm>
                            <a:off x="457200" y="1965960"/>
                            <a:ext cx="1899920" cy="541002"/>
                          </a:xfrm>
                          <a:prstGeom prst="rect">
                            <a:avLst/>
                          </a:prstGeom>
                          <a:noFill/>
                          <a:ln w="12700" cap="flat" cmpd="sng">
                            <a:solidFill>
                              <a:srgbClr val="4C2863"/>
                            </a:solidFill>
                            <a:prstDash val="solid"/>
                            <a:miter lim="800000"/>
                            <a:headEnd type="none" w="sm" len="sm"/>
                            <a:tailEnd type="none" w="sm" len="sm"/>
                          </a:ln>
                        </wps:spPr>
                        <wps:txbx>
                          <w:txbxContent>
                            <w:p w14:paraId="0807A659" w14:textId="77777777" w:rsidR="009A0F85" w:rsidRDefault="009A0F85" w:rsidP="003414BB">
                              <w:pPr>
                                <w:textDirection w:val="btLr"/>
                              </w:pPr>
                              <w:r>
                                <w:rPr>
                                  <w:rFonts w:ascii="Arial" w:eastAsia="Arial" w:hAnsi="Arial" w:cs="Arial"/>
                                  <w:color w:val="000000"/>
                                  <w:sz w:val="18"/>
                                </w:rPr>
                                <w:t>Records screened</w:t>
                              </w:r>
                            </w:p>
                            <w:p w14:paraId="288554AA" w14:textId="1329A948" w:rsidR="009A0F85" w:rsidRDefault="009A0F85" w:rsidP="003414BB">
                              <w:pPr>
                                <w:textDirection w:val="btLr"/>
                              </w:pPr>
                              <w:r>
                                <w:rPr>
                                  <w:rFonts w:ascii="Arial" w:eastAsia="Arial" w:hAnsi="Arial" w:cs="Arial"/>
                                  <w:color w:val="000000"/>
                                  <w:sz w:val="18"/>
                                </w:rPr>
                                <w:t>(n = 2654)</w:t>
                              </w:r>
                            </w:p>
                          </w:txbxContent>
                        </wps:txbx>
                        <wps:bodyPr spcFirstLastPara="1" wrap="square" lIns="91425" tIns="45700" rIns="91425" bIns="45700" anchor="ctr" anchorCtr="0">
                          <a:noAutofit/>
                        </wps:bodyPr>
                      </wps:wsp>
                      <wps:wsp>
                        <wps:cNvPr id="58" name="Rectangle 58"/>
                        <wps:cNvSpPr/>
                        <wps:spPr>
                          <a:xfrm>
                            <a:off x="2948940" y="1965960"/>
                            <a:ext cx="1899920" cy="541002"/>
                          </a:xfrm>
                          <a:prstGeom prst="rect">
                            <a:avLst/>
                          </a:prstGeom>
                          <a:noFill/>
                          <a:ln w="12700" cap="flat" cmpd="sng">
                            <a:solidFill>
                              <a:srgbClr val="4C2863"/>
                            </a:solidFill>
                            <a:prstDash val="solid"/>
                            <a:miter lim="800000"/>
                            <a:headEnd type="none" w="sm" len="sm"/>
                            <a:tailEnd type="none" w="sm" len="sm"/>
                          </a:ln>
                        </wps:spPr>
                        <wps:txbx>
                          <w:txbxContent>
                            <w:p w14:paraId="0F3DF1FF" w14:textId="4B2A5032" w:rsidR="009A0F85" w:rsidRDefault="009A0F85" w:rsidP="003414BB">
                              <w:pPr>
                                <w:textDirection w:val="btLr"/>
                              </w:pPr>
                              <w:r>
                                <w:rPr>
                                  <w:rFonts w:ascii="Arial" w:eastAsia="Arial" w:hAnsi="Arial" w:cs="Arial"/>
                                  <w:color w:val="000000"/>
                                  <w:sz w:val="18"/>
                                </w:rPr>
                                <w:t>Records excluded (title, abstract)</w:t>
                              </w:r>
                            </w:p>
                            <w:p w14:paraId="56798220" w14:textId="77777777" w:rsidR="009A0F85" w:rsidRDefault="009A0F85" w:rsidP="003414BB">
                              <w:pPr>
                                <w:textDirection w:val="btLr"/>
                              </w:pPr>
                              <w:r>
                                <w:rPr>
                                  <w:rFonts w:ascii="Arial" w:eastAsia="Arial" w:hAnsi="Arial" w:cs="Arial"/>
                                  <w:color w:val="000000"/>
                                  <w:sz w:val="18"/>
                                </w:rPr>
                                <w:t>(n = 2437)</w:t>
                              </w:r>
                            </w:p>
                          </w:txbxContent>
                        </wps:txbx>
                        <wps:bodyPr spcFirstLastPara="1" wrap="square" lIns="91425" tIns="45700" rIns="91425" bIns="45700" anchor="ctr" anchorCtr="0">
                          <a:noAutofit/>
                        </wps:bodyPr>
                      </wps:wsp>
                      <wps:wsp>
                        <wps:cNvPr id="59" name="Rectangle 59"/>
                        <wps:cNvSpPr/>
                        <wps:spPr>
                          <a:xfrm>
                            <a:off x="449580" y="2804160"/>
                            <a:ext cx="1899920" cy="539097"/>
                          </a:xfrm>
                          <a:prstGeom prst="rect">
                            <a:avLst/>
                          </a:prstGeom>
                          <a:noFill/>
                          <a:ln w="12700" cap="flat" cmpd="sng">
                            <a:solidFill>
                              <a:srgbClr val="4C2863"/>
                            </a:solidFill>
                            <a:prstDash val="solid"/>
                            <a:miter lim="800000"/>
                            <a:headEnd type="none" w="sm" len="sm"/>
                            <a:tailEnd type="none" w="sm" len="sm"/>
                          </a:ln>
                        </wps:spPr>
                        <wps:txbx>
                          <w:txbxContent>
                            <w:p w14:paraId="2A354993" w14:textId="77777777" w:rsidR="009A0F85" w:rsidRDefault="009A0F85" w:rsidP="003414BB">
                              <w:pPr>
                                <w:textDirection w:val="btLr"/>
                              </w:pPr>
                              <w:r>
                                <w:rPr>
                                  <w:rFonts w:ascii="Arial" w:eastAsia="Arial" w:hAnsi="Arial" w:cs="Arial"/>
                                  <w:color w:val="000000"/>
                                  <w:sz w:val="18"/>
                                </w:rPr>
                                <w:t>Reports sought for retrieval</w:t>
                              </w:r>
                            </w:p>
                            <w:p w14:paraId="595444F9" w14:textId="404FDC7D" w:rsidR="009A0F85" w:rsidRDefault="009A0F85" w:rsidP="003414BB">
                              <w:pPr>
                                <w:textDirection w:val="btLr"/>
                              </w:pPr>
                              <w:r>
                                <w:rPr>
                                  <w:rFonts w:ascii="Arial" w:eastAsia="Arial" w:hAnsi="Arial" w:cs="Arial"/>
                                  <w:color w:val="000000"/>
                                  <w:sz w:val="18"/>
                                </w:rPr>
                                <w:t>(n = 217)</w:t>
                              </w:r>
                            </w:p>
                          </w:txbxContent>
                        </wps:txbx>
                        <wps:bodyPr spcFirstLastPara="1" wrap="square" lIns="91425" tIns="45700" rIns="91425" bIns="45700" anchor="ctr" anchorCtr="0">
                          <a:noAutofit/>
                        </wps:bodyPr>
                      </wps:wsp>
                      <wps:wsp>
                        <wps:cNvPr id="60" name="Alternative Process 41"/>
                        <wps:cNvSpPr/>
                        <wps:spPr>
                          <a:xfrm>
                            <a:off x="15240" y="1950720"/>
                            <a:ext cx="275590" cy="2820480"/>
                          </a:xfrm>
                          <a:prstGeom prst="flowChartAlternateProcess">
                            <a:avLst/>
                          </a:prstGeom>
                          <a:solidFill>
                            <a:srgbClr val="4C2863">
                              <a:alpha val="10196"/>
                            </a:srgbClr>
                          </a:solidFill>
                          <a:ln w="12700" cap="flat" cmpd="sng">
                            <a:solidFill>
                              <a:srgbClr val="4C2863"/>
                            </a:solidFill>
                            <a:prstDash val="solid"/>
                            <a:miter lim="800000"/>
                            <a:headEnd type="none" w="sm" len="sm"/>
                            <a:tailEnd type="none" w="sm" len="sm"/>
                          </a:ln>
                        </wps:spPr>
                        <wps:txbx>
                          <w:txbxContent>
                            <w:p w14:paraId="04B6F21A" w14:textId="77777777" w:rsidR="009A0F85" w:rsidRDefault="009A0F85" w:rsidP="003414BB">
                              <w:pPr>
                                <w:jc w:val="center"/>
                                <w:textDirection w:val="btLr"/>
                              </w:pPr>
                              <w:r>
                                <w:rPr>
                                  <w:rFonts w:ascii="Arial" w:eastAsia="Arial" w:hAnsi="Arial" w:cs="Arial"/>
                                  <w:b/>
                                  <w:color w:val="000000"/>
                                  <w:sz w:val="18"/>
                                </w:rPr>
                                <w:t>Screening</w:t>
                              </w:r>
                            </w:p>
                            <w:p w14:paraId="797290C8" w14:textId="77777777" w:rsidR="009A0F85" w:rsidRDefault="009A0F85" w:rsidP="003414BB">
                              <w:pPr>
                                <w:textDirection w:val="btLr"/>
                              </w:pPr>
                            </w:p>
                          </w:txbxContent>
                        </wps:txbx>
                        <wps:bodyPr spcFirstLastPara="1" vert="vert270" wrap="square" lIns="36000" tIns="36000" rIns="36000" bIns="36000" anchor="ctr" anchorCtr="0">
                          <a:noAutofit/>
                        </wps:bodyPr>
                      </wps:wsp>
                      <wps:wsp>
                        <wps:cNvPr id="61" name="Rectangle 61"/>
                        <wps:cNvSpPr/>
                        <wps:spPr>
                          <a:xfrm>
                            <a:off x="2948940" y="2804160"/>
                            <a:ext cx="1899920" cy="539097"/>
                          </a:xfrm>
                          <a:prstGeom prst="rect">
                            <a:avLst/>
                          </a:prstGeom>
                          <a:noFill/>
                          <a:ln w="12700" cap="flat" cmpd="sng">
                            <a:solidFill>
                              <a:srgbClr val="4C2863"/>
                            </a:solidFill>
                            <a:prstDash val="solid"/>
                            <a:miter lim="800000"/>
                            <a:headEnd type="none" w="sm" len="sm"/>
                            <a:tailEnd type="none" w="sm" len="sm"/>
                          </a:ln>
                        </wps:spPr>
                        <wps:txbx>
                          <w:txbxContent>
                            <w:p w14:paraId="365C1A05" w14:textId="77777777" w:rsidR="009A0F85" w:rsidRDefault="009A0F85" w:rsidP="003414BB">
                              <w:pPr>
                                <w:textDirection w:val="btLr"/>
                              </w:pPr>
                              <w:r>
                                <w:rPr>
                                  <w:rFonts w:ascii="Arial" w:eastAsia="Arial" w:hAnsi="Arial" w:cs="Arial"/>
                                  <w:color w:val="000000"/>
                                  <w:sz w:val="18"/>
                                </w:rPr>
                                <w:t>Reports not retrieved</w:t>
                              </w:r>
                            </w:p>
                            <w:p w14:paraId="065EFF99" w14:textId="77777777" w:rsidR="009A0F85" w:rsidRDefault="009A0F85" w:rsidP="003414BB">
                              <w:pPr>
                                <w:textDirection w:val="btLr"/>
                              </w:pPr>
                              <w:r>
                                <w:rPr>
                                  <w:rFonts w:ascii="Arial" w:eastAsia="Arial" w:hAnsi="Arial" w:cs="Arial"/>
                                  <w:color w:val="000000"/>
                                  <w:sz w:val="18"/>
                                </w:rPr>
                                <w:t>(n = 0)</w:t>
                              </w:r>
                            </w:p>
                          </w:txbxContent>
                        </wps:txbx>
                        <wps:bodyPr spcFirstLastPara="1" wrap="square" lIns="91425" tIns="45700" rIns="91425" bIns="45700" anchor="ctr" anchorCtr="0">
                          <a:noAutofit/>
                        </wps:bodyPr>
                      </wps:wsp>
                      <wps:wsp>
                        <wps:cNvPr id="62" name="Rectangle 62"/>
                        <wps:cNvSpPr/>
                        <wps:spPr>
                          <a:xfrm>
                            <a:off x="449580" y="3642360"/>
                            <a:ext cx="1899920" cy="539097"/>
                          </a:xfrm>
                          <a:prstGeom prst="rect">
                            <a:avLst/>
                          </a:prstGeom>
                          <a:noFill/>
                          <a:ln w="12700" cap="flat" cmpd="sng">
                            <a:solidFill>
                              <a:srgbClr val="4C2863"/>
                            </a:solidFill>
                            <a:prstDash val="solid"/>
                            <a:miter lim="800000"/>
                            <a:headEnd type="none" w="sm" len="sm"/>
                            <a:tailEnd type="none" w="sm" len="sm"/>
                          </a:ln>
                        </wps:spPr>
                        <wps:txbx>
                          <w:txbxContent>
                            <w:p w14:paraId="221F2363" w14:textId="77777777" w:rsidR="009A0F85" w:rsidRDefault="009A0F85" w:rsidP="003414BB">
                              <w:pPr>
                                <w:textDirection w:val="btLr"/>
                              </w:pPr>
                              <w:r>
                                <w:rPr>
                                  <w:rFonts w:ascii="Arial" w:eastAsia="Arial" w:hAnsi="Arial" w:cs="Arial"/>
                                  <w:color w:val="000000"/>
                                  <w:sz w:val="18"/>
                                </w:rPr>
                                <w:t>Reports assessed for eligibility</w:t>
                              </w:r>
                            </w:p>
                            <w:p w14:paraId="1F9D453D" w14:textId="52CA7D21" w:rsidR="009A0F85" w:rsidRDefault="009A0F85" w:rsidP="003414BB">
                              <w:pPr>
                                <w:textDirection w:val="btLr"/>
                              </w:pPr>
                              <w:r>
                                <w:rPr>
                                  <w:rFonts w:ascii="Arial" w:eastAsia="Arial" w:hAnsi="Arial" w:cs="Arial"/>
                                  <w:color w:val="000000"/>
                                  <w:sz w:val="18"/>
                                </w:rPr>
                                <w:t>(n = 217)</w:t>
                              </w:r>
                            </w:p>
                          </w:txbxContent>
                        </wps:txbx>
                        <wps:bodyPr spcFirstLastPara="1" wrap="square" lIns="91425" tIns="45700" rIns="91425" bIns="45700" anchor="ctr" anchorCtr="0">
                          <a:noAutofit/>
                        </wps:bodyPr>
                      </wps:wsp>
                      <wps:wsp>
                        <wps:cNvPr id="63" name="Rectangle 63"/>
                        <wps:cNvSpPr/>
                        <wps:spPr>
                          <a:xfrm>
                            <a:off x="2971800" y="3634740"/>
                            <a:ext cx="1881505" cy="1068670"/>
                          </a:xfrm>
                          <a:prstGeom prst="rect">
                            <a:avLst/>
                          </a:prstGeom>
                          <a:noFill/>
                          <a:ln w="12700" cap="flat" cmpd="sng">
                            <a:solidFill>
                              <a:srgbClr val="4C2863"/>
                            </a:solidFill>
                            <a:prstDash val="solid"/>
                            <a:miter lim="800000"/>
                            <a:headEnd type="none" w="sm" len="sm"/>
                            <a:tailEnd type="none" w="sm" len="sm"/>
                          </a:ln>
                        </wps:spPr>
                        <wps:txbx>
                          <w:txbxContent>
                            <w:p w14:paraId="1BC90B9A" w14:textId="77777777" w:rsidR="009A0F85" w:rsidRDefault="009A0F85" w:rsidP="003414BB">
                              <w:pPr>
                                <w:textDirection w:val="btLr"/>
                              </w:pPr>
                              <w:r>
                                <w:rPr>
                                  <w:rFonts w:ascii="Arial" w:eastAsia="Arial" w:hAnsi="Arial" w:cs="Arial"/>
                                  <w:color w:val="000000"/>
                                  <w:sz w:val="18"/>
                                </w:rPr>
                                <w:t>Reports excluded (n = 166):</w:t>
                              </w:r>
                            </w:p>
                            <w:p w14:paraId="0ACED2DD" w14:textId="0DD50E8E" w:rsidR="009A0F85" w:rsidRDefault="009A0F85" w:rsidP="003414BB">
                              <w:pPr>
                                <w:spacing w:after="0" w:line="240" w:lineRule="exact"/>
                                <w:ind w:left="284"/>
                                <w:textDirection w:val="btLr"/>
                              </w:pPr>
                              <w:r>
                                <w:rPr>
                                  <w:rFonts w:ascii="Arial" w:eastAsia="Arial" w:hAnsi="Arial" w:cs="Arial"/>
                                  <w:color w:val="000000"/>
                                  <w:sz w:val="18"/>
                                </w:rPr>
                                <w:t>Ineligible population (n =50)</w:t>
                              </w:r>
                            </w:p>
                            <w:p w14:paraId="3B7C1970" w14:textId="05C805BC" w:rsidR="009A0F85" w:rsidRDefault="009A0F85" w:rsidP="003414BB">
                              <w:pPr>
                                <w:spacing w:after="0" w:line="240" w:lineRule="exact"/>
                                <w:textDirection w:val="btLr"/>
                              </w:pPr>
                              <w:r>
                                <w:rPr>
                                  <w:rFonts w:ascii="Arial" w:eastAsia="Arial" w:hAnsi="Arial" w:cs="Arial"/>
                                  <w:color w:val="000000"/>
                                  <w:sz w:val="18"/>
                                </w:rPr>
                                <w:t xml:space="preserve">      Ineligible outcome (n =92)</w:t>
                              </w:r>
                            </w:p>
                            <w:p w14:paraId="22E8BD86" w14:textId="6590ADC6" w:rsidR="009A0F85" w:rsidRPr="00DF10A5" w:rsidRDefault="009A0F85" w:rsidP="003414BB">
                              <w:pPr>
                                <w:spacing w:after="0" w:line="240" w:lineRule="exact"/>
                                <w:textDirection w:val="btLr"/>
                              </w:pPr>
                              <w:r>
                                <w:rPr>
                                  <w:rFonts w:ascii="Arial" w:eastAsia="Arial" w:hAnsi="Arial" w:cs="Arial"/>
                                  <w:color w:val="000000"/>
                                  <w:sz w:val="18"/>
                                </w:rPr>
                                <w:t xml:space="preserve">      Ineligible intervention (n =22)</w:t>
                              </w:r>
                            </w:p>
                            <w:p w14:paraId="55BB7D5E" w14:textId="77777777" w:rsidR="009A0F85" w:rsidRPr="00DF10A5" w:rsidRDefault="009A0F85" w:rsidP="003414BB">
                              <w:pPr>
                                <w:spacing w:after="0" w:line="240" w:lineRule="exact"/>
                                <w:ind w:left="283" w:firstLine="1"/>
                                <w:textDirection w:val="btLr"/>
                                <w:rPr>
                                  <w:rFonts w:ascii="Arial" w:eastAsia="Arial" w:hAnsi="Arial" w:cs="Arial"/>
                                  <w:color w:val="000000"/>
                                  <w:sz w:val="18"/>
                                </w:rPr>
                              </w:pPr>
                              <w:r>
                                <w:rPr>
                                  <w:rFonts w:ascii="Arial" w:eastAsia="Arial" w:hAnsi="Arial" w:cs="Arial"/>
                                  <w:color w:val="000000"/>
                                  <w:sz w:val="18"/>
                                </w:rPr>
                                <w:t>Reviews/Comments (n = 2)</w:t>
                              </w:r>
                            </w:p>
                          </w:txbxContent>
                        </wps:txbx>
                        <wps:bodyPr spcFirstLastPara="1" wrap="square" lIns="91425" tIns="45700" rIns="36000" bIns="45700" anchor="ctr" anchorCtr="0">
                          <a:noAutofit/>
                        </wps:bodyPr>
                      </wps:wsp>
                      <wps:wsp>
                        <wps:cNvPr id="64" name="Rectangle 64"/>
                        <wps:cNvSpPr/>
                        <wps:spPr>
                          <a:xfrm>
                            <a:off x="449580" y="4960113"/>
                            <a:ext cx="2685370" cy="1334007"/>
                          </a:xfrm>
                          <a:prstGeom prst="rect">
                            <a:avLst/>
                          </a:prstGeom>
                          <a:noFill/>
                          <a:ln w="12700" cap="flat" cmpd="sng">
                            <a:solidFill>
                              <a:srgbClr val="4C2863"/>
                            </a:solidFill>
                            <a:prstDash val="solid"/>
                            <a:miter lim="800000"/>
                            <a:headEnd type="none" w="sm" len="sm"/>
                            <a:tailEnd type="none" w="sm" len="sm"/>
                          </a:ln>
                        </wps:spPr>
                        <wps:txbx>
                          <w:txbxContent>
                            <w:p w14:paraId="74385975" w14:textId="55DF8823" w:rsidR="009A0F85" w:rsidRDefault="009A0F85" w:rsidP="003414BB">
                              <w:pPr>
                                <w:textDirection w:val="btLr"/>
                                <w:rPr>
                                  <w:rFonts w:ascii="Arial" w:eastAsia="Arial" w:hAnsi="Arial" w:cs="Arial"/>
                                  <w:color w:val="000000"/>
                                  <w:sz w:val="18"/>
                                </w:rPr>
                              </w:pPr>
                              <w:r>
                                <w:rPr>
                                  <w:rFonts w:ascii="Arial" w:eastAsia="Arial" w:hAnsi="Arial" w:cs="Arial"/>
                                  <w:color w:val="000000"/>
                                  <w:sz w:val="18"/>
                                </w:rPr>
                                <w:t>Studies included in review</w:t>
                              </w:r>
                              <w:r>
                                <w:t xml:space="preserve"> </w:t>
                              </w:r>
                              <w:r>
                                <w:rPr>
                                  <w:rFonts w:ascii="Arial" w:eastAsia="Arial" w:hAnsi="Arial" w:cs="Arial"/>
                                  <w:color w:val="000000"/>
                                  <w:sz w:val="18"/>
                                </w:rPr>
                                <w:t>(n = 50; 51 papers)</w:t>
                              </w:r>
                            </w:p>
                            <w:p w14:paraId="30CCC26F" w14:textId="0D1A4EA8"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Q1 – barriers in Australia (n = 20; 21 papers)</w:t>
                              </w:r>
                            </w:p>
                            <w:p w14:paraId="3A4BE993" w14:textId="77777777"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Q2 – devices and measures (n =1)</w:t>
                              </w:r>
                            </w:p>
                            <w:p w14:paraId="0D4C90A9" w14:textId="77777777"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Q3 – interventions (n = 9)</w:t>
                              </w:r>
                            </w:p>
                            <w:p w14:paraId="4D565838" w14:textId="77777777"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Q4 – health equity and literacy (n = 5)</w:t>
                              </w:r>
                            </w:p>
                            <w:p w14:paraId="0483385C" w14:textId="77777777" w:rsidR="009A0F85" w:rsidRPr="00563981"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Q5 – data gaps (n = 15)</w:t>
                              </w:r>
                            </w:p>
                          </w:txbxContent>
                        </wps:txbx>
                        <wps:bodyPr spcFirstLastPara="1" wrap="square" lIns="91425" tIns="45700" rIns="91425" bIns="45700" anchor="ctr" anchorCtr="0">
                          <a:noAutofit/>
                        </wps:bodyPr>
                      </wps:wsp>
                      <wps:wsp>
                        <wps:cNvPr id="65" name="Alternative Process 42"/>
                        <wps:cNvSpPr/>
                        <wps:spPr>
                          <a:xfrm>
                            <a:off x="22860" y="4921884"/>
                            <a:ext cx="275590" cy="1296035"/>
                          </a:xfrm>
                          <a:prstGeom prst="flowChartAlternateProcess">
                            <a:avLst/>
                          </a:prstGeom>
                          <a:solidFill>
                            <a:srgbClr val="4C2863">
                              <a:alpha val="10196"/>
                            </a:srgbClr>
                          </a:solidFill>
                          <a:ln w="12700" cap="flat" cmpd="sng">
                            <a:solidFill>
                              <a:srgbClr val="4C2863"/>
                            </a:solidFill>
                            <a:prstDash val="solid"/>
                            <a:miter lim="800000"/>
                            <a:headEnd type="none" w="sm" len="sm"/>
                            <a:tailEnd type="none" w="sm" len="sm"/>
                          </a:ln>
                        </wps:spPr>
                        <wps:txbx>
                          <w:txbxContent>
                            <w:p w14:paraId="15E5C99C" w14:textId="77777777" w:rsidR="009A0F85" w:rsidRDefault="009A0F85" w:rsidP="003414BB">
                              <w:pPr>
                                <w:jc w:val="center"/>
                                <w:textDirection w:val="btLr"/>
                              </w:pPr>
                              <w:r>
                                <w:rPr>
                                  <w:rFonts w:ascii="Arial" w:eastAsia="Arial" w:hAnsi="Arial" w:cs="Arial"/>
                                  <w:b/>
                                  <w:color w:val="000000"/>
                                  <w:sz w:val="18"/>
                                </w:rPr>
                                <w:t>Included</w:t>
                              </w:r>
                            </w:p>
                          </w:txbxContent>
                        </wps:txbx>
                        <wps:bodyPr spcFirstLastPara="1" vert="vert270" wrap="square" lIns="36000" tIns="36000" rIns="36000" bIns="36000" anchor="ctr" anchorCtr="0">
                          <a:noAutofit/>
                        </wps:bodyPr>
                      </wps:wsp>
                      <wps:wsp>
                        <wps:cNvPr id="66" name="Straight Arrow Connector 1"/>
                        <wps:cNvCnPr/>
                        <wps:spPr>
                          <a:xfrm>
                            <a:off x="2346960" y="1036320"/>
                            <a:ext cx="591820" cy="0"/>
                          </a:xfrm>
                          <a:prstGeom prst="straightConnector1">
                            <a:avLst/>
                          </a:prstGeom>
                          <a:noFill/>
                          <a:ln w="6350" cap="flat" cmpd="sng" algn="ctr">
                            <a:solidFill>
                              <a:srgbClr val="4C2863"/>
                            </a:solidFill>
                            <a:prstDash val="solid"/>
                            <a:miter lim="800000"/>
                            <a:tailEnd type="triangle"/>
                          </a:ln>
                          <a:effectLst/>
                        </wps:spPr>
                        <wps:bodyPr/>
                      </wps:wsp>
                      <wps:wsp>
                        <wps:cNvPr id="67" name="Straight Arrow Connector 1"/>
                        <wps:cNvCnPr/>
                        <wps:spPr>
                          <a:xfrm>
                            <a:off x="2369820" y="2240280"/>
                            <a:ext cx="591820" cy="0"/>
                          </a:xfrm>
                          <a:prstGeom prst="straightConnector1">
                            <a:avLst/>
                          </a:prstGeom>
                          <a:noFill/>
                          <a:ln w="6350" cap="flat" cmpd="sng" algn="ctr">
                            <a:solidFill>
                              <a:srgbClr val="4C2863"/>
                            </a:solidFill>
                            <a:prstDash val="solid"/>
                            <a:miter lim="800000"/>
                            <a:tailEnd type="triangle"/>
                          </a:ln>
                          <a:effectLst/>
                        </wps:spPr>
                        <wps:bodyPr/>
                      </wps:wsp>
                      <wps:wsp>
                        <wps:cNvPr id="68" name="Straight Arrow Connector 1"/>
                        <wps:cNvCnPr/>
                        <wps:spPr>
                          <a:xfrm>
                            <a:off x="2346960" y="3078480"/>
                            <a:ext cx="591820" cy="0"/>
                          </a:xfrm>
                          <a:prstGeom prst="straightConnector1">
                            <a:avLst/>
                          </a:prstGeom>
                          <a:noFill/>
                          <a:ln w="6350" cap="flat" cmpd="sng" algn="ctr">
                            <a:solidFill>
                              <a:srgbClr val="4C2863"/>
                            </a:solidFill>
                            <a:prstDash val="solid"/>
                            <a:miter lim="800000"/>
                            <a:tailEnd type="triangle"/>
                          </a:ln>
                          <a:effectLst/>
                        </wps:spPr>
                        <wps:bodyPr/>
                      </wps:wsp>
                      <wps:wsp>
                        <wps:cNvPr id="69" name="Straight Arrow Connector 1"/>
                        <wps:cNvCnPr/>
                        <wps:spPr>
                          <a:xfrm>
                            <a:off x="2354580" y="3909060"/>
                            <a:ext cx="591820" cy="0"/>
                          </a:xfrm>
                          <a:prstGeom prst="straightConnector1">
                            <a:avLst/>
                          </a:prstGeom>
                          <a:noFill/>
                          <a:ln w="6350" cap="flat" cmpd="sng" algn="ctr">
                            <a:solidFill>
                              <a:srgbClr val="4C2863"/>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3A417BD8" id="Group 48" o:spid="_x0000_s1026" alt="&quot;&quot;" style="position:absolute;margin-left:28.8pt;margin-top:5.8pt;width:384.6pt;height:458.75pt;z-index:251661312;mso-width-relative:margin;mso-height-relative:margin" coordsize="48533,6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">
                <v:shapetype id="_x0000_t32" coordsize="21600,21600" o:spt="32" o:oned="t" path="m,l21600,21600e" filled="f">
                  <v:path arrowok="t" fillok="f" o:connecttype="none"/>
                  <o:lock v:ext="edit" shapetype="t"/>
                </v:shapetype>
                <v:shape id="Straight Arrow Connector 49" o:spid="_x0000_s1027" type="#_x0000_t32" style="position:absolute;left:13944;top:16764;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" strokecolor="#4c2863">
                  <v:stroke startarrowwidth="narrow" startarrowlength="short" endarrow="block" joinstyle="miter"/>
                </v:shape>
                <v:shape id="Straight Arrow Connector 50" o:spid="_x0000_s1028" type="#_x0000_t32" style="position:absolute;left:13868;top:24993;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" strokecolor="#4c2863">
                  <v:stroke startarrowwidth="narrow" startarrowlength="short" endarrow="block" joinstyle="miter"/>
                </v:shape>
                <v:shape id="Straight Arrow Connector 51" o:spid="_x0000_s1029" type="#_x0000_t32" style="position:absolute;left:13944;top:33375;width:0;height:2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" strokecolor="#4c2863">
                  <v:stroke startarrowwidth="narrow" startarrowlength="short" endarrow="block" joinstyle="miter"/>
                </v:shape>
                <v:shape id="Straight Arrow Connector 52" o:spid="_x0000_s1030" type="#_x0000_t32" style="position:absolute;left:13868;top:41757;width:0;height:74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" strokecolor="#4c2863">
                  <v:stroke startarrowwidth="narrow" startarrowlength="short" endarrow="block" joinstyle="miter"/>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 Process 43" o:spid="_x0000_s1031" type="#_x0000_t176" style="position:absolute;left:2057;width:43452;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" fillcolor="#4c2863" strokecolor="#4c2863" strokeweight="1pt">
                  <v:fill opacity="6682f"/>
                  <v:stroke startarrowwidth="narrow" startarrowlength="short" endarrowwidth="narrow" endarrowlength="short"/>
                  <v:textbox inset="2.53958mm,1.2694mm,2.53958mm,1.2694mm">
                    <w:txbxContent>
                      <w:p w14:paraId="4688E56B" w14:textId="77777777" w:rsidR="009A0F85" w:rsidRDefault="009A0F85" w:rsidP="003414BB">
                        <w:pPr>
                          <w:jc w:val="center"/>
                          <w:textDirection w:val="btLr"/>
                        </w:pPr>
                        <w:r>
                          <w:rPr>
                            <w:rFonts w:ascii="Arial" w:eastAsia="Arial" w:hAnsi="Arial" w:cs="Arial"/>
                            <w:b/>
                            <w:color w:val="000000"/>
                            <w:sz w:val="18"/>
                          </w:rPr>
                          <w:t>Identification of studies via databases and other sources</w:t>
                        </w:r>
                      </w:p>
                    </w:txbxContent>
                  </v:textbox>
                </v:shape>
                <v:rect id="Rectangle 54" o:spid="_x0000_s1032" style="position:absolute;left:4419;top:4724;width:18999;height:120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" filled="f" strokecolor="#4c2863" strokeweight="1pt">
                  <v:stroke startarrowwidth="narrow" startarrowlength="short" endarrowwidth="narrow" endarrowlength="short"/>
                  <v:textbox inset="2.53958mm,1.2694mm,2.53958mm,1.2694mm">
                    <w:txbxContent>
                      <w:p w14:paraId="0CDE71DC" w14:textId="77777777" w:rsidR="009A0F85" w:rsidRDefault="009A0F85" w:rsidP="003414BB">
                        <w:pPr>
                          <w:textDirection w:val="btLr"/>
                        </w:pPr>
                        <w:r>
                          <w:rPr>
                            <w:rFonts w:ascii="Arial" w:eastAsia="Arial" w:hAnsi="Arial" w:cs="Arial"/>
                            <w:color w:val="000000"/>
                            <w:sz w:val="18"/>
                          </w:rPr>
                          <w:t>Records identified from:</w:t>
                        </w:r>
                      </w:p>
                      <w:p w14:paraId="4CC2C1D7" w14:textId="77777777" w:rsidR="009A0F85" w:rsidRDefault="009A0F85" w:rsidP="003414BB">
                        <w:pPr>
                          <w:spacing w:after="0" w:line="200" w:lineRule="exact"/>
                          <w:textDirection w:val="btLr"/>
                        </w:pPr>
                        <w:r>
                          <w:rPr>
                            <w:rFonts w:ascii="Arial" w:eastAsia="Arial" w:hAnsi="Arial" w:cs="Arial"/>
                            <w:color w:val="000000"/>
                            <w:sz w:val="18"/>
                          </w:rPr>
                          <w:t xml:space="preserve">                 MEDLINE (n = 3187)</w:t>
                        </w:r>
                      </w:p>
                      <w:p w14:paraId="6693226E" w14:textId="77777777" w:rsidR="009A0F85" w:rsidRDefault="009A0F85" w:rsidP="003414BB">
                        <w:pPr>
                          <w:spacing w:after="0" w:line="200" w:lineRule="exact"/>
                          <w:textDirection w:val="btLr"/>
                        </w:pPr>
                        <w:r>
                          <w:rPr>
                            <w:rFonts w:ascii="Arial" w:eastAsia="Arial" w:hAnsi="Arial" w:cs="Arial"/>
                            <w:color w:val="000000"/>
                            <w:sz w:val="18"/>
                          </w:rPr>
                          <w:t xml:space="preserve">                 Embase (n = 2345)</w:t>
                        </w:r>
                      </w:p>
                      <w:p w14:paraId="359CC12F" w14:textId="43A2E547" w:rsidR="009A0F85" w:rsidRDefault="009A0F85" w:rsidP="003414BB">
                        <w:pPr>
                          <w:spacing w:after="0" w:line="200" w:lineRule="exact"/>
                          <w:textDirection w:val="btLr"/>
                        </w:pPr>
                        <w:r>
                          <w:rPr>
                            <w:rFonts w:ascii="Arial" w:eastAsia="Arial" w:hAnsi="Arial" w:cs="Arial"/>
                            <w:color w:val="000000"/>
                            <w:sz w:val="18"/>
                          </w:rPr>
                          <w:t>n= 6,294   PsycINFO (n = 116)</w:t>
                        </w:r>
                      </w:p>
                      <w:p w14:paraId="59ABFF24" w14:textId="77777777" w:rsidR="009A0F85" w:rsidRDefault="009A0F85" w:rsidP="003414BB">
                        <w:pPr>
                          <w:spacing w:after="0" w:line="200" w:lineRule="exact"/>
                          <w:ind w:left="284"/>
                          <w:textDirection w:val="btLr"/>
                        </w:pPr>
                        <w:r>
                          <w:rPr>
                            <w:rFonts w:ascii="Arial" w:eastAsia="Arial" w:hAnsi="Arial" w:cs="Arial"/>
                            <w:color w:val="000000"/>
                            <w:sz w:val="18"/>
                          </w:rPr>
                          <w:t xml:space="preserve">           </w:t>
                        </w:r>
                        <w:proofErr w:type="spellStart"/>
                        <w:r>
                          <w:rPr>
                            <w:rFonts w:ascii="Arial" w:eastAsia="Arial" w:hAnsi="Arial" w:cs="Arial"/>
                            <w:color w:val="000000"/>
                            <w:sz w:val="18"/>
                          </w:rPr>
                          <w:t>Emcare</w:t>
                        </w:r>
                        <w:proofErr w:type="spellEnd"/>
                        <w:r>
                          <w:rPr>
                            <w:rFonts w:ascii="Arial" w:eastAsia="Arial" w:hAnsi="Arial" w:cs="Arial"/>
                            <w:color w:val="000000"/>
                            <w:sz w:val="18"/>
                          </w:rPr>
                          <w:t xml:space="preserve"> (n = 563)</w:t>
                        </w:r>
                      </w:p>
                      <w:p w14:paraId="3667E477" w14:textId="77777777" w:rsidR="009A0F85" w:rsidRDefault="009A0F85" w:rsidP="003414BB">
                        <w:pPr>
                          <w:spacing w:after="0" w:line="200" w:lineRule="exact"/>
                          <w:ind w:left="283" w:firstLine="1"/>
                          <w:textDirection w:val="btLr"/>
                          <w:rPr>
                            <w:rFonts w:ascii="Arial" w:eastAsia="Arial" w:hAnsi="Arial" w:cs="Arial"/>
                            <w:color w:val="000000"/>
                            <w:sz w:val="18"/>
                          </w:rPr>
                        </w:pPr>
                        <w:r>
                          <w:rPr>
                            <w:rFonts w:ascii="Arial" w:eastAsia="Arial" w:hAnsi="Arial" w:cs="Arial"/>
                            <w:color w:val="000000"/>
                            <w:sz w:val="18"/>
                          </w:rPr>
                          <w:t xml:space="preserve">           CENTRAL (n = 45)</w:t>
                        </w:r>
                      </w:p>
                      <w:p w14:paraId="4AB481A5" w14:textId="29829F65" w:rsidR="009A0F85" w:rsidRDefault="009A0F85" w:rsidP="003414BB">
                        <w:pPr>
                          <w:spacing w:after="0" w:line="200" w:lineRule="exact"/>
                          <w:ind w:left="283" w:firstLine="1"/>
                          <w:textDirection w:val="btLr"/>
                        </w:pPr>
                        <w:r>
                          <w:rPr>
                            <w:rFonts w:ascii="Arial" w:eastAsia="Arial" w:hAnsi="Arial" w:cs="Arial"/>
                            <w:color w:val="000000"/>
                            <w:sz w:val="18"/>
                          </w:rPr>
                          <w:t xml:space="preserve">           Other sources (n = 38)</w:t>
                        </w:r>
                      </w:p>
                    </w:txbxContent>
                  </v:textbox>
                </v:rect>
                <v:rect id="Rectangle 55" o:spid="_x0000_s1033" style="position:absolute;left:29413;top:4724;width:18999;height: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" filled="f" strokecolor="#4c2863" strokeweight="1pt">
                  <v:stroke startarrowwidth="narrow" startarrowlength="short" endarrowwidth="narrow" endarrowlength="short"/>
                  <v:textbox inset="2.53958mm,1.2694mm,2.53958mm,1.2694mm">
                    <w:txbxContent>
                      <w:p w14:paraId="3787E416" w14:textId="77777777" w:rsidR="009A0F85" w:rsidRDefault="009A0F85" w:rsidP="003414BB">
                        <w:pPr>
                          <w:textDirection w:val="btLr"/>
                        </w:pPr>
                        <w:r>
                          <w:rPr>
                            <w:rFonts w:ascii="Arial" w:eastAsia="Arial" w:hAnsi="Arial" w:cs="Arial"/>
                            <w:color w:val="000000"/>
                            <w:sz w:val="18"/>
                          </w:rPr>
                          <w:t xml:space="preserve">Records removed </w:t>
                        </w:r>
                        <w:r>
                          <w:rPr>
                            <w:rFonts w:ascii="Arial" w:eastAsia="Arial" w:hAnsi="Arial" w:cs="Arial"/>
                            <w:i/>
                            <w:color w:val="000000"/>
                            <w:sz w:val="18"/>
                          </w:rPr>
                          <w:t>before screening</w:t>
                        </w:r>
                        <w:r>
                          <w:rPr>
                            <w:rFonts w:ascii="Arial" w:eastAsia="Arial" w:hAnsi="Arial" w:cs="Arial"/>
                            <w:color w:val="000000"/>
                            <w:sz w:val="18"/>
                          </w:rPr>
                          <w:t>:</w:t>
                        </w:r>
                      </w:p>
                      <w:p w14:paraId="7345E719" w14:textId="77777777" w:rsidR="009A0F85" w:rsidRDefault="009A0F85" w:rsidP="003414BB">
                        <w:pPr>
                          <w:ind w:left="283" w:firstLine="1"/>
                          <w:textDirection w:val="btLr"/>
                        </w:pPr>
                        <w:r>
                          <w:rPr>
                            <w:rFonts w:ascii="Arial" w:eastAsia="Arial" w:hAnsi="Arial" w:cs="Arial"/>
                            <w:color w:val="000000"/>
                            <w:sz w:val="18"/>
                          </w:rPr>
                          <w:t xml:space="preserve">Duplicate records removed </w:t>
                        </w:r>
                        <w:r>
                          <w:rPr>
                            <w:rFonts w:ascii="Arial" w:eastAsia="Arial" w:hAnsi="Arial" w:cs="Arial"/>
                            <w:color w:val="000000"/>
                            <w:sz w:val="18"/>
                          </w:rPr>
                          <w:br/>
                          <w:t>(n = 3640)</w:t>
                        </w:r>
                      </w:p>
                    </w:txbxContent>
                  </v:textbox>
                </v:rect>
                <v:shape id="Alternative Process 54" o:spid="_x0000_s1034" type="#_x0000_t176" style="position:absolute;top:4800;width:2889;height:11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" fillcolor="#4c2863" strokecolor="#4c2863" strokeweight="1pt">
                  <v:fill opacity="6682f"/>
                  <v:stroke startarrowwidth="narrow" startarrowlength="short" endarrowwidth="narrow" endarrowlength="short"/>
                  <v:textbox style="layout-flow:vertical;mso-layout-flow-alt:bottom-to-top" inset="1mm,1mm,1mm,1mm">
                    <w:txbxContent>
                      <w:p w14:paraId="5F5F8D72" w14:textId="77777777" w:rsidR="009A0F85" w:rsidRDefault="009A0F85" w:rsidP="003414BB">
                        <w:pPr>
                          <w:jc w:val="center"/>
                          <w:textDirection w:val="btLr"/>
                        </w:pPr>
                        <w:r>
                          <w:rPr>
                            <w:rFonts w:ascii="Arial" w:eastAsia="Arial" w:hAnsi="Arial" w:cs="Arial"/>
                            <w:b/>
                            <w:color w:val="000000"/>
                            <w:sz w:val="18"/>
                          </w:rPr>
                          <w:t>Identification</w:t>
                        </w:r>
                      </w:p>
                    </w:txbxContent>
                  </v:textbox>
                </v:shape>
                <v:rect id="Rectangle 57" o:spid="_x0000_s1035" style="position:absolute;left:4572;top:19659;width:18999;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" filled="f" strokecolor="#4c2863" strokeweight="1pt">
                  <v:stroke startarrowwidth="narrow" startarrowlength="short" endarrowwidth="narrow" endarrowlength="short"/>
                  <v:textbox inset="2.53958mm,1.2694mm,2.53958mm,1.2694mm">
                    <w:txbxContent>
                      <w:p w14:paraId="0807A659" w14:textId="77777777" w:rsidR="009A0F85" w:rsidRDefault="009A0F85" w:rsidP="003414BB">
                        <w:pPr>
                          <w:textDirection w:val="btLr"/>
                        </w:pPr>
                        <w:r>
                          <w:rPr>
                            <w:rFonts w:ascii="Arial" w:eastAsia="Arial" w:hAnsi="Arial" w:cs="Arial"/>
                            <w:color w:val="000000"/>
                            <w:sz w:val="18"/>
                          </w:rPr>
                          <w:t>Records screened</w:t>
                        </w:r>
                      </w:p>
                      <w:p w14:paraId="288554AA" w14:textId="1329A948" w:rsidR="009A0F85" w:rsidRDefault="009A0F85" w:rsidP="003414BB">
                        <w:pPr>
                          <w:textDirection w:val="btLr"/>
                        </w:pPr>
                        <w:r>
                          <w:rPr>
                            <w:rFonts w:ascii="Arial" w:eastAsia="Arial" w:hAnsi="Arial" w:cs="Arial"/>
                            <w:color w:val="000000"/>
                            <w:sz w:val="18"/>
                          </w:rPr>
                          <w:t>(n = 2654)</w:t>
                        </w:r>
                      </w:p>
                    </w:txbxContent>
                  </v:textbox>
                </v:rect>
                <v:rect id="Rectangle 58" o:spid="_x0000_s1036" style="position:absolute;left:29489;top:19659;width:18999;height:5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" filled="f" strokecolor="#4c2863" strokeweight="1pt">
                  <v:stroke startarrowwidth="narrow" startarrowlength="short" endarrowwidth="narrow" endarrowlength="short"/>
                  <v:textbox inset="2.53958mm,1.2694mm,2.53958mm,1.2694mm">
                    <w:txbxContent>
                      <w:p w14:paraId="0F3DF1FF" w14:textId="4B2A5032" w:rsidR="009A0F85" w:rsidRDefault="009A0F85" w:rsidP="003414BB">
                        <w:pPr>
                          <w:textDirection w:val="btLr"/>
                        </w:pPr>
                        <w:r>
                          <w:rPr>
                            <w:rFonts w:ascii="Arial" w:eastAsia="Arial" w:hAnsi="Arial" w:cs="Arial"/>
                            <w:color w:val="000000"/>
                            <w:sz w:val="18"/>
                          </w:rPr>
                          <w:t>Records excluded (title, abstract)</w:t>
                        </w:r>
                      </w:p>
                      <w:p w14:paraId="56798220" w14:textId="77777777" w:rsidR="009A0F85" w:rsidRDefault="009A0F85" w:rsidP="003414BB">
                        <w:pPr>
                          <w:textDirection w:val="btLr"/>
                        </w:pPr>
                        <w:r>
                          <w:rPr>
                            <w:rFonts w:ascii="Arial" w:eastAsia="Arial" w:hAnsi="Arial" w:cs="Arial"/>
                            <w:color w:val="000000"/>
                            <w:sz w:val="18"/>
                          </w:rPr>
                          <w:t>(n = 2437)</w:t>
                        </w:r>
                      </w:p>
                    </w:txbxContent>
                  </v:textbox>
                </v:rect>
                <v:rect id="Rectangle 59" o:spid="_x0000_s1037" style="position:absolute;left:4495;top:28041;width:19000;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" filled="f" strokecolor="#4c2863" strokeweight="1pt">
                  <v:stroke startarrowwidth="narrow" startarrowlength="short" endarrowwidth="narrow" endarrowlength="short"/>
                  <v:textbox inset="2.53958mm,1.2694mm,2.53958mm,1.2694mm">
                    <w:txbxContent>
                      <w:p w14:paraId="2A354993" w14:textId="77777777" w:rsidR="009A0F85" w:rsidRDefault="009A0F85" w:rsidP="003414BB">
                        <w:pPr>
                          <w:textDirection w:val="btLr"/>
                        </w:pPr>
                        <w:r>
                          <w:rPr>
                            <w:rFonts w:ascii="Arial" w:eastAsia="Arial" w:hAnsi="Arial" w:cs="Arial"/>
                            <w:color w:val="000000"/>
                            <w:sz w:val="18"/>
                          </w:rPr>
                          <w:t>Reports sought for retrieval</w:t>
                        </w:r>
                      </w:p>
                      <w:p w14:paraId="595444F9" w14:textId="404FDC7D" w:rsidR="009A0F85" w:rsidRDefault="009A0F85" w:rsidP="003414BB">
                        <w:pPr>
                          <w:textDirection w:val="btLr"/>
                        </w:pPr>
                        <w:r>
                          <w:rPr>
                            <w:rFonts w:ascii="Arial" w:eastAsia="Arial" w:hAnsi="Arial" w:cs="Arial"/>
                            <w:color w:val="000000"/>
                            <w:sz w:val="18"/>
                          </w:rPr>
                          <w:t>(n = 217)</w:t>
                        </w:r>
                      </w:p>
                    </w:txbxContent>
                  </v:textbox>
                </v:rect>
                <v:shape id="Alternative Process 41" o:spid="_x0000_s1038" type="#_x0000_t176" style="position:absolute;left:152;top:19507;width:2756;height:28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" fillcolor="#4c2863" strokecolor="#4c2863" strokeweight="1pt">
                  <v:fill opacity="6682f"/>
                  <v:stroke startarrowwidth="narrow" startarrowlength="short" endarrowwidth="narrow" endarrowlength="short"/>
                  <v:textbox style="layout-flow:vertical;mso-layout-flow-alt:bottom-to-top" inset="1mm,1mm,1mm,1mm">
                    <w:txbxContent>
                      <w:p w14:paraId="04B6F21A" w14:textId="77777777" w:rsidR="009A0F85" w:rsidRDefault="009A0F85" w:rsidP="003414BB">
                        <w:pPr>
                          <w:jc w:val="center"/>
                          <w:textDirection w:val="btLr"/>
                        </w:pPr>
                        <w:r>
                          <w:rPr>
                            <w:rFonts w:ascii="Arial" w:eastAsia="Arial" w:hAnsi="Arial" w:cs="Arial"/>
                            <w:b/>
                            <w:color w:val="000000"/>
                            <w:sz w:val="18"/>
                          </w:rPr>
                          <w:t>Screening</w:t>
                        </w:r>
                      </w:p>
                      <w:p w14:paraId="797290C8" w14:textId="77777777" w:rsidR="009A0F85" w:rsidRDefault="009A0F85" w:rsidP="003414BB">
                        <w:pPr>
                          <w:textDirection w:val="btLr"/>
                        </w:pPr>
                      </w:p>
                    </w:txbxContent>
                  </v:textbox>
                </v:shape>
                <v:rect id="Rectangle 61" o:spid="_x0000_s1039" style="position:absolute;left:29489;top:28041;width:18999;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" filled="f" strokecolor="#4c2863" strokeweight="1pt">
                  <v:stroke startarrowwidth="narrow" startarrowlength="short" endarrowwidth="narrow" endarrowlength="short"/>
                  <v:textbox inset="2.53958mm,1.2694mm,2.53958mm,1.2694mm">
                    <w:txbxContent>
                      <w:p w14:paraId="365C1A05" w14:textId="77777777" w:rsidR="009A0F85" w:rsidRDefault="009A0F85" w:rsidP="003414BB">
                        <w:pPr>
                          <w:textDirection w:val="btLr"/>
                        </w:pPr>
                        <w:r>
                          <w:rPr>
                            <w:rFonts w:ascii="Arial" w:eastAsia="Arial" w:hAnsi="Arial" w:cs="Arial"/>
                            <w:color w:val="000000"/>
                            <w:sz w:val="18"/>
                          </w:rPr>
                          <w:t>Reports not retrieved</w:t>
                        </w:r>
                      </w:p>
                      <w:p w14:paraId="065EFF99" w14:textId="77777777" w:rsidR="009A0F85" w:rsidRDefault="009A0F85" w:rsidP="003414BB">
                        <w:pPr>
                          <w:textDirection w:val="btLr"/>
                        </w:pPr>
                        <w:r>
                          <w:rPr>
                            <w:rFonts w:ascii="Arial" w:eastAsia="Arial" w:hAnsi="Arial" w:cs="Arial"/>
                            <w:color w:val="000000"/>
                            <w:sz w:val="18"/>
                          </w:rPr>
                          <w:t>(n = 0)</w:t>
                        </w:r>
                      </w:p>
                    </w:txbxContent>
                  </v:textbox>
                </v:rect>
                <v:rect id="Rectangle 62" o:spid="_x0000_s1040" style="position:absolute;left:4495;top:36423;width:19000;height:5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" filled="f" strokecolor="#4c2863" strokeweight="1pt">
                  <v:stroke startarrowwidth="narrow" startarrowlength="short" endarrowwidth="narrow" endarrowlength="short"/>
                  <v:textbox inset="2.53958mm,1.2694mm,2.53958mm,1.2694mm">
                    <w:txbxContent>
                      <w:p w14:paraId="221F2363" w14:textId="77777777" w:rsidR="009A0F85" w:rsidRDefault="009A0F85" w:rsidP="003414BB">
                        <w:pPr>
                          <w:textDirection w:val="btLr"/>
                        </w:pPr>
                        <w:r>
                          <w:rPr>
                            <w:rFonts w:ascii="Arial" w:eastAsia="Arial" w:hAnsi="Arial" w:cs="Arial"/>
                            <w:color w:val="000000"/>
                            <w:sz w:val="18"/>
                          </w:rPr>
                          <w:t>Reports assessed for eligibility</w:t>
                        </w:r>
                      </w:p>
                      <w:p w14:paraId="1F9D453D" w14:textId="52CA7D21" w:rsidR="009A0F85" w:rsidRDefault="009A0F85" w:rsidP="003414BB">
                        <w:pPr>
                          <w:textDirection w:val="btLr"/>
                        </w:pPr>
                        <w:r>
                          <w:rPr>
                            <w:rFonts w:ascii="Arial" w:eastAsia="Arial" w:hAnsi="Arial" w:cs="Arial"/>
                            <w:color w:val="000000"/>
                            <w:sz w:val="18"/>
                          </w:rPr>
                          <w:t>(n = 217)</w:t>
                        </w:r>
                      </w:p>
                    </w:txbxContent>
                  </v:textbox>
                </v:rect>
                <v:rect id="Rectangle 63" o:spid="_x0000_s1041" style="position:absolute;left:29718;top:36347;width:18815;height:10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" filled="f" strokecolor="#4c2863" strokeweight="1pt">
                  <v:stroke startarrowwidth="narrow" startarrowlength="short" endarrowwidth="narrow" endarrowlength="short"/>
                  <v:textbox inset="2.53958mm,1.2694mm,1mm,1.2694mm">
                    <w:txbxContent>
                      <w:p w14:paraId="1BC90B9A" w14:textId="77777777" w:rsidR="009A0F85" w:rsidRDefault="009A0F85" w:rsidP="003414BB">
                        <w:pPr>
                          <w:textDirection w:val="btLr"/>
                        </w:pPr>
                        <w:r>
                          <w:rPr>
                            <w:rFonts w:ascii="Arial" w:eastAsia="Arial" w:hAnsi="Arial" w:cs="Arial"/>
                            <w:color w:val="000000"/>
                            <w:sz w:val="18"/>
                          </w:rPr>
                          <w:t>Reports excluded (n = 166):</w:t>
                        </w:r>
                      </w:p>
                      <w:p w14:paraId="0ACED2DD" w14:textId="0DD50E8E" w:rsidR="009A0F85" w:rsidRDefault="009A0F85" w:rsidP="003414BB">
                        <w:pPr>
                          <w:spacing w:after="0" w:line="240" w:lineRule="exact"/>
                          <w:ind w:left="284"/>
                          <w:textDirection w:val="btLr"/>
                        </w:pPr>
                        <w:r>
                          <w:rPr>
                            <w:rFonts w:ascii="Arial" w:eastAsia="Arial" w:hAnsi="Arial" w:cs="Arial"/>
                            <w:color w:val="000000"/>
                            <w:sz w:val="18"/>
                          </w:rPr>
                          <w:t>Ineligible population (n =50)</w:t>
                        </w:r>
                      </w:p>
                      <w:p w14:paraId="3B7C1970" w14:textId="05C805BC" w:rsidR="009A0F85" w:rsidRDefault="009A0F85" w:rsidP="003414BB">
                        <w:pPr>
                          <w:spacing w:after="0" w:line="240" w:lineRule="exact"/>
                          <w:textDirection w:val="btLr"/>
                        </w:pPr>
                        <w:r>
                          <w:rPr>
                            <w:rFonts w:ascii="Arial" w:eastAsia="Arial" w:hAnsi="Arial" w:cs="Arial"/>
                            <w:color w:val="000000"/>
                            <w:sz w:val="18"/>
                          </w:rPr>
                          <w:t xml:space="preserve">      Ineligible outcome (n =92)</w:t>
                        </w:r>
                      </w:p>
                      <w:p w14:paraId="22E8BD86" w14:textId="6590ADC6" w:rsidR="009A0F85" w:rsidRPr="00DF10A5" w:rsidRDefault="009A0F85" w:rsidP="003414BB">
                        <w:pPr>
                          <w:spacing w:after="0" w:line="240" w:lineRule="exact"/>
                          <w:textDirection w:val="btLr"/>
                        </w:pPr>
                        <w:r>
                          <w:rPr>
                            <w:rFonts w:ascii="Arial" w:eastAsia="Arial" w:hAnsi="Arial" w:cs="Arial"/>
                            <w:color w:val="000000"/>
                            <w:sz w:val="18"/>
                          </w:rPr>
                          <w:t xml:space="preserve">      Ineligible intervention (n =22)</w:t>
                        </w:r>
                      </w:p>
                      <w:p w14:paraId="55BB7D5E" w14:textId="77777777" w:rsidR="009A0F85" w:rsidRPr="00DF10A5" w:rsidRDefault="009A0F85" w:rsidP="003414BB">
                        <w:pPr>
                          <w:spacing w:after="0" w:line="240" w:lineRule="exact"/>
                          <w:ind w:left="283" w:firstLine="1"/>
                          <w:textDirection w:val="btLr"/>
                          <w:rPr>
                            <w:rFonts w:ascii="Arial" w:eastAsia="Arial" w:hAnsi="Arial" w:cs="Arial"/>
                            <w:color w:val="000000"/>
                            <w:sz w:val="18"/>
                          </w:rPr>
                        </w:pPr>
                        <w:r>
                          <w:rPr>
                            <w:rFonts w:ascii="Arial" w:eastAsia="Arial" w:hAnsi="Arial" w:cs="Arial"/>
                            <w:color w:val="000000"/>
                            <w:sz w:val="18"/>
                          </w:rPr>
                          <w:t>Reviews/Comments (n = 2)</w:t>
                        </w:r>
                      </w:p>
                    </w:txbxContent>
                  </v:textbox>
                </v:rect>
                <v:rect id="Rectangle 64" o:spid="_x0000_s1042" style="position:absolute;left:4495;top:49601;width:26854;height:13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" filled="f" strokecolor="#4c2863" strokeweight="1pt">
                  <v:stroke startarrowwidth="narrow" startarrowlength="short" endarrowwidth="narrow" endarrowlength="short"/>
                  <v:textbox inset="2.53958mm,1.2694mm,2.53958mm,1.2694mm">
                    <w:txbxContent>
                      <w:p w14:paraId="74385975" w14:textId="55DF8823" w:rsidR="009A0F85" w:rsidRDefault="009A0F85" w:rsidP="003414BB">
                        <w:pPr>
                          <w:textDirection w:val="btLr"/>
                          <w:rPr>
                            <w:rFonts w:ascii="Arial" w:eastAsia="Arial" w:hAnsi="Arial" w:cs="Arial"/>
                            <w:color w:val="000000"/>
                            <w:sz w:val="18"/>
                          </w:rPr>
                        </w:pPr>
                        <w:r>
                          <w:rPr>
                            <w:rFonts w:ascii="Arial" w:eastAsia="Arial" w:hAnsi="Arial" w:cs="Arial"/>
                            <w:color w:val="000000"/>
                            <w:sz w:val="18"/>
                          </w:rPr>
                          <w:t>Studies included in review</w:t>
                        </w:r>
                        <w:r>
                          <w:t xml:space="preserve"> </w:t>
                        </w:r>
                        <w:r>
                          <w:rPr>
                            <w:rFonts w:ascii="Arial" w:eastAsia="Arial" w:hAnsi="Arial" w:cs="Arial"/>
                            <w:color w:val="000000"/>
                            <w:sz w:val="18"/>
                          </w:rPr>
                          <w:t>(n = 50; 51 papers)</w:t>
                        </w:r>
                      </w:p>
                      <w:p w14:paraId="30CCC26F" w14:textId="0D1A4EA8"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Q1 – barriers in Australia (n = 20; 21 papers)</w:t>
                        </w:r>
                      </w:p>
                      <w:p w14:paraId="3A4BE993" w14:textId="77777777"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Q2 – devices and measures (n =1)</w:t>
                        </w:r>
                      </w:p>
                      <w:p w14:paraId="0D4C90A9" w14:textId="77777777"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Q3 – interventions (n = 9)</w:t>
                        </w:r>
                      </w:p>
                      <w:p w14:paraId="4D565838" w14:textId="77777777" w:rsidR="009A0F85"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Q4 – health equity and literacy (n = 5)</w:t>
                        </w:r>
                      </w:p>
                      <w:p w14:paraId="0483385C" w14:textId="77777777" w:rsidR="009A0F85" w:rsidRPr="00563981" w:rsidRDefault="009A0F85" w:rsidP="003414BB">
                        <w:pPr>
                          <w:spacing w:after="0" w:line="240" w:lineRule="exact"/>
                          <w:ind w:firstLine="284"/>
                          <w:textDirection w:val="btLr"/>
                          <w:rPr>
                            <w:rFonts w:ascii="Arial" w:eastAsia="Arial" w:hAnsi="Arial" w:cs="Arial"/>
                            <w:color w:val="000000"/>
                            <w:sz w:val="18"/>
                          </w:rPr>
                        </w:pPr>
                        <w:r>
                          <w:rPr>
                            <w:rFonts w:ascii="Arial" w:eastAsia="Arial" w:hAnsi="Arial" w:cs="Arial"/>
                            <w:color w:val="000000"/>
                            <w:sz w:val="18"/>
                          </w:rPr>
                          <w:t>Q5 – data gaps (n = 15)</w:t>
                        </w:r>
                      </w:p>
                    </w:txbxContent>
                  </v:textbox>
                </v:rect>
                <v:shape id="Alternative Process 42" o:spid="_x0000_s1043" type="#_x0000_t176" style="position:absolute;left:228;top:49218;width:2756;height:12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" fillcolor="#4c2863" strokecolor="#4c2863" strokeweight="1pt">
                  <v:fill opacity="6682f"/>
                  <v:stroke startarrowwidth="narrow" startarrowlength="short" endarrowwidth="narrow" endarrowlength="short"/>
                  <v:textbox style="layout-flow:vertical;mso-layout-flow-alt:bottom-to-top" inset="1mm,1mm,1mm,1mm">
                    <w:txbxContent>
                      <w:p w14:paraId="15E5C99C" w14:textId="77777777" w:rsidR="009A0F85" w:rsidRDefault="009A0F85" w:rsidP="003414BB">
                        <w:pPr>
                          <w:jc w:val="center"/>
                          <w:textDirection w:val="btLr"/>
                        </w:pPr>
                        <w:r>
                          <w:rPr>
                            <w:rFonts w:ascii="Arial" w:eastAsia="Arial" w:hAnsi="Arial" w:cs="Arial"/>
                            <w:b/>
                            <w:color w:val="000000"/>
                            <w:sz w:val="18"/>
                          </w:rPr>
                          <w:t>Included</w:t>
                        </w:r>
                      </w:p>
                    </w:txbxContent>
                  </v:textbox>
                </v:shape>
                <v:shape id="Straight Arrow Connector 1" o:spid="_x0000_s1044" type="#_x0000_t32" style="position:absolute;left:23469;top:10363;width:5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" strokecolor="#4c2863" strokeweight=".5pt">
                  <v:stroke endarrow="block" joinstyle="miter"/>
                </v:shape>
                <v:shape id="Straight Arrow Connector 1" o:spid="_x0000_s1045" type="#_x0000_t32" style="position:absolute;left:23698;top:22402;width:5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" strokecolor="#4c2863" strokeweight=".5pt">
                  <v:stroke endarrow="block" joinstyle="miter"/>
                </v:shape>
                <v:shape id="Straight Arrow Connector 1" o:spid="_x0000_s1046" type="#_x0000_t32" style="position:absolute;left:23469;top:30784;width:59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" strokecolor="#4c2863" strokeweight=".5pt">
                  <v:stroke endarrow="block" joinstyle="miter"/>
                </v:shape>
                <v:shape id="Straight Arrow Connector 1" o:spid="_x0000_s1047" type="#_x0000_t32" style="position:absolute;left:23545;top:39090;width:59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" strokecolor="#4c2863" strokeweight=".5pt">
                  <v:stroke endarrow="block" joinstyle="miter"/>
                </v:shape>
                <w10:wrap type="square"/>
              </v:group>
            </w:pict>
          </mc:Fallback>
        </mc:AlternateContent>
      </w:r>
    </w:p>
    <w:p w14:paraId="0355DCF2" w14:textId="1A6605BE" w:rsidR="00EB2B55" w:rsidRPr="00672DBE" w:rsidRDefault="00EB2B55" w:rsidP="003414BB">
      <w:pPr>
        <w:keepLines/>
      </w:pPr>
    </w:p>
    <w:p w14:paraId="1009E74A" w14:textId="77777777" w:rsidR="00EB2B55" w:rsidRPr="00672DBE" w:rsidRDefault="00EB2B55" w:rsidP="003414BB">
      <w:pPr>
        <w:keepLines/>
      </w:pPr>
    </w:p>
    <w:p w14:paraId="66FABE46" w14:textId="77777777" w:rsidR="00EB2B55" w:rsidRPr="00672DBE" w:rsidRDefault="00EB2B55" w:rsidP="003414BB">
      <w:pPr>
        <w:keepLines/>
      </w:pPr>
      <w:r w:rsidRPr="005B2562">
        <w:rPr>
          <w:noProof/>
        </w:rPr>
        <mc:AlternateContent>
          <mc:Choice Requires="wps">
            <w:drawing>
              <wp:anchor distT="0" distB="0" distL="114300" distR="114300" simplePos="0" relativeHeight="251660288" behindDoc="0" locked="0" layoutInCell="1" allowOverlap="1" wp14:anchorId="07DFA800" wp14:editId="2200B7C6">
                <wp:simplePos x="0" y="0"/>
                <wp:positionH relativeFrom="column">
                  <wp:posOffset>1363980</wp:posOffset>
                </wp:positionH>
                <wp:positionV relativeFrom="paragraph">
                  <wp:posOffset>25400</wp:posOffset>
                </wp:positionV>
                <wp:extent cx="83820" cy="678180"/>
                <wp:effectExtent l="0" t="0" r="11430" b="26670"/>
                <wp:wrapNone/>
                <wp:docPr id="46" name="Left Bracket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20" cy="6781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8B7F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6" o:spid="_x0000_s1026" type="#_x0000_t85" alt="&quot;&quot;" style="position:absolute;margin-left:107.4pt;margin-top:2pt;width:6.6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" adj="222" strokecolor="black [3200]" strokeweight=".5pt">
                <v:stroke joinstyle="miter"/>
              </v:shape>
            </w:pict>
          </mc:Fallback>
        </mc:AlternateContent>
      </w:r>
    </w:p>
    <w:p w14:paraId="3C626CB4" w14:textId="77777777" w:rsidR="00EB2B55" w:rsidRPr="00672DBE" w:rsidRDefault="00EB2B55" w:rsidP="003414BB">
      <w:pPr>
        <w:keepLines/>
      </w:pPr>
    </w:p>
    <w:p w14:paraId="26F11719" w14:textId="77777777" w:rsidR="00EB2B55" w:rsidRPr="00672DBE" w:rsidRDefault="00EB2B55" w:rsidP="003414BB">
      <w:pPr>
        <w:keepLines/>
      </w:pPr>
    </w:p>
    <w:p w14:paraId="0A0FEE88" w14:textId="77777777" w:rsidR="00EB2B55" w:rsidRPr="00672DBE" w:rsidRDefault="00EB2B55" w:rsidP="003414BB">
      <w:pPr>
        <w:keepLines/>
      </w:pPr>
    </w:p>
    <w:p w14:paraId="203E7FB8" w14:textId="77777777" w:rsidR="00EB2B55" w:rsidRPr="00672DBE" w:rsidRDefault="00EB2B55" w:rsidP="003414BB">
      <w:pPr>
        <w:keepLines/>
      </w:pPr>
    </w:p>
    <w:p w14:paraId="18B6850C" w14:textId="77777777" w:rsidR="00EB2B55" w:rsidRPr="00672DBE" w:rsidRDefault="00EB2B55" w:rsidP="003414BB">
      <w:pPr>
        <w:keepLines/>
      </w:pPr>
    </w:p>
    <w:p w14:paraId="2D1AD09D" w14:textId="77777777" w:rsidR="00EB2B55" w:rsidRPr="00672DBE" w:rsidRDefault="00EB2B55" w:rsidP="003414BB">
      <w:pPr>
        <w:keepLines/>
      </w:pPr>
    </w:p>
    <w:p w14:paraId="78C1D3CD" w14:textId="77777777" w:rsidR="00EB2B55" w:rsidRPr="00672DBE" w:rsidRDefault="00EB2B55" w:rsidP="003414BB">
      <w:pPr>
        <w:keepLines/>
      </w:pPr>
    </w:p>
    <w:p w14:paraId="3EE7453A" w14:textId="77777777" w:rsidR="00EB2B55" w:rsidRPr="00672DBE" w:rsidRDefault="00EB2B55" w:rsidP="003414BB">
      <w:pPr>
        <w:keepLines/>
      </w:pPr>
    </w:p>
    <w:p w14:paraId="49578F52" w14:textId="77777777" w:rsidR="00EB2B55" w:rsidRPr="00672DBE" w:rsidRDefault="00EB2B55" w:rsidP="003414BB">
      <w:pPr>
        <w:keepLines/>
      </w:pPr>
    </w:p>
    <w:p w14:paraId="3F22210B" w14:textId="77777777" w:rsidR="00EB2B55" w:rsidRPr="00672DBE" w:rsidRDefault="00EB2B55" w:rsidP="003414BB">
      <w:pPr>
        <w:keepLines/>
      </w:pPr>
    </w:p>
    <w:p w14:paraId="1B5A7E30" w14:textId="77777777" w:rsidR="00EB2B55" w:rsidRPr="00672DBE" w:rsidRDefault="00EB2B55" w:rsidP="003414BB">
      <w:pPr>
        <w:keepLines/>
      </w:pPr>
    </w:p>
    <w:p w14:paraId="79A7AD15" w14:textId="77777777" w:rsidR="00EB2B55" w:rsidRPr="00672DBE" w:rsidRDefault="00EB2B55" w:rsidP="003414BB">
      <w:pPr>
        <w:keepLines/>
      </w:pPr>
    </w:p>
    <w:p w14:paraId="30A800EE" w14:textId="77777777" w:rsidR="00EB2B55" w:rsidRPr="00672DBE" w:rsidRDefault="00EB2B55" w:rsidP="003414BB">
      <w:pPr>
        <w:keepLines/>
      </w:pPr>
    </w:p>
    <w:p w14:paraId="38387F81" w14:textId="77777777" w:rsidR="00EB2B55" w:rsidRPr="00672DBE" w:rsidRDefault="00EB2B55" w:rsidP="003414BB">
      <w:pPr>
        <w:keepLines/>
      </w:pPr>
    </w:p>
    <w:p w14:paraId="6A8057EB" w14:textId="77777777" w:rsidR="00EB2B55" w:rsidRPr="00672DBE" w:rsidRDefault="00EB2B55" w:rsidP="003414BB">
      <w:pPr>
        <w:keepLines/>
      </w:pPr>
    </w:p>
    <w:p w14:paraId="58B9CD54" w14:textId="77777777" w:rsidR="00EB2B55" w:rsidRPr="00672DBE" w:rsidRDefault="00EB2B55" w:rsidP="003414BB">
      <w:pPr>
        <w:keepLines/>
      </w:pPr>
    </w:p>
    <w:p w14:paraId="6B06EC20" w14:textId="77777777" w:rsidR="00EB2B55" w:rsidRPr="00672DBE" w:rsidRDefault="00EB2B55" w:rsidP="003414BB">
      <w:pPr>
        <w:keepLines/>
      </w:pPr>
    </w:p>
    <w:p w14:paraId="4A9C425A" w14:textId="77777777" w:rsidR="00EB2B55" w:rsidRPr="007A1BD8" w:rsidRDefault="00EB2B55" w:rsidP="003414BB">
      <w:pPr>
        <w:keepLines/>
        <w:rPr>
          <w:bCs/>
        </w:rPr>
      </w:pPr>
      <w:r w:rsidRPr="007A1BD8">
        <w:rPr>
          <w:bCs/>
        </w:rPr>
        <w:t>Figure 1. Flow Diagram of Literature Search on Screening for Gender Bias in the Health System</w:t>
      </w:r>
    </w:p>
    <w:p w14:paraId="0D41F98A" w14:textId="7D062F8D" w:rsidR="00EB2B55" w:rsidRPr="007A1BD8" w:rsidRDefault="00EB2B55" w:rsidP="00877C53">
      <w:pPr>
        <w:pStyle w:val="Heading2"/>
        <w:numPr>
          <w:ilvl w:val="1"/>
          <w:numId w:val="50"/>
        </w:numPr>
        <w:spacing w:before="0" w:after="160"/>
        <w:rPr>
          <w:rFonts w:asciiTheme="minorHAnsi" w:hAnsiTheme="minorHAnsi" w:cstheme="minorHAnsi"/>
          <w:b/>
          <w:bCs/>
          <w:color w:val="30785B"/>
          <w:sz w:val="24"/>
          <w:szCs w:val="24"/>
        </w:rPr>
      </w:pPr>
      <w:r w:rsidRPr="007A1BD8">
        <w:rPr>
          <w:rFonts w:asciiTheme="minorHAnsi" w:hAnsiTheme="minorHAnsi" w:cstheme="minorHAnsi"/>
          <w:b/>
          <w:bCs/>
          <w:color w:val="30785B"/>
          <w:sz w:val="24"/>
          <w:szCs w:val="24"/>
        </w:rPr>
        <w:lastRenderedPageBreak/>
        <w:t xml:space="preserve">Reporting of Sex and Gender </w:t>
      </w:r>
    </w:p>
    <w:p w14:paraId="74DED03C" w14:textId="2726763E" w:rsidR="00E32D2B" w:rsidRDefault="00EB2B55" w:rsidP="003F4381">
      <w:pPr>
        <w:jc w:val="both"/>
      </w:pPr>
      <w:r w:rsidRPr="00F0632B">
        <w:t>As the data extraction table shows (Appendix</w:t>
      </w:r>
      <w:r w:rsidR="005253AB">
        <w:t xml:space="preserve"> B</w:t>
      </w:r>
      <w:r w:rsidRPr="00F0632B">
        <w:t>), most papers did not define the terms “sex” and “gender</w:t>
      </w:r>
      <w:proofErr w:type="gramStart"/>
      <w:r w:rsidRPr="00F0632B">
        <w:t>”</w:t>
      </w:r>
      <w:proofErr w:type="gramEnd"/>
      <w:r w:rsidR="00BB1366">
        <w:t xml:space="preserve"> and the terms tended to be used without distinguishing the two</w:t>
      </w:r>
      <w:r w:rsidRPr="00F0632B">
        <w:t xml:space="preserve">. </w:t>
      </w:r>
      <w:proofErr w:type="gramStart"/>
      <w:r w:rsidR="0068523F" w:rsidRPr="00F0632B">
        <w:t>On the whole</w:t>
      </w:r>
      <w:proofErr w:type="gramEnd"/>
      <w:r w:rsidR="0068523F" w:rsidRPr="00F0632B">
        <w:t xml:space="preserve">, research </w:t>
      </w:r>
      <w:r w:rsidRPr="00F0632B">
        <w:t xml:space="preserve">participants were identified by binary categories that applied to biological sex, frequently called gender. </w:t>
      </w:r>
      <w:r w:rsidR="00AB12B4">
        <w:t xml:space="preserve">(Researchers noted in one paper that their assumption of binary sex was a research limitation: Ireland &amp; </w:t>
      </w:r>
      <w:proofErr w:type="spellStart"/>
      <w:r w:rsidR="00AB12B4">
        <w:t>Maypilama</w:t>
      </w:r>
      <w:proofErr w:type="spellEnd"/>
      <w:r w:rsidR="00AB12B4">
        <w:t xml:space="preserve">, 2020.) </w:t>
      </w:r>
      <w:r w:rsidR="00A92EFA" w:rsidRPr="00F0632B">
        <w:t>F</w:t>
      </w:r>
      <w:r w:rsidR="00A92EFA">
        <w:t>our</w:t>
      </w:r>
      <w:r w:rsidR="00A92EFA" w:rsidRPr="00F0632B">
        <w:t xml:space="preserve"> </w:t>
      </w:r>
      <w:r w:rsidRPr="00F0632B">
        <w:t xml:space="preserve">papers </w:t>
      </w:r>
      <w:r w:rsidR="0068523F" w:rsidRPr="00F0632B">
        <w:t xml:space="preserve">did </w:t>
      </w:r>
      <w:r w:rsidRPr="00F0632B">
        <w:t xml:space="preserve">provide definitions </w:t>
      </w:r>
      <w:r w:rsidR="00BE4FAF" w:rsidRPr="00F0632B">
        <w:t>of</w:t>
      </w:r>
      <w:r w:rsidRPr="00F0632B">
        <w:t xml:space="preserve"> “sex” and “gender” (Gauci et al., 2022; </w:t>
      </w:r>
      <w:proofErr w:type="spellStart"/>
      <w:r w:rsidR="0068523F" w:rsidRPr="006515FF">
        <w:t>Harreiter</w:t>
      </w:r>
      <w:proofErr w:type="spellEnd"/>
      <w:r w:rsidR="0068523F" w:rsidRPr="006515FF">
        <w:t xml:space="preserve"> &amp; Kautzky-Willer, 2018; </w:t>
      </w:r>
      <w:r w:rsidRPr="00F0632B">
        <w:t>Kim et al., 2023; Riggs et al., 2014)</w:t>
      </w:r>
      <w:r w:rsidR="0068523F" w:rsidRPr="00F0632B">
        <w:t>, although o</w:t>
      </w:r>
      <w:r w:rsidRPr="00F0632B">
        <w:t xml:space="preserve">nly one paper comprehensively considered sex and gender in its reporting (Riggs et al., 2014). </w:t>
      </w:r>
      <w:r w:rsidR="00E32D2B" w:rsidRPr="00702CBA">
        <w:t xml:space="preserve">One paper clearly defined self-identified gender </w:t>
      </w:r>
      <w:r w:rsidR="00E32D2B" w:rsidRPr="00702CBA">
        <w:rPr>
          <w:noProof/>
        </w:rPr>
        <w:t>(Hostetter et al., 2022)</w:t>
      </w:r>
      <w:r w:rsidR="00E32D2B" w:rsidRPr="00702CBA">
        <w:t>.</w:t>
      </w:r>
    </w:p>
    <w:p w14:paraId="46329BFC" w14:textId="1EDA95A4" w:rsidR="00E32D2B" w:rsidRPr="006515FF" w:rsidRDefault="00D20A8D" w:rsidP="003F4381">
      <w:pPr>
        <w:jc w:val="both"/>
      </w:pPr>
      <w:r>
        <w:t>Nine</w:t>
      </w:r>
      <w:r w:rsidRPr="006515FF">
        <w:t xml:space="preserve"> </w:t>
      </w:r>
      <w:r w:rsidR="0068523F" w:rsidRPr="006515FF">
        <w:t>paper</w:t>
      </w:r>
      <w:r w:rsidR="00F0632B" w:rsidRPr="006515FF">
        <w:t>s</w:t>
      </w:r>
      <w:r w:rsidR="0068523F" w:rsidRPr="006515FF">
        <w:t xml:space="preserve"> used </w:t>
      </w:r>
      <w:r w:rsidR="007E03F6" w:rsidRPr="006515FF">
        <w:t>“</w:t>
      </w:r>
      <w:r w:rsidR="0068523F" w:rsidRPr="006515FF">
        <w:t>sex</w:t>
      </w:r>
      <w:r w:rsidR="007E03F6" w:rsidRPr="006515FF">
        <w:t>”</w:t>
      </w:r>
      <w:r w:rsidR="0068523F" w:rsidRPr="006515FF">
        <w:t xml:space="preserve"> correctly</w:t>
      </w:r>
      <w:r w:rsidR="007E03F6" w:rsidRPr="006515FF">
        <w:t xml:space="preserve"> in the absence of a definition</w:t>
      </w:r>
      <w:r w:rsidR="0068523F" w:rsidRPr="006515FF">
        <w:t xml:space="preserve"> </w:t>
      </w:r>
      <w:r w:rsidR="0068523F" w:rsidRPr="006515FF">
        <w:rPr>
          <w:noProof/>
        </w:rPr>
        <w:t xml:space="preserve">(Barha et al., 2017; </w:t>
      </w:r>
      <w:r>
        <w:rPr>
          <w:noProof/>
        </w:rPr>
        <w:t xml:space="preserve">Fogg et al., 2019; </w:t>
      </w:r>
      <w:r w:rsidR="007E03F6" w:rsidRPr="006515FF">
        <w:rPr>
          <w:noProof/>
        </w:rPr>
        <w:t xml:space="preserve">Hammarberg et al., 2020; </w:t>
      </w:r>
      <w:proofErr w:type="spellStart"/>
      <w:r w:rsidR="00A92EFA" w:rsidRPr="006515FF">
        <w:t>Huded</w:t>
      </w:r>
      <w:proofErr w:type="spellEnd"/>
      <w:r w:rsidR="00A92EFA" w:rsidRPr="006515FF">
        <w:t xml:space="preserve"> et al., 2018; </w:t>
      </w:r>
      <w:r w:rsidR="0068523F" w:rsidRPr="006515FF">
        <w:rPr>
          <w:noProof/>
        </w:rPr>
        <w:t>Lee et al., 2019; Mnatzaganian et al., 2016</w:t>
      </w:r>
      <w:r w:rsidR="001F020F">
        <w:rPr>
          <w:noProof/>
        </w:rPr>
        <w:t>,</w:t>
      </w:r>
      <w:r w:rsidR="0068523F" w:rsidRPr="006515FF">
        <w:rPr>
          <w:noProof/>
        </w:rPr>
        <w:t xml:space="preserve"> 2020; Page et al., 2019</w:t>
      </w:r>
      <w:r>
        <w:rPr>
          <w:noProof/>
        </w:rPr>
        <w:t>; Wang et al., 2022</w:t>
      </w:r>
      <w:r w:rsidR="0068523F" w:rsidRPr="006515FF">
        <w:rPr>
          <w:noProof/>
        </w:rPr>
        <w:t>)</w:t>
      </w:r>
      <w:r w:rsidR="0068523F" w:rsidRPr="006515FF">
        <w:t xml:space="preserve">. </w:t>
      </w:r>
      <w:r w:rsidR="00E32D2B" w:rsidRPr="006515FF">
        <w:t>Similarly,</w:t>
      </w:r>
      <w:r w:rsidR="00F0632B" w:rsidRPr="006515FF">
        <w:t xml:space="preserve"> </w:t>
      </w:r>
      <w:r w:rsidR="006515FF" w:rsidRPr="006515FF">
        <w:t xml:space="preserve">without definition, </w:t>
      </w:r>
      <w:r w:rsidR="00AB12B4">
        <w:t>nine</w:t>
      </w:r>
      <w:r w:rsidR="0045317D" w:rsidRPr="006515FF">
        <w:t xml:space="preserve"> </w:t>
      </w:r>
      <w:r w:rsidR="00F0632B" w:rsidRPr="006515FF">
        <w:t xml:space="preserve">papers </w:t>
      </w:r>
      <w:r w:rsidR="00E32D2B" w:rsidRPr="006515FF">
        <w:t>included</w:t>
      </w:r>
      <w:r w:rsidR="00F0632B" w:rsidRPr="006515FF">
        <w:t xml:space="preserve"> the </w:t>
      </w:r>
      <w:r w:rsidR="00E32D2B" w:rsidRPr="006515FF">
        <w:t xml:space="preserve">concept of </w:t>
      </w:r>
      <w:r w:rsidR="00F0632B" w:rsidRPr="006515FF">
        <w:t xml:space="preserve">gender </w:t>
      </w:r>
      <w:r w:rsidR="00E32D2B" w:rsidRPr="006515FF">
        <w:t xml:space="preserve">as a social construct, either </w:t>
      </w:r>
      <w:r w:rsidR="00D06AC4">
        <w:t>im</w:t>
      </w:r>
      <w:r w:rsidR="00D06AC4" w:rsidRPr="006515FF">
        <w:t xml:space="preserve">plicitly </w:t>
      </w:r>
      <w:r w:rsidR="00E32D2B" w:rsidRPr="006515FF">
        <w:t xml:space="preserve">or explicitly </w:t>
      </w:r>
      <w:r w:rsidR="00F0632B" w:rsidRPr="006515FF">
        <w:rPr>
          <w:noProof/>
        </w:rPr>
        <w:t xml:space="preserve">(Brucki et al., 2023; </w:t>
      </w:r>
      <w:r w:rsidR="00DA5EC3">
        <w:rPr>
          <w:noProof/>
        </w:rPr>
        <w:t xml:space="preserve">Cropsey et al., 2014; </w:t>
      </w:r>
      <w:r w:rsidR="00F0632B" w:rsidRPr="006515FF">
        <w:rPr>
          <w:noProof/>
        </w:rPr>
        <w:t>Guerrero et al., 2014; Hamilton et al., 2022</w:t>
      </w:r>
      <w:r w:rsidR="00E32D2B" w:rsidRPr="006515FF">
        <w:t xml:space="preserve">; </w:t>
      </w:r>
      <w:r w:rsidR="00AB12B4">
        <w:t xml:space="preserve">Hawkins et al., 2021; </w:t>
      </w:r>
      <w:r w:rsidR="0045317D">
        <w:t xml:space="preserve">Jarallah &amp; Baxter, 2019; </w:t>
      </w:r>
      <w:r w:rsidR="00F0632B" w:rsidRPr="006515FF">
        <w:rPr>
          <w:noProof/>
        </w:rPr>
        <w:t xml:space="preserve">Johansson et al., 2022; </w:t>
      </w:r>
      <w:r w:rsidR="00D06AC4">
        <w:rPr>
          <w:noProof/>
        </w:rPr>
        <w:t xml:space="preserve">Prioste et al., 2017; </w:t>
      </w:r>
      <w:r w:rsidR="00F0632B" w:rsidRPr="006515FF">
        <w:rPr>
          <w:noProof/>
        </w:rPr>
        <w:t>Schutt et al., 2015)</w:t>
      </w:r>
      <w:r w:rsidR="00E32D2B" w:rsidRPr="006515FF">
        <w:rPr>
          <w:noProof/>
        </w:rPr>
        <w:t xml:space="preserve">, or linked the significant association of sex </w:t>
      </w:r>
      <w:r w:rsidR="006515FF" w:rsidRPr="006515FF">
        <w:rPr>
          <w:noProof/>
        </w:rPr>
        <w:t>with outcome measures</w:t>
      </w:r>
      <w:r w:rsidR="00E32D2B" w:rsidRPr="006515FF">
        <w:rPr>
          <w:noProof/>
        </w:rPr>
        <w:t xml:space="preserve"> to </w:t>
      </w:r>
      <w:r w:rsidR="006515FF" w:rsidRPr="006515FF">
        <w:rPr>
          <w:noProof/>
        </w:rPr>
        <w:t>the</w:t>
      </w:r>
      <w:r w:rsidR="00E32D2B" w:rsidRPr="006515FF">
        <w:rPr>
          <w:noProof/>
        </w:rPr>
        <w:t xml:space="preserve"> social </w:t>
      </w:r>
      <w:r w:rsidR="006515FF" w:rsidRPr="006515FF">
        <w:rPr>
          <w:noProof/>
        </w:rPr>
        <w:t>context</w:t>
      </w:r>
      <w:r w:rsidR="00E32D2B" w:rsidRPr="006515FF">
        <w:rPr>
          <w:noProof/>
        </w:rPr>
        <w:t xml:space="preserve"> (Hammarberg et al., 2020)</w:t>
      </w:r>
      <w:r w:rsidR="00F0632B" w:rsidRPr="006515FF">
        <w:t xml:space="preserve">.  </w:t>
      </w:r>
    </w:p>
    <w:p w14:paraId="148B1713" w14:textId="45BDC782" w:rsidR="00BB1366" w:rsidRPr="00BB1366" w:rsidRDefault="00CE7E78" w:rsidP="003F4381">
      <w:pPr>
        <w:jc w:val="both"/>
      </w:pPr>
      <w:r>
        <w:t>Eight</w:t>
      </w:r>
      <w:r w:rsidRPr="006515FF">
        <w:t xml:space="preserve"> </w:t>
      </w:r>
      <w:r w:rsidR="00F0632B" w:rsidRPr="006515FF">
        <w:t xml:space="preserve">papers used </w:t>
      </w:r>
      <w:r w:rsidR="006515FF" w:rsidRPr="006515FF">
        <w:t>“</w:t>
      </w:r>
      <w:r w:rsidR="00F0632B" w:rsidRPr="006515FF">
        <w:t>gender</w:t>
      </w:r>
      <w:r w:rsidR="006515FF" w:rsidRPr="006515FF">
        <w:t>”</w:t>
      </w:r>
      <w:r w:rsidR="00F0632B" w:rsidRPr="006515FF">
        <w:t xml:space="preserve"> for sex </w:t>
      </w:r>
      <w:r w:rsidR="00F0632B" w:rsidRPr="006515FF">
        <w:rPr>
          <w:noProof/>
        </w:rPr>
        <w:t>(</w:t>
      </w:r>
      <w:r w:rsidR="00BB1366" w:rsidRPr="006515FF">
        <w:rPr>
          <w:noProof/>
        </w:rPr>
        <w:t>Brucki et al., 2023</w:t>
      </w:r>
      <w:r w:rsidR="00BB1366">
        <w:rPr>
          <w:noProof/>
        </w:rPr>
        <w:t xml:space="preserve">; </w:t>
      </w:r>
      <w:r w:rsidR="00F0632B" w:rsidRPr="006515FF">
        <w:rPr>
          <w:noProof/>
        </w:rPr>
        <w:t xml:space="preserve">Cropsey et al., 2014; Guerrero et al., 2014; </w:t>
      </w:r>
      <w:r w:rsidR="00BB1366" w:rsidRPr="006515FF">
        <w:rPr>
          <w:noProof/>
        </w:rPr>
        <w:t>Hamilton et al., 2022</w:t>
      </w:r>
      <w:r w:rsidR="00BB1366">
        <w:rPr>
          <w:noProof/>
        </w:rPr>
        <w:t xml:space="preserve">; </w:t>
      </w:r>
      <w:r w:rsidR="00F0632B" w:rsidRPr="006515FF">
        <w:rPr>
          <w:noProof/>
        </w:rPr>
        <w:t xml:space="preserve">Hawkins et al., 2021; Looi et al., 2018; </w:t>
      </w:r>
      <w:r>
        <w:rPr>
          <w:noProof/>
        </w:rPr>
        <w:t xml:space="preserve">McBride et al., 2022; </w:t>
      </w:r>
      <w:r w:rsidR="00F0632B" w:rsidRPr="006515FF">
        <w:rPr>
          <w:noProof/>
        </w:rPr>
        <w:t>Worrall-Carter et al., 2016)</w:t>
      </w:r>
      <w:r w:rsidR="00F0632B" w:rsidRPr="006515FF">
        <w:t xml:space="preserve">, one paper used </w:t>
      </w:r>
      <w:r w:rsidR="006515FF">
        <w:t>“</w:t>
      </w:r>
      <w:r w:rsidR="00F0632B" w:rsidRPr="006515FF">
        <w:t>sex</w:t>
      </w:r>
      <w:r w:rsidR="006515FF">
        <w:t>”</w:t>
      </w:r>
      <w:r w:rsidR="00F0632B" w:rsidRPr="006515FF">
        <w:t xml:space="preserve"> and </w:t>
      </w:r>
      <w:r w:rsidR="006515FF">
        <w:t>“</w:t>
      </w:r>
      <w:r w:rsidR="00F0632B" w:rsidRPr="006515FF">
        <w:t>gender</w:t>
      </w:r>
      <w:r w:rsidR="006515FF">
        <w:t>”</w:t>
      </w:r>
      <w:r w:rsidR="00F0632B" w:rsidRPr="006515FF">
        <w:t xml:space="preserve"> for sex </w:t>
      </w:r>
      <w:r w:rsidR="00F0632B" w:rsidRPr="006515FF">
        <w:rPr>
          <w:noProof/>
        </w:rPr>
        <w:t>(Isgro et al., 2020)</w:t>
      </w:r>
      <w:r w:rsidR="006515FF">
        <w:rPr>
          <w:noProof/>
        </w:rPr>
        <w:t>,</w:t>
      </w:r>
      <w:r w:rsidR="00F0632B" w:rsidRPr="006515FF">
        <w:t xml:space="preserve"> and </w:t>
      </w:r>
      <w:r w:rsidR="00351C70">
        <w:t>two</w:t>
      </w:r>
      <w:r w:rsidR="00351C70" w:rsidRPr="006515FF">
        <w:t xml:space="preserve"> </w:t>
      </w:r>
      <w:r w:rsidR="006515FF">
        <w:t>paper</w:t>
      </w:r>
      <w:r w:rsidR="00351C70">
        <w:t>s</w:t>
      </w:r>
      <w:r w:rsidR="006515FF">
        <w:t xml:space="preserve"> </w:t>
      </w:r>
      <w:r w:rsidR="00F0632B" w:rsidRPr="006515FF">
        <w:t xml:space="preserve">used </w:t>
      </w:r>
      <w:r w:rsidR="006515FF">
        <w:t>“</w:t>
      </w:r>
      <w:r w:rsidR="00F0632B" w:rsidRPr="006515FF">
        <w:t>gender</w:t>
      </w:r>
      <w:r w:rsidR="006515FF">
        <w:t>”</w:t>
      </w:r>
      <w:r w:rsidR="00F0632B" w:rsidRPr="006515FF">
        <w:t xml:space="preserve"> to mean sex and gender </w:t>
      </w:r>
      <w:r w:rsidR="00F0632B" w:rsidRPr="006515FF">
        <w:rPr>
          <w:noProof/>
        </w:rPr>
        <w:t>(</w:t>
      </w:r>
      <w:r w:rsidR="00351C70">
        <w:t xml:space="preserve">Jarallah &amp; Baxter, 2019; </w:t>
      </w:r>
      <w:r w:rsidR="00F0632B" w:rsidRPr="006515FF">
        <w:rPr>
          <w:noProof/>
        </w:rPr>
        <w:t>Schutt et al., 2015)</w:t>
      </w:r>
      <w:r w:rsidR="00F0632B" w:rsidRPr="006515FF">
        <w:t xml:space="preserve">. </w:t>
      </w:r>
    </w:p>
    <w:p w14:paraId="25AEA7EF" w14:textId="7E6FCCDC" w:rsidR="00EB2B55" w:rsidRPr="00672DBE" w:rsidRDefault="00EB2B55" w:rsidP="00FE2D8F">
      <w:pPr>
        <w:jc w:val="both"/>
      </w:pPr>
      <w:r w:rsidRPr="00F0632B">
        <w:rPr>
          <w:rFonts w:cstheme="minorHAnsi"/>
        </w:rPr>
        <w:t xml:space="preserve">There were </w:t>
      </w:r>
      <w:r w:rsidR="00F21F8D">
        <w:rPr>
          <w:rFonts w:cstheme="minorHAnsi"/>
        </w:rPr>
        <w:t>3</w:t>
      </w:r>
      <w:r w:rsidR="002027F1">
        <w:rPr>
          <w:rFonts w:cstheme="minorHAnsi"/>
        </w:rPr>
        <w:t>1</w:t>
      </w:r>
      <w:r w:rsidR="00F21F8D" w:rsidRPr="00F0632B">
        <w:rPr>
          <w:rFonts w:cstheme="minorHAnsi"/>
        </w:rPr>
        <w:t xml:space="preserve"> </w:t>
      </w:r>
      <w:r w:rsidRPr="00F0632B">
        <w:rPr>
          <w:rFonts w:cstheme="minorHAnsi"/>
        </w:rPr>
        <w:t>papers (pertinent to questions 1, 2, and 3) subjected to the modified SAGER assessment</w:t>
      </w:r>
      <w:r w:rsidR="002B09AA">
        <w:rPr>
          <w:rFonts w:cstheme="minorHAnsi"/>
        </w:rPr>
        <w:t xml:space="preserve"> (Appendix C)</w:t>
      </w:r>
      <w:r w:rsidRPr="00F0632B">
        <w:rPr>
          <w:rFonts w:cstheme="minorHAnsi"/>
        </w:rPr>
        <w:t xml:space="preserve">. </w:t>
      </w:r>
      <w:r w:rsidRPr="006515FF">
        <w:rPr>
          <w:rFonts w:cstheme="minorHAnsi"/>
        </w:rPr>
        <w:t xml:space="preserve">Only </w:t>
      </w:r>
      <w:r w:rsidR="00F21F8D">
        <w:rPr>
          <w:rFonts w:cstheme="minorHAnsi"/>
        </w:rPr>
        <w:t>nine</w:t>
      </w:r>
      <w:r w:rsidR="00F21F8D" w:rsidRPr="006515FF">
        <w:rPr>
          <w:rFonts w:cstheme="minorHAnsi"/>
        </w:rPr>
        <w:t xml:space="preserve"> </w:t>
      </w:r>
      <w:r w:rsidRPr="006515FF">
        <w:rPr>
          <w:rFonts w:cstheme="minorHAnsi"/>
        </w:rPr>
        <w:t xml:space="preserve">papers were assessed as </w:t>
      </w:r>
      <w:r w:rsidR="00855B40">
        <w:rPr>
          <w:rFonts w:cstheme="minorHAnsi"/>
        </w:rPr>
        <w:t>achieving</w:t>
      </w:r>
      <w:r w:rsidRPr="006515FF">
        <w:rPr>
          <w:rFonts w:cstheme="minorHAnsi"/>
        </w:rPr>
        <w:t xml:space="preserve"> all eight indicators of the modified SAGER checklist. </w:t>
      </w:r>
      <w:r w:rsidR="005E080D">
        <w:rPr>
          <w:rFonts w:cstheme="minorHAnsi"/>
        </w:rPr>
        <w:t>Eleven</w:t>
      </w:r>
      <w:r w:rsidR="00F21F8D" w:rsidRPr="006515FF">
        <w:rPr>
          <w:rFonts w:cstheme="minorHAnsi"/>
        </w:rPr>
        <w:t xml:space="preserve"> </w:t>
      </w:r>
      <w:r w:rsidRPr="006515FF">
        <w:rPr>
          <w:rFonts w:cstheme="minorHAnsi"/>
        </w:rPr>
        <w:t>papers consistently used “sex” and</w:t>
      </w:r>
      <w:r w:rsidR="00FE2D8F">
        <w:rPr>
          <w:rFonts w:cstheme="minorHAnsi"/>
        </w:rPr>
        <w:t>/or</w:t>
      </w:r>
      <w:r w:rsidRPr="006515FF">
        <w:rPr>
          <w:rFonts w:cstheme="minorHAnsi"/>
        </w:rPr>
        <w:t xml:space="preserve"> “gender”</w:t>
      </w:r>
      <w:r w:rsidR="002B09AA">
        <w:rPr>
          <w:rFonts w:cstheme="minorHAnsi"/>
        </w:rPr>
        <w:t xml:space="preserve"> appropriately</w:t>
      </w:r>
      <w:r w:rsidRPr="006515FF">
        <w:rPr>
          <w:rFonts w:cstheme="minorHAnsi"/>
        </w:rPr>
        <w:t>.</w:t>
      </w:r>
      <w:r w:rsidR="00FE2D8F">
        <w:t xml:space="preserve"> </w:t>
      </w:r>
      <w:r w:rsidRPr="00672DBE">
        <w:t xml:space="preserve">All </w:t>
      </w:r>
      <w:r w:rsidR="001C1D68">
        <w:t xml:space="preserve">but two </w:t>
      </w:r>
      <w:r w:rsidRPr="00672DBE">
        <w:t>papers reported in their introduction sectio</w:t>
      </w:r>
      <w:r w:rsidR="00507ADE">
        <w:t>n</w:t>
      </w:r>
      <w:r w:rsidRPr="00672DBE">
        <w:t xml:space="preserve"> whether sex and/or gender differences could be expected</w:t>
      </w:r>
      <w:r w:rsidRPr="00672DBE" w:rsidDel="006E26FF">
        <w:t xml:space="preserve"> </w:t>
      </w:r>
      <w:r w:rsidRPr="00672DBE">
        <w:t xml:space="preserve">in the area under investigation. In the methods section, all gave information on the adequacy of representation of participants by sex or gender and presented sufficient information to enable a sex- and/or gender-based analysis. </w:t>
      </w:r>
      <w:r w:rsidR="00855B40">
        <w:t>It was difficult to reach a clear assessment of whether there was adequate reporting of t</w:t>
      </w:r>
      <w:r w:rsidR="00855B40" w:rsidRPr="00672DBE">
        <w:t xml:space="preserve">he </w:t>
      </w:r>
      <w:r w:rsidRPr="00672DBE">
        <w:t xml:space="preserve">ways in which sex or gender was assigned (such as by self-report or genetic testing) </w:t>
      </w:r>
      <w:r w:rsidR="00855B40">
        <w:t>because so many researchers relied on existing data where this information was not provided</w:t>
      </w:r>
      <w:r w:rsidRPr="00672DBE">
        <w:t xml:space="preserve">. </w:t>
      </w:r>
      <w:r w:rsidR="00855B40">
        <w:t>A</w:t>
      </w:r>
      <w:r w:rsidRPr="00672DBE">
        <w:t xml:space="preserve">ll papers presented data disaggregated by sex or gender </w:t>
      </w:r>
      <w:r w:rsidR="00855B40">
        <w:t>i</w:t>
      </w:r>
      <w:r w:rsidR="00855B40" w:rsidRPr="00672DBE">
        <w:t xml:space="preserve">n the results section </w:t>
      </w:r>
      <w:r w:rsidRPr="00672DBE">
        <w:t xml:space="preserve">and described sex or gender differences and similarities. In the discussion section, </w:t>
      </w:r>
      <w:r w:rsidR="005E080D">
        <w:t>30</w:t>
      </w:r>
      <w:r w:rsidR="00F21F8D" w:rsidRPr="00672DBE">
        <w:t xml:space="preserve"> </w:t>
      </w:r>
      <w:r w:rsidR="00C67732" w:rsidRPr="00672DBE">
        <w:t xml:space="preserve">papers </w:t>
      </w:r>
      <w:r w:rsidRPr="00672DBE">
        <w:t xml:space="preserve">discussed sex differences or applied a sex and/or gender perspective and </w:t>
      </w:r>
      <w:r w:rsidR="00855B40">
        <w:t>all</w:t>
      </w:r>
      <w:r w:rsidR="00855B40" w:rsidRPr="00672DBE">
        <w:t xml:space="preserve"> </w:t>
      </w:r>
      <w:r w:rsidR="005E080D">
        <w:t xml:space="preserve">but one </w:t>
      </w:r>
      <w:r w:rsidRPr="00672DBE">
        <w:t xml:space="preserve">discussed the implications of the results from a sex and/or gender perspective. </w:t>
      </w:r>
    </w:p>
    <w:p w14:paraId="5309889F" w14:textId="77777777" w:rsidR="00EB2B55" w:rsidRPr="00672DBE" w:rsidRDefault="00EB2B55">
      <w:pPr>
        <w:rPr>
          <w:rFonts w:asciiTheme="majorHAnsi" w:eastAsiaTheme="majorEastAsia" w:hAnsiTheme="majorHAnsi" w:cstheme="majorBidi"/>
          <w:color w:val="2E74B5" w:themeColor="accent1" w:themeShade="BF"/>
          <w:sz w:val="26"/>
          <w:szCs w:val="26"/>
        </w:rPr>
      </w:pPr>
      <w:r w:rsidRPr="00672DBE">
        <w:rPr>
          <w:rFonts w:asciiTheme="majorHAnsi" w:eastAsiaTheme="majorEastAsia" w:hAnsiTheme="majorHAnsi" w:cstheme="majorBidi"/>
          <w:color w:val="2E74B5" w:themeColor="accent1" w:themeShade="BF"/>
          <w:sz w:val="26"/>
          <w:szCs w:val="26"/>
        </w:rPr>
        <w:br w:type="page"/>
      </w:r>
    </w:p>
    <w:p w14:paraId="2FCB2530" w14:textId="06A53BB0" w:rsidR="00EB2B55" w:rsidRPr="007A1BD8" w:rsidRDefault="00EB2B55" w:rsidP="00877C53">
      <w:pPr>
        <w:pStyle w:val="Heading2"/>
        <w:numPr>
          <w:ilvl w:val="1"/>
          <w:numId w:val="50"/>
        </w:numPr>
        <w:spacing w:before="0" w:after="160"/>
        <w:rPr>
          <w:rFonts w:asciiTheme="minorHAnsi" w:hAnsiTheme="minorHAnsi" w:cstheme="minorHAnsi"/>
          <w:b/>
          <w:bCs/>
          <w:color w:val="30785B"/>
          <w:sz w:val="24"/>
          <w:szCs w:val="24"/>
        </w:rPr>
      </w:pPr>
      <w:r w:rsidRPr="007A1BD8">
        <w:rPr>
          <w:rFonts w:asciiTheme="minorHAnsi" w:hAnsiTheme="minorHAnsi" w:cstheme="minorHAnsi"/>
          <w:b/>
          <w:bCs/>
          <w:color w:val="30785B"/>
          <w:sz w:val="24"/>
          <w:szCs w:val="24"/>
        </w:rPr>
        <w:lastRenderedPageBreak/>
        <w:t>Question 1: What are the barriers to gender equity in healthcare and services experienced by women in Australia?</w:t>
      </w:r>
    </w:p>
    <w:bookmarkStart w:id="199" w:name="_Toc161756595"/>
    <w:bookmarkStart w:id="200" w:name="_Toc161757519"/>
    <w:bookmarkStart w:id="201" w:name="_Toc161763944"/>
    <w:bookmarkStart w:id="202" w:name="_Toc165189787"/>
    <w:bookmarkStart w:id="203" w:name="_Toc165204999"/>
    <w:bookmarkStart w:id="204" w:name="_Toc168390507"/>
    <w:bookmarkStart w:id="205" w:name="_Toc168390572"/>
    <w:bookmarkStart w:id="206" w:name="_Toc168390875"/>
    <w:bookmarkStart w:id="207" w:name="_Toc168390941"/>
    <w:bookmarkStart w:id="208" w:name="_Toc168392073"/>
    <w:bookmarkStart w:id="209" w:name="_Toc168392430"/>
    <w:bookmarkStart w:id="210" w:name="_Toc168393603"/>
    <w:bookmarkStart w:id="211" w:name="_Toc168393645"/>
    <w:bookmarkStart w:id="212" w:name="_Toc168394319"/>
    <w:bookmarkStart w:id="213" w:name="_Toc168394457"/>
    <w:p w14:paraId="1F5E6BB8" w14:textId="7E9B00D1" w:rsidR="00EB2B55" w:rsidRPr="00672DBE" w:rsidRDefault="00EB2B55" w:rsidP="003F4381">
      <w:r w:rsidRPr="005B2562">
        <w:rPr>
          <w:noProof/>
        </w:rPr>
        <mc:AlternateContent>
          <mc:Choice Requires="wps">
            <w:drawing>
              <wp:anchor distT="0" distB="0" distL="114300" distR="114300" simplePos="0" relativeHeight="251662336" behindDoc="0" locked="0" layoutInCell="1" allowOverlap="1" wp14:anchorId="78F671B6" wp14:editId="6974F7F3">
                <wp:simplePos x="0" y="0"/>
                <wp:positionH relativeFrom="column">
                  <wp:posOffset>-19050</wp:posOffset>
                </wp:positionH>
                <wp:positionV relativeFrom="paragraph">
                  <wp:posOffset>22225</wp:posOffset>
                </wp:positionV>
                <wp:extent cx="5692140" cy="7896225"/>
                <wp:effectExtent l="19050" t="19050" r="22860" b="28575"/>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92140" cy="7896225"/>
                        </a:xfrm>
                        <a:prstGeom prst="rect">
                          <a:avLst/>
                        </a:prstGeom>
                        <a:solidFill>
                          <a:schemeClr val="lt1"/>
                        </a:solidFill>
                        <a:ln w="38100">
                          <a:solidFill>
                            <a:srgbClr val="4C2863">
                              <a:alpha val="10196"/>
                            </a:srgbClr>
                          </a:solidFill>
                        </a:ln>
                        <a:effectLst/>
                      </wps:spPr>
                      <wps:style>
                        <a:lnRef idx="0">
                          <a:schemeClr val="accent1"/>
                        </a:lnRef>
                        <a:fillRef idx="0">
                          <a:schemeClr val="accent1"/>
                        </a:fillRef>
                        <a:effectRef idx="0">
                          <a:schemeClr val="accent1"/>
                        </a:effectRef>
                        <a:fontRef idx="minor">
                          <a:schemeClr val="dk1"/>
                        </a:fontRef>
                      </wps:style>
                      <wps:txbx>
                        <w:txbxContent>
                          <w:p w14:paraId="1FD8D9C6" w14:textId="77777777" w:rsidR="009A0F85" w:rsidRPr="007A1BD8" w:rsidRDefault="009A0F85">
                            <w:pPr>
                              <w:rPr>
                                <w:b/>
                                <w:color w:val="4C2863"/>
                                <w:sz w:val="24"/>
                                <w:szCs w:val="24"/>
                              </w:rPr>
                            </w:pPr>
                            <w:r w:rsidRPr="007A1BD8">
                              <w:rPr>
                                <w:b/>
                                <w:color w:val="4C2863"/>
                                <w:sz w:val="24"/>
                                <w:szCs w:val="24"/>
                              </w:rPr>
                              <w:t>Key Findings:</w:t>
                            </w:r>
                          </w:p>
                          <w:p w14:paraId="5D2736CD" w14:textId="5584A36F" w:rsidR="009A0F85" w:rsidRPr="00E62328" w:rsidRDefault="009A0F85" w:rsidP="003414BB">
                            <w:pPr>
                              <w:jc w:val="both"/>
                            </w:pPr>
                            <w:r w:rsidRPr="00E62328">
                              <w:t xml:space="preserve">In Australia, </w:t>
                            </w:r>
                            <w:r>
                              <w:t xml:space="preserve">a </w:t>
                            </w:r>
                            <w:r w:rsidRPr="00E62328">
                              <w:t>disproportionate</w:t>
                            </w:r>
                            <w:r>
                              <w:t xml:space="preserve"> number of </w:t>
                            </w:r>
                            <w:r w:rsidRPr="00E62328">
                              <w:t>women experience delayed diagnosis</w:t>
                            </w:r>
                            <w:r>
                              <w:t xml:space="preserve">, polypharmacy, </w:t>
                            </w:r>
                            <w:r w:rsidRPr="00E62328">
                              <w:t xml:space="preserve">and failure to </w:t>
                            </w:r>
                            <w:r>
                              <w:t xml:space="preserve">have their symptoms </w:t>
                            </w:r>
                            <w:r w:rsidRPr="00E62328">
                              <w:t>properly investigate</w:t>
                            </w:r>
                            <w:r>
                              <w:t>d</w:t>
                            </w:r>
                            <w:r w:rsidRPr="00E62328">
                              <w:t xml:space="preserve">. </w:t>
                            </w:r>
                            <w:r>
                              <w:t>The s</w:t>
                            </w:r>
                            <w:r w:rsidRPr="00E62328">
                              <w:t>ymptoms of heart failure, for example, are less likely to be recognised in women than in men. Women are less likely than men to receive appropriate treatment</w:t>
                            </w:r>
                            <w:r>
                              <w:t>s</w:t>
                            </w:r>
                            <w:r w:rsidRPr="00E62328">
                              <w:t xml:space="preserve"> </w:t>
                            </w:r>
                            <w:r>
                              <w:t xml:space="preserve">and </w:t>
                            </w:r>
                            <w:r w:rsidRPr="00E62328">
                              <w:t>health service</w:t>
                            </w:r>
                            <w:r>
                              <w:t>s, including organ</w:t>
                            </w:r>
                            <w:r w:rsidRPr="00E62328">
                              <w:t xml:space="preserve"> transplant</w:t>
                            </w:r>
                            <w:r>
                              <w:t>ation when indicated</w:t>
                            </w:r>
                            <w:r w:rsidRPr="00E62328">
                              <w:t xml:space="preserve">. </w:t>
                            </w:r>
                            <w:r w:rsidR="00413992">
                              <w:t xml:space="preserve">Barriers to equity are gender-specific, including </w:t>
                            </w:r>
                            <w:r w:rsidR="00413992" w:rsidRPr="00E62328">
                              <w:t>gender norms</w:t>
                            </w:r>
                            <w:r w:rsidR="00413992">
                              <w:t xml:space="preserve">, </w:t>
                            </w:r>
                            <w:r w:rsidR="00413992" w:rsidRPr="00E62328">
                              <w:t xml:space="preserve">discrimination, </w:t>
                            </w:r>
                            <w:r w:rsidR="00413992">
                              <w:t xml:space="preserve">and </w:t>
                            </w:r>
                            <w:r w:rsidR="00413992" w:rsidRPr="00E62328">
                              <w:t>healthcare professionals’ bias,</w:t>
                            </w:r>
                            <w:r w:rsidR="00413992">
                              <w:t xml:space="preserve"> as well as more general, such as</w:t>
                            </w:r>
                            <w:r w:rsidR="00413992" w:rsidRPr="00E62328">
                              <w:t xml:space="preserve"> </w:t>
                            </w:r>
                            <w:r w:rsidR="00B26617">
                              <w:t>low</w:t>
                            </w:r>
                            <w:r w:rsidR="00413992" w:rsidRPr="00E62328">
                              <w:t xml:space="preserve"> health literacy</w:t>
                            </w:r>
                            <w:r w:rsidR="006A2692">
                              <w:t xml:space="preserve"> (</w:t>
                            </w:r>
                            <w:r w:rsidR="00B26617">
                              <w:t xml:space="preserve">in health </w:t>
                            </w:r>
                            <w:r w:rsidR="006A2692">
                              <w:t>organisations as well</w:t>
                            </w:r>
                            <w:r w:rsidR="00B26617">
                              <w:t xml:space="preserve"> as</w:t>
                            </w:r>
                            <w:r w:rsidR="006A2692">
                              <w:t xml:space="preserve"> </w:t>
                            </w:r>
                            <w:r w:rsidR="00B26617">
                              <w:t>consumers</w:t>
                            </w:r>
                            <w:r w:rsidR="006A2692">
                              <w:t>)</w:t>
                            </w:r>
                            <w:r w:rsidR="00413992" w:rsidRPr="00E62328">
                              <w:t>, lack of accessible and culturally appropriate services, geographic location</w:t>
                            </w:r>
                            <w:r w:rsidR="00413992">
                              <w:t>,</w:t>
                            </w:r>
                            <w:r w:rsidR="00413992" w:rsidRPr="00E62328">
                              <w:t xml:space="preserve"> and </w:t>
                            </w:r>
                            <w:r w:rsidR="00413992">
                              <w:t xml:space="preserve">place of </w:t>
                            </w:r>
                            <w:r w:rsidR="00413992" w:rsidRPr="00E62328">
                              <w:t>residenc</w:t>
                            </w:r>
                            <w:r w:rsidR="00413992">
                              <w:t>e. All can</w:t>
                            </w:r>
                            <w:r w:rsidR="00413992" w:rsidRPr="00E62328">
                              <w:t xml:space="preserve"> </w:t>
                            </w:r>
                            <w:r w:rsidR="00413992">
                              <w:t>undermine equity in</w:t>
                            </w:r>
                            <w:r w:rsidR="00413992" w:rsidRPr="00E62328">
                              <w:t xml:space="preserve"> health care</w:t>
                            </w:r>
                            <w:r w:rsidR="00413992">
                              <w:t xml:space="preserve"> and services</w:t>
                            </w:r>
                            <w:r w:rsidRPr="00E62328">
                              <w:t>.</w:t>
                            </w:r>
                          </w:p>
                          <w:p w14:paraId="446E4751" w14:textId="73EC521A" w:rsidR="009A0F85" w:rsidRDefault="009A0F85" w:rsidP="00C26251">
                            <w:pPr>
                              <w:pStyle w:val="ListParagraph"/>
                              <w:numPr>
                                <w:ilvl w:val="0"/>
                                <w:numId w:val="13"/>
                              </w:numPr>
                              <w:ind w:left="426" w:hanging="284"/>
                              <w:jc w:val="both"/>
                            </w:pPr>
                            <w:r>
                              <w:t>The 21 Australian papers (on 20 studies) reported on the topics or health conditions of cardiovascular disease (n= 10), mental health (n=5), organ transplantation (n=2), stroke management (n=1), HIV (n=1), gender diversity (n=1), and polypharmacy (n=1).</w:t>
                            </w:r>
                          </w:p>
                          <w:p w14:paraId="55B2B708" w14:textId="3F20BDE7" w:rsidR="009A0F85" w:rsidRPr="00C33F49" w:rsidRDefault="009A0F85" w:rsidP="00C26251">
                            <w:pPr>
                              <w:pStyle w:val="ListParagraph"/>
                              <w:numPr>
                                <w:ilvl w:val="0"/>
                                <w:numId w:val="13"/>
                              </w:numPr>
                              <w:ind w:left="426" w:hanging="284"/>
                              <w:jc w:val="both"/>
                            </w:pPr>
                            <w:r w:rsidRPr="00501954">
                              <w:rPr>
                                <w:b/>
                                <w:bCs/>
                              </w:rPr>
                              <w:t>Cardiovascular disease</w:t>
                            </w:r>
                            <w:r>
                              <w:t xml:space="preserve"> has disproportionately adverse effects on women. Compared with men, women experience more CVD risks caused by non-biological, environmental, and socioeconomic factors; take longer to seek medical treatment; are </w:t>
                            </w:r>
                            <w:r w:rsidRPr="00327D31">
                              <w:t xml:space="preserve">less likely to be treated with </w:t>
                            </w:r>
                            <w:r>
                              <w:t>the</w:t>
                            </w:r>
                            <w:r w:rsidRPr="00327D31">
                              <w:t xml:space="preserve"> urgency of ‘immediate review’</w:t>
                            </w:r>
                            <w:r>
                              <w:t xml:space="preserve"> or in the </w:t>
                            </w:r>
                            <w:r w:rsidRPr="004B267C">
                              <w:t>emergency department</w:t>
                            </w:r>
                            <w:r>
                              <w:t>; are less likely to attend cardiac rehabilitation; are</w:t>
                            </w:r>
                            <w:r w:rsidRPr="00F80E58">
                              <w:t xml:space="preserve"> more likely to be diagnosed w</w:t>
                            </w:r>
                            <w:r>
                              <w:t xml:space="preserve">ith non-ST segment elevation acute coronary syndrome (STEMI), but </w:t>
                            </w:r>
                            <w:r w:rsidRPr="00163EEE">
                              <w:t>less likely to receive coronary interventions</w:t>
                            </w:r>
                            <w:r w:rsidRPr="00C33F49">
                              <w:t xml:space="preserve">. </w:t>
                            </w:r>
                            <w:r w:rsidRPr="00DB4FA3">
                              <w:t>One review found no significant sex-based differences in assessment and management of cardiovascular care for Aboriginal and Torres Strait Islander people.</w:t>
                            </w:r>
                          </w:p>
                          <w:p w14:paraId="4424881F" w14:textId="1715368D" w:rsidR="009A0F85" w:rsidRDefault="009A0F85" w:rsidP="00C26251">
                            <w:pPr>
                              <w:pStyle w:val="ListParagraph"/>
                              <w:numPr>
                                <w:ilvl w:val="0"/>
                                <w:numId w:val="13"/>
                              </w:numPr>
                              <w:ind w:left="426" w:hanging="284"/>
                              <w:jc w:val="both"/>
                            </w:pPr>
                            <w:r>
                              <w:t xml:space="preserve">As a result of gendered demands and barriers to accessing care, women were more likely than men to report </w:t>
                            </w:r>
                            <w:r w:rsidRPr="00AA5A51">
                              <w:rPr>
                                <w:b/>
                              </w:rPr>
                              <w:t>mental health problems</w:t>
                            </w:r>
                            <w:r>
                              <w:t xml:space="preserve"> in response to the lockdown policies of early COVID-19 public health measures, and to</w:t>
                            </w:r>
                            <w:r w:rsidRPr="0097361D">
                              <w:t xml:space="preserve"> experience inequity in psychiatric care u</w:t>
                            </w:r>
                            <w:r>
                              <w:t>tilisation. Engagement in and response to risky addictive behaviours were influenced in complex ways by sex and gender. Women who were immigrants reported higher psychological distress than men who were immigrants.</w:t>
                            </w:r>
                          </w:p>
                          <w:p w14:paraId="4886DB69" w14:textId="77777777" w:rsidR="009A0F85" w:rsidRDefault="009A0F85" w:rsidP="00C26251">
                            <w:pPr>
                              <w:pStyle w:val="ListParagraph"/>
                              <w:numPr>
                                <w:ilvl w:val="0"/>
                                <w:numId w:val="13"/>
                              </w:numPr>
                              <w:ind w:left="426" w:hanging="284"/>
                              <w:jc w:val="both"/>
                            </w:pPr>
                            <w:r>
                              <w:t xml:space="preserve">Women are less likely to receive kidney </w:t>
                            </w:r>
                            <w:r w:rsidRPr="00501954">
                              <w:rPr>
                                <w:b/>
                                <w:bCs/>
                              </w:rPr>
                              <w:t>transplantation</w:t>
                            </w:r>
                            <w:r>
                              <w:t xml:space="preserve"> than men. Male recipients were more </w:t>
                            </w:r>
                            <w:r w:rsidRPr="00054C95">
                              <w:t>likely to receive kidneys from</w:t>
                            </w:r>
                            <w:r>
                              <w:t xml:space="preserve"> female donors than male donors.  </w:t>
                            </w:r>
                          </w:p>
                          <w:p w14:paraId="10A7BB84" w14:textId="5217455C" w:rsidR="009A0F85" w:rsidRPr="005301C0" w:rsidRDefault="009A0F85" w:rsidP="005301C0">
                            <w:pPr>
                              <w:pStyle w:val="ListParagraph"/>
                              <w:numPr>
                                <w:ilvl w:val="0"/>
                                <w:numId w:val="13"/>
                              </w:numPr>
                              <w:ind w:left="426" w:hanging="284"/>
                              <w:jc w:val="both"/>
                            </w:pPr>
                            <w:r w:rsidRPr="005301C0">
                              <w:t xml:space="preserve">Women admitted to hospital with stroke were more likely than men to arrive by ambulance but less likely to </w:t>
                            </w:r>
                            <w:r>
                              <w:t>receive</w:t>
                            </w:r>
                            <w:r w:rsidRPr="005301C0">
                              <w:t xml:space="preserve"> </w:t>
                            </w:r>
                            <w:r w:rsidRPr="005301C0">
                              <w:rPr>
                                <w:b/>
                              </w:rPr>
                              <w:t>stroke</w:t>
                            </w:r>
                            <w:r>
                              <w:rPr>
                                <w:b/>
                              </w:rPr>
                              <w:t>-specific</w:t>
                            </w:r>
                            <w:r w:rsidRPr="005301C0">
                              <w:rPr>
                                <w:b/>
                              </w:rPr>
                              <w:t xml:space="preserve"> management</w:t>
                            </w:r>
                            <w:r w:rsidRPr="005301C0">
                              <w:t>.</w:t>
                            </w:r>
                          </w:p>
                          <w:p w14:paraId="789C364A" w14:textId="2CC3CDDC" w:rsidR="009A0F85" w:rsidRDefault="009A0F85" w:rsidP="00C26251">
                            <w:pPr>
                              <w:pStyle w:val="ListParagraph"/>
                              <w:numPr>
                                <w:ilvl w:val="0"/>
                                <w:numId w:val="13"/>
                              </w:numPr>
                              <w:ind w:left="426" w:hanging="284"/>
                              <w:jc w:val="both"/>
                            </w:pPr>
                            <w:r>
                              <w:t xml:space="preserve">While nearly </w:t>
                            </w:r>
                            <w:r w:rsidRPr="001E27DC">
                              <w:t xml:space="preserve">half of the men with </w:t>
                            </w:r>
                            <w:r w:rsidRPr="00501954">
                              <w:rPr>
                                <w:b/>
                                <w:bCs/>
                              </w:rPr>
                              <w:t>HIV</w:t>
                            </w:r>
                            <w:r w:rsidRPr="001E27DC">
                              <w:t xml:space="preserve"> history were diagnosed thr</w:t>
                            </w:r>
                            <w:r>
                              <w:t xml:space="preserve">ough general sexual health screens, </w:t>
                            </w:r>
                            <w:r w:rsidRPr="001E27DC">
                              <w:t>women</w:t>
                            </w:r>
                            <w:r>
                              <w:t>’</w:t>
                            </w:r>
                            <w:r w:rsidRPr="001E27DC">
                              <w:t>s HIV was mostly detected through targeted screening</w:t>
                            </w:r>
                            <w:r>
                              <w:t>; that is, only when HIV was being specifically investigated. This indicates g</w:t>
                            </w:r>
                            <w:r w:rsidRPr="001E27DC">
                              <w:t>ender disparity in access to sexual he</w:t>
                            </w:r>
                            <w:r>
                              <w:t>alth screening and assessment, and l</w:t>
                            </w:r>
                            <w:r w:rsidRPr="001E27DC">
                              <w:t>ow awareness of sexual health risks for women</w:t>
                            </w:r>
                            <w:r>
                              <w:t>.</w:t>
                            </w:r>
                          </w:p>
                          <w:p w14:paraId="1BDBAB59" w14:textId="6EBD32B5" w:rsidR="009A0F85" w:rsidRDefault="009A0F85" w:rsidP="00C26251">
                            <w:pPr>
                              <w:pStyle w:val="ListParagraph"/>
                              <w:numPr>
                                <w:ilvl w:val="0"/>
                                <w:numId w:val="13"/>
                              </w:numPr>
                              <w:ind w:left="426" w:hanging="284"/>
                              <w:jc w:val="both"/>
                            </w:pPr>
                            <w:r>
                              <w:t xml:space="preserve">In common with people in general, the </w:t>
                            </w:r>
                            <w:r w:rsidRPr="00C31CCD">
                              <w:t>mental health</w:t>
                            </w:r>
                            <w:r w:rsidDel="000A1EFC">
                              <w:t xml:space="preserve"> </w:t>
                            </w:r>
                            <w:r>
                              <w:t xml:space="preserve">of </w:t>
                            </w:r>
                            <w:r w:rsidRPr="00501954">
                              <w:rPr>
                                <w:b/>
                                <w:bCs/>
                              </w:rPr>
                              <w:t>gender diverse people</w:t>
                            </w:r>
                            <w:r>
                              <w:t xml:space="preserve"> was directly associated with their experiences of health care. Respectful treatment from general practitioners promoted good mental health. Discriminatory and disrespectful treatment was associated with poor mental health.</w:t>
                            </w:r>
                          </w:p>
                          <w:p w14:paraId="55492F8D" w14:textId="77777777" w:rsidR="009A0F85" w:rsidRDefault="009A0F85" w:rsidP="00C26251">
                            <w:pPr>
                              <w:pStyle w:val="ListParagraph"/>
                              <w:numPr>
                                <w:ilvl w:val="0"/>
                                <w:numId w:val="13"/>
                              </w:numPr>
                              <w:ind w:left="426" w:hanging="284"/>
                              <w:jc w:val="both"/>
                            </w:pPr>
                            <w:r>
                              <w:t xml:space="preserve">Rates of </w:t>
                            </w:r>
                            <w:r w:rsidRPr="00A13F58">
                              <w:t xml:space="preserve">continuous </w:t>
                            </w:r>
                            <w:r w:rsidRPr="0034338A">
                              <w:rPr>
                                <w:b/>
                                <w:bCs/>
                              </w:rPr>
                              <w:t>polypharmacy</w:t>
                            </w:r>
                            <w:r>
                              <w:t xml:space="preserve"> identified in people in </w:t>
                            </w:r>
                            <w:r w:rsidRPr="00A13F58">
                              <w:t xml:space="preserve">Australia </w:t>
                            </w:r>
                            <w:r>
                              <w:t>aged 70 were slightly higher in women than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671B6" id="_x0000_t202" coordsize="21600,21600" o:spt="202" path="m,l,21600r21600,l21600,xe">
                <v:stroke joinstyle="miter"/>
                <v:path gradientshapeok="t" o:connecttype="rect"/>
              </v:shapetype>
              <v:shape id="Text Box 5" o:spid="_x0000_s1048" type="#_x0000_t202" alt="&quot;&quot;" style="position:absolute;margin-left:-1.5pt;margin-top:1.75pt;width:448.2pt;height:6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" fillcolor="white [3201]" strokecolor="#4c2863" strokeweight="3pt">
                <v:stroke opacity="6682f"/>
                <v:textbox>
                  <w:txbxContent>
                    <w:p w14:paraId="1FD8D9C6" w14:textId="77777777" w:rsidR="009A0F85" w:rsidRPr="007A1BD8" w:rsidRDefault="009A0F85">
                      <w:pPr>
                        <w:rPr>
                          <w:b/>
                          <w:color w:val="4C2863"/>
                          <w:sz w:val="24"/>
                          <w:szCs w:val="24"/>
                        </w:rPr>
                      </w:pPr>
                      <w:r w:rsidRPr="007A1BD8">
                        <w:rPr>
                          <w:b/>
                          <w:color w:val="4C2863"/>
                          <w:sz w:val="24"/>
                          <w:szCs w:val="24"/>
                        </w:rPr>
                        <w:t>Key Findings:</w:t>
                      </w:r>
                    </w:p>
                    <w:p w14:paraId="5D2736CD" w14:textId="5584A36F" w:rsidR="009A0F85" w:rsidRPr="00E62328" w:rsidRDefault="009A0F85" w:rsidP="003414BB">
                      <w:pPr>
                        <w:jc w:val="both"/>
                      </w:pPr>
                      <w:r w:rsidRPr="00E62328">
                        <w:t xml:space="preserve">In Australia, </w:t>
                      </w:r>
                      <w:r>
                        <w:t xml:space="preserve">a </w:t>
                      </w:r>
                      <w:r w:rsidRPr="00E62328">
                        <w:t>disproportionate</w:t>
                      </w:r>
                      <w:r>
                        <w:t xml:space="preserve"> number of </w:t>
                      </w:r>
                      <w:r w:rsidRPr="00E62328">
                        <w:t>women experience delayed diagnosis</w:t>
                      </w:r>
                      <w:r>
                        <w:t xml:space="preserve">, polypharmacy, </w:t>
                      </w:r>
                      <w:r w:rsidRPr="00E62328">
                        <w:t xml:space="preserve">and failure to </w:t>
                      </w:r>
                      <w:r>
                        <w:t xml:space="preserve">have their symptoms </w:t>
                      </w:r>
                      <w:r w:rsidRPr="00E62328">
                        <w:t>properly investigate</w:t>
                      </w:r>
                      <w:r>
                        <w:t>d</w:t>
                      </w:r>
                      <w:r w:rsidRPr="00E62328">
                        <w:t xml:space="preserve">. </w:t>
                      </w:r>
                      <w:r>
                        <w:t>The s</w:t>
                      </w:r>
                      <w:r w:rsidRPr="00E62328">
                        <w:t>ymptoms of heart failure, for example, are less likely to be recognised in women than in men. Women are less likely than men to receive appropriate treatment</w:t>
                      </w:r>
                      <w:r>
                        <w:t>s</w:t>
                      </w:r>
                      <w:r w:rsidRPr="00E62328">
                        <w:t xml:space="preserve"> </w:t>
                      </w:r>
                      <w:r>
                        <w:t xml:space="preserve">and </w:t>
                      </w:r>
                      <w:r w:rsidRPr="00E62328">
                        <w:t>health service</w:t>
                      </w:r>
                      <w:r>
                        <w:t>s, including organ</w:t>
                      </w:r>
                      <w:r w:rsidRPr="00E62328">
                        <w:t xml:space="preserve"> transplant</w:t>
                      </w:r>
                      <w:r>
                        <w:t>ation when indicated</w:t>
                      </w:r>
                      <w:r w:rsidRPr="00E62328">
                        <w:t xml:space="preserve">. </w:t>
                      </w:r>
                      <w:r w:rsidR="00413992">
                        <w:t xml:space="preserve">Barriers to equity are gender-specific, including </w:t>
                      </w:r>
                      <w:r w:rsidR="00413992" w:rsidRPr="00E62328">
                        <w:t>gender norms</w:t>
                      </w:r>
                      <w:r w:rsidR="00413992">
                        <w:t xml:space="preserve">, </w:t>
                      </w:r>
                      <w:r w:rsidR="00413992" w:rsidRPr="00E62328">
                        <w:t xml:space="preserve">discrimination, </w:t>
                      </w:r>
                      <w:r w:rsidR="00413992">
                        <w:t xml:space="preserve">and </w:t>
                      </w:r>
                      <w:r w:rsidR="00413992" w:rsidRPr="00E62328">
                        <w:t>healthcare professionals’ bias,</w:t>
                      </w:r>
                      <w:r w:rsidR="00413992">
                        <w:t xml:space="preserve"> as well as more general, such as</w:t>
                      </w:r>
                      <w:r w:rsidR="00413992" w:rsidRPr="00E62328">
                        <w:t xml:space="preserve"> </w:t>
                      </w:r>
                      <w:r w:rsidR="00B26617">
                        <w:t>low</w:t>
                      </w:r>
                      <w:r w:rsidR="00413992" w:rsidRPr="00E62328">
                        <w:t xml:space="preserve"> health literacy</w:t>
                      </w:r>
                      <w:r w:rsidR="006A2692">
                        <w:t xml:space="preserve"> (</w:t>
                      </w:r>
                      <w:r w:rsidR="00B26617">
                        <w:t xml:space="preserve">in health </w:t>
                      </w:r>
                      <w:r w:rsidR="006A2692">
                        <w:t>organisations as well</w:t>
                      </w:r>
                      <w:r w:rsidR="00B26617">
                        <w:t xml:space="preserve"> as</w:t>
                      </w:r>
                      <w:r w:rsidR="006A2692">
                        <w:t xml:space="preserve"> </w:t>
                      </w:r>
                      <w:r w:rsidR="00B26617">
                        <w:t>consumers</w:t>
                      </w:r>
                      <w:r w:rsidR="006A2692">
                        <w:t>)</w:t>
                      </w:r>
                      <w:r w:rsidR="00413992" w:rsidRPr="00E62328">
                        <w:t>, lack of accessible and culturally appropriate services, geographic location</w:t>
                      </w:r>
                      <w:r w:rsidR="00413992">
                        <w:t>,</w:t>
                      </w:r>
                      <w:r w:rsidR="00413992" w:rsidRPr="00E62328">
                        <w:t xml:space="preserve"> and </w:t>
                      </w:r>
                      <w:r w:rsidR="00413992">
                        <w:t xml:space="preserve">place of </w:t>
                      </w:r>
                      <w:r w:rsidR="00413992" w:rsidRPr="00E62328">
                        <w:t>residenc</w:t>
                      </w:r>
                      <w:r w:rsidR="00413992">
                        <w:t>e. All can</w:t>
                      </w:r>
                      <w:r w:rsidR="00413992" w:rsidRPr="00E62328">
                        <w:t xml:space="preserve"> </w:t>
                      </w:r>
                      <w:r w:rsidR="00413992">
                        <w:t>undermine equity in</w:t>
                      </w:r>
                      <w:r w:rsidR="00413992" w:rsidRPr="00E62328">
                        <w:t xml:space="preserve"> health care</w:t>
                      </w:r>
                      <w:r w:rsidR="00413992">
                        <w:t xml:space="preserve"> and services</w:t>
                      </w:r>
                      <w:r w:rsidRPr="00E62328">
                        <w:t>.</w:t>
                      </w:r>
                    </w:p>
                    <w:p w14:paraId="446E4751" w14:textId="73EC521A" w:rsidR="009A0F85" w:rsidRDefault="009A0F85" w:rsidP="00C26251">
                      <w:pPr>
                        <w:pStyle w:val="ListParagraph"/>
                        <w:numPr>
                          <w:ilvl w:val="0"/>
                          <w:numId w:val="13"/>
                        </w:numPr>
                        <w:ind w:left="426" w:hanging="284"/>
                        <w:jc w:val="both"/>
                      </w:pPr>
                      <w:r>
                        <w:t>The 21 Australian papers (on 20 studies) reported on the topics or health conditions of cardiovascular disease (n= 10), mental health (n=5), organ transplantation (n=2), stroke management (n=1), HIV (n=1), gender diversity (n=1), and polypharmacy (n=1).</w:t>
                      </w:r>
                    </w:p>
                    <w:p w14:paraId="55B2B708" w14:textId="3F20BDE7" w:rsidR="009A0F85" w:rsidRPr="00C33F49" w:rsidRDefault="009A0F85" w:rsidP="00C26251">
                      <w:pPr>
                        <w:pStyle w:val="ListParagraph"/>
                        <w:numPr>
                          <w:ilvl w:val="0"/>
                          <w:numId w:val="13"/>
                        </w:numPr>
                        <w:ind w:left="426" w:hanging="284"/>
                        <w:jc w:val="both"/>
                      </w:pPr>
                      <w:r w:rsidRPr="00501954">
                        <w:rPr>
                          <w:b/>
                          <w:bCs/>
                        </w:rPr>
                        <w:t>Cardiovascular disease</w:t>
                      </w:r>
                      <w:r>
                        <w:t xml:space="preserve"> has disproportionately adverse effects on women. Compared with men, women experience more CVD risks caused by non-biological, environmental, and socioeconomic factors; take longer to seek medical treatment; are </w:t>
                      </w:r>
                      <w:r w:rsidRPr="00327D31">
                        <w:t xml:space="preserve">less likely to be treated with </w:t>
                      </w:r>
                      <w:r>
                        <w:t>the</w:t>
                      </w:r>
                      <w:r w:rsidRPr="00327D31">
                        <w:t xml:space="preserve"> urgency of ‘immediate review’</w:t>
                      </w:r>
                      <w:r>
                        <w:t xml:space="preserve"> or in the </w:t>
                      </w:r>
                      <w:r w:rsidRPr="004B267C">
                        <w:t>emergency department</w:t>
                      </w:r>
                      <w:r>
                        <w:t>; are less likely to attend cardiac rehabilitation; are</w:t>
                      </w:r>
                      <w:r w:rsidRPr="00F80E58">
                        <w:t xml:space="preserve"> more likely to be diagnosed w</w:t>
                      </w:r>
                      <w:r>
                        <w:t>ith non-ST segment elevation acute coronary syndrome (</w:t>
                      </w:r>
                      <w:proofErr w:type="spellStart"/>
                      <w:r>
                        <w:t>STEMI</w:t>
                      </w:r>
                      <w:proofErr w:type="spellEnd"/>
                      <w:r>
                        <w:t xml:space="preserve">), but </w:t>
                      </w:r>
                      <w:r w:rsidRPr="00163EEE">
                        <w:t>less likely to receive coronary interventions</w:t>
                      </w:r>
                      <w:r w:rsidRPr="00C33F49">
                        <w:t xml:space="preserve">. </w:t>
                      </w:r>
                      <w:r w:rsidRPr="00DB4FA3">
                        <w:t>One review found no significant sex-based differences in assessment and management of cardiovascular care for Aboriginal and Torres Strait Islander people.</w:t>
                      </w:r>
                    </w:p>
                    <w:p w14:paraId="4424881F" w14:textId="1715368D" w:rsidR="009A0F85" w:rsidRDefault="009A0F85" w:rsidP="00C26251">
                      <w:pPr>
                        <w:pStyle w:val="ListParagraph"/>
                        <w:numPr>
                          <w:ilvl w:val="0"/>
                          <w:numId w:val="13"/>
                        </w:numPr>
                        <w:ind w:left="426" w:hanging="284"/>
                        <w:jc w:val="both"/>
                      </w:pPr>
                      <w:r>
                        <w:t xml:space="preserve">As a result of gendered demands and barriers to accessing care, women were more likely than men to report </w:t>
                      </w:r>
                      <w:r w:rsidRPr="00AA5A51">
                        <w:rPr>
                          <w:b/>
                        </w:rPr>
                        <w:t>mental health problems</w:t>
                      </w:r>
                      <w:r>
                        <w:t xml:space="preserve"> in response to the lockdown policies of early COVID-19 public health measures, and to</w:t>
                      </w:r>
                      <w:r w:rsidRPr="0097361D">
                        <w:t xml:space="preserve"> experience inequity in psychiatric care u</w:t>
                      </w:r>
                      <w:r>
                        <w:t>tilisation. Engagement in and response to risky addictive behaviours were influenced in complex ways by sex and gender. Women who were immigrants reported higher psychological distress than men who were immigrants.</w:t>
                      </w:r>
                    </w:p>
                    <w:p w14:paraId="4886DB69" w14:textId="77777777" w:rsidR="009A0F85" w:rsidRDefault="009A0F85" w:rsidP="00C26251">
                      <w:pPr>
                        <w:pStyle w:val="ListParagraph"/>
                        <w:numPr>
                          <w:ilvl w:val="0"/>
                          <w:numId w:val="13"/>
                        </w:numPr>
                        <w:ind w:left="426" w:hanging="284"/>
                        <w:jc w:val="both"/>
                      </w:pPr>
                      <w:r>
                        <w:t xml:space="preserve">Women are less likely to receive kidney </w:t>
                      </w:r>
                      <w:r w:rsidRPr="00501954">
                        <w:rPr>
                          <w:b/>
                          <w:bCs/>
                        </w:rPr>
                        <w:t>transplantation</w:t>
                      </w:r>
                      <w:r>
                        <w:t xml:space="preserve"> than men. Male recipients were more </w:t>
                      </w:r>
                      <w:r w:rsidRPr="00054C95">
                        <w:t>likely to receive kidneys from</w:t>
                      </w:r>
                      <w:r>
                        <w:t xml:space="preserve"> female donors than male donors.  </w:t>
                      </w:r>
                    </w:p>
                    <w:p w14:paraId="10A7BB84" w14:textId="5217455C" w:rsidR="009A0F85" w:rsidRPr="005301C0" w:rsidRDefault="009A0F85" w:rsidP="005301C0">
                      <w:pPr>
                        <w:pStyle w:val="ListParagraph"/>
                        <w:numPr>
                          <w:ilvl w:val="0"/>
                          <w:numId w:val="13"/>
                        </w:numPr>
                        <w:ind w:left="426" w:hanging="284"/>
                        <w:jc w:val="both"/>
                      </w:pPr>
                      <w:r w:rsidRPr="005301C0">
                        <w:t xml:space="preserve">Women admitted to hospital with stroke were more likely than men to arrive by ambulance but less likely to </w:t>
                      </w:r>
                      <w:r>
                        <w:t>receive</w:t>
                      </w:r>
                      <w:r w:rsidRPr="005301C0">
                        <w:t xml:space="preserve"> </w:t>
                      </w:r>
                      <w:r w:rsidRPr="005301C0">
                        <w:rPr>
                          <w:b/>
                        </w:rPr>
                        <w:t>stroke</w:t>
                      </w:r>
                      <w:r>
                        <w:rPr>
                          <w:b/>
                        </w:rPr>
                        <w:t>-specific</w:t>
                      </w:r>
                      <w:r w:rsidRPr="005301C0">
                        <w:rPr>
                          <w:b/>
                        </w:rPr>
                        <w:t xml:space="preserve"> management</w:t>
                      </w:r>
                      <w:r w:rsidRPr="005301C0">
                        <w:t>.</w:t>
                      </w:r>
                    </w:p>
                    <w:p w14:paraId="789C364A" w14:textId="2CC3CDDC" w:rsidR="009A0F85" w:rsidRDefault="009A0F85" w:rsidP="00C26251">
                      <w:pPr>
                        <w:pStyle w:val="ListParagraph"/>
                        <w:numPr>
                          <w:ilvl w:val="0"/>
                          <w:numId w:val="13"/>
                        </w:numPr>
                        <w:ind w:left="426" w:hanging="284"/>
                        <w:jc w:val="both"/>
                      </w:pPr>
                      <w:r>
                        <w:t xml:space="preserve">While nearly </w:t>
                      </w:r>
                      <w:r w:rsidRPr="001E27DC">
                        <w:t xml:space="preserve">half of the men with </w:t>
                      </w:r>
                      <w:r w:rsidRPr="00501954">
                        <w:rPr>
                          <w:b/>
                          <w:bCs/>
                        </w:rPr>
                        <w:t>HIV</w:t>
                      </w:r>
                      <w:r w:rsidRPr="001E27DC">
                        <w:t xml:space="preserve"> history were diagnosed thr</w:t>
                      </w:r>
                      <w:r>
                        <w:t xml:space="preserve">ough general sexual health screens, </w:t>
                      </w:r>
                      <w:r w:rsidRPr="001E27DC">
                        <w:t>women</w:t>
                      </w:r>
                      <w:r>
                        <w:t>’</w:t>
                      </w:r>
                      <w:r w:rsidRPr="001E27DC">
                        <w:t>s HIV was mostly detected through targeted screening</w:t>
                      </w:r>
                      <w:r>
                        <w:t>; that is, only when HIV was being specifically investigated. This indicates g</w:t>
                      </w:r>
                      <w:r w:rsidRPr="001E27DC">
                        <w:t>ender disparity in access to sexual he</w:t>
                      </w:r>
                      <w:r>
                        <w:t>alth screening and assessment, and l</w:t>
                      </w:r>
                      <w:r w:rsidRPr="001E27DC">
                        <w:t>ow awareness of sexual health risks for women</w:t>
                      </w:r>
                      <w:r>
                        <w:t>.</w:t>
                      </w:r>
                    </w:p>
                    <w:p w14:paraId="1BDBAB59" w14:textId="6EBD32B5" w:rsidR="009A0F85" w:rsidRDefault="009A0F85" w:rsidP="00C26251">
                      <w:pPr>
                        <w:pStyle w:val="ListParagraph"/>
                        <w:numPr>
                          <w:ilvl w:val="0"/>
                          <w:numId w:val="13"/>
                        </w:numPr>
                        <w:ind w:left="426" w:hanging="284"/>
                        <w:jc w:val="both"/>
                      </w:pPr>
                      <w:r>
                        <w:t xml:space="preserve">In common with people in general, the </w:t>
                      </w:r>
                      <w:r w:rsidRPr="00C31CCD">
                        <w:t>mental health</w:t>
                      </w:r>
                      <w:r w:rsidDel="000A1EFC">
                        <w:t xml:space="preserve"> </w:t>
                      </w:r>
                      <w:r>
                        <w:t xml:space="preserve">of </w:t>
                      </w:r>
                      <w:r w:rsidRPr="00501954">
                        <w:rPr>
                          <w:b/>
                          <w:bCs/>
                        </w:rPr>
                        <w:t>gender diverse people</w:t>
                      </w:r>
                      <w:r>
                        <w:t xml:space="preserve"> was directly associated with their experiences of health care. Respectful treatment from general practitioners promoted good mental health. Discriminatory and disrespectful treatment was associated with poor mental health.</w:t>
                      </w:r>
                    </w:p>
                    <w:p w14:paraId="55492F8D" w14:textId="77777777" w:rsidR="009A0F85" w:rsidRDefault="009A0F85" w:rsidP="00C26251">
                      <w:pPr>
                        <w:pStyle w:val="ListParagraph"/>
                        <w:numPr>
                          <w:ilvl w:val="0"/>
                          <w:numId w:val="13"/>
                        </w:numPr>
                        <w:ind w:left="426" w:hanging="284"/>
                        <w:jc w:val="both"/>
                      </w:pPr>
                      <w:r>
                        <w:t xml:space="preserve">Rates of </w:t>
                      </w:r>
                      <w:r w:rsidRPr="00A13F58">
                        <w:t xml:space="preserve">continuous </w:t>
                      </w:r>
                      <w:r w:rsidRPr="0034338A">
                        <w:rPr>
                          <w:b/>
                          <w:bCs/>
                        </w:rPr>
                        <w:t>polypharmacy</w:t>
                      </w:r>
                      <w:r>
                        <w:t xml:space="preserve"> identified in people in </w:t>
                      </w:r>
                      <w:r w:rsidRPr="00A13F58">
                        <w:t xml:space="preserve">Australia </w:t>
                      </w:r>
                      <w:r>
                        <w:t>aged 70 were slightly higher in women than men.</w:t>
                      </w:r>
                    </w:p>
                  </w:txbxContent>
                </v:textbox>
              </v:shape>
            </w:pict>
          </mc:Fallback>
        </mc:AlternateConten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04573E0D" w14:textId="77777777" w:rsidR="00EB2B55" w:rsidRPr="00672DBE" w:rsidRDefault="00EB2B55" w:rsidP="003414BB"/>
    <w:p w14:paraId="21F421C9" w14:textId="77777777" w:rsidR="00EB2B55" w:rsidRPr="00672DBE" w:rsidRDefault="00EB2B55" w:rsidP="003414BB"/>
    <w:p w14:paraId="2DC0E42D" w14:textId="77777777" w:rsidR="00EB2B55" w:rsidRPr="00672DBE" w:rsidRDefault="00EB2B55" w:rsidP="003414BB"/>
    <w:p w14:paraId="5BFE691D" w14:textId="77777777" w:rsidR="00EB2B55" w:rsidRPr="00672DBE" w:rsidRDefault="00EB2B55" w:rsidP="003414BB"/>
    <w:p w14:paraId="4A136469" w14:textId="77777777" w:rsidR="00EB2B55" w:rsidRPr="00672DBE" w:rsidRDefault="00EB2B55" w:rsidP="003414BB"/>
    <w:p w14:paraId="64FFF90B" w14:textId="77777777" w:rsidR="00EB2B55" w:rsidRPr="00672DBE" w:rsidRDefault="00EB2B55" w:rsidP="003414BB"/>
    <w:p w14:paraId="4B020039" w14:textId="77777777" w:rsidR="00EB2B55" w:rsidRPr="00672DBE" w:rsidRDefault="00EB2B55" w:rsidP="003414BB"/>
    <w:p w14:paraId="26CF73C2" w14:textId="77777777" w:rsidR="00EB2B55" w:rsidRPr="00672DBE" w:rsidRDefault="00EB2B55" w:rsidP="003414BB"/>
    <w:p w14:paraId="7F98A646" w14:textId="77777777" w:rsidR="00EB2B55" w:rsidRPr="00672DBE" w:rsidRDefault="00EB2B55" w:rsidP="003414BB"/>
    <w:p w14:paraId="1E2FD29A" w14:textId="77777777" w:rsidR="00EB2B55" w:rsidRPr="00672DBE" w:rsidRDefault="00EB2B55" w:rsidP="003414BB"/>
    <w:p w14:paraId="2BAF2B7F" w14:textId="77777777" w:rsidR="00EB2B55" w:rsidRPr="00672DBE" w:rsidRDefault="00EB2B55" w:rsidP="003414BB"/>
    <w:p w14:paraId="7A2480E6" w14:textId="77777777" w:rsidR="00EB2B55" w:rsidRPr="00672DBE" w:rsidRDefault="00EB2B55" w:rsidP="003414BB"/>
    <w:p w14:paraId="6571E89F" w14:textId="77777777" w:rsidR="00EB2B55" w:rsidRPr="00672DBE" w:rsidRDefault="00EB2B55" w:rsidP="003414BB"/>
    <w:p w14:paraId="5DF5F958" w14:textId="77777777" w:rsidR="00EB2B55" w:rsidRPr="00672DBE" w:rsidRDefault="00EB2B55" w:rsidP="003414BB"/>
    <w:p w14:paraId="406BA027" w14:textId="77777777" w:rsidR="00EB2B55" w:rsidRPr="00672DBE" w:rsidRDefault="00EB2B55" w:rsidP="003414BB"/>
    <w:p w14:paraId="7BEBC351" w14:textId="77777777" w:rsidR="00EB2B55" w:rsidRPr="00672DBE" w:rsidRDefault="00EB2B55" w:rsidP="003414BB"/>
    <w:p w14:paraId="1EB101C0" w14:textId="77777777" w:rsidR="00EB2B55" w:rsidRPr="00672DBE" w:rsidRDefault="00EB2B55" w:rsidP="003414BB"/>
    <w:p w14:paraId="079CD807" w14:textId="77777777" w:rsidR="00EB2B55" w:rsidRPr="00672DBE" w:rsidRDefault="00EB2B55" w:rsidP="003414BB"/>
    <w:p w14:paraId="27183DA4" w14:textId="77777777" w:rsidR="00EB2B55" w:rsidRPr="00672DBE" w:rsidRDefault="00EB2B55" w:rsidP="003414BB"/>
    <w:p w14:paraId="68017FC9" w14:textId="77777777" w:rsidR="00EB2B55" w:rsidRPr="00672DBE" w:rsidRDefault="00EB2B55" w:rsidP="003414BB"/>
    <w:p w14:paraId="1C903F9A" w14:textId="77777777" w:rsidR="00EB2B55" w:rsidRPr="00672DBE" w:rsidRDefault="00EB2B55" w:rsidP="003414BB"/>
    <w:p w14:paraId="64E4BAE7" w14:textId="77777777" w:rsidR="00EB2B55" w:rsidRPr="00672DBE" w:rsidRDefault="00EB2B55" w:rsidP="003414BB"/>
    <w:p w14:paraId="35E32675" w14:textId="77777777" w:rsidR="00EB2B55" w:rsidRPr="00672DBE" w:rsidRDefault="00EB2B55" w:rsidP="003414BB"/>
    <w:p w14:paraId="6647179D" w14:textId="77777777" w:rsidR="00EB2B55" w:rsidRPr="00672DBE" w:rsidRDefault="00EB2B55" w:rsidP="003414BB"/>
    <w:p w14:paraId="5061DC51" w14:textId="77777777" w:rsidR="00EB2B55" w:rsidRPr="00672DBE" w:rsidRDefault="00EB2B55" w:rsidP="003414BB"/>
    <w:p w14:paraId="554DFA0C" w14:textId="77777777" w:rsidR="00EB2B55" w:rsidRPr="00672DBE" w:rsidRDefault="00EB2B55">
      <w:r w:rsidRPr="00672DBE">
        <w:br w:type="page"/>
      </w:r>
    </w:p>
    <w:p w14:paraId="2B7E8A68" w14:textId="35B6BFF0" w:rsidR="00EB2B55" w:rsidRPr="00672DBE" w:rsidRDefault="00EB2B55" w:rsidP="003414BB">
      <w:pPr>
        <w:jc w:val="both"/>
      </w:pPr>
      <w:r w:rsidRPr="00672DBE">
        <w:lastRenderedPageBreak/>
        <w:t xml:space="preserve">Of the </w:t>
      </w:r>
      <w:r w:rsidR="008173ED">
        <w:t>2</w:t>
      </w:r>
      <w:r w:rsidR="00311EF5">
        <w:t>1</w:t>
      </w:r>
      <w:r w:rsidR="008173ED" w:rsidRPr="00672DBE">
        <w:t xml:space="preserve"> </w:t>
      </w:r>
      <w:r w:rsidRPr="00672DBE">
        <w:t xml:space="preserve">papers reporting research in Australia (Appendix </w:t>
      </w:r>
      <w:r w:rsidR="005253AB">
        <w:t>B, Table B1</w:t>
      </w:r>
      <w:r w:rsidRPr="00672DBE">
        <w:t xml:space="preserve">), 12 were secondary analyses, </w:t>
      </w:r>
      <w:r w:rsidR="00311EF5">
        <w:t>three</w:t>
      </w:r>
      <w:r w:rsidR="00311EF5" w:rsidRPr="00672DBE">
        <w:t xml:space="preserve"> </w:t>
      </w:r>
      <w:r w:rsidRPr="00672DBE">
        <w:t xml:space="preserve">were retrospective cohort studies, </w:t>
      </w:r>
      <w:r w:rsidR="006625FF">
        <w:t>three</w:t>
      </w:r>
      <w:r w:rsidR="006625FF" w:rsidRPr="00672DBE">
        <w:t xml:space="preserve"> </w:t>
      </w:r>
      <w:r w:rsidRPr="00672DBE">
        <w:t xml:space="preserve">were cross-sectional studies, </w:t>
      </w:r>
      <w:r w:rsidR="008173ED">
        <w:t xml:space="preserve">one was a prospective cohort study, </w:t>
      </w:r>
      <w:r w:rsidR="00311EF5">
        <w:t xml:space="preserve">one was a systematic review, </w:t>
      </w:r>
      <w:r w:rsidRPr="00672DBE">
        <w:t xml:space="preserve">and one was a narrative literature review. </w:t>
      </w:r>
      <w:r w:rsidR="00EC30D6">
        <w:t xml:space="preserve">(The two papers reporting the same study were </w:t>
      </w:r>
      <w:proofErr w:type="spellStart"/>
      <w:r w:rsidR="00EC30D6" w:rsidRPr="005A793E">
        <w:t>Mnatzaganian</w:t>
      </w:r>
      <w:proofErr w:type="spellEnd"/>
      <w:r w:rsidR="00EC30D6" w:rsidRPr="005A793E">
        <w:t xml:space="preserve"> et al., 2016</w:t>
      </w:r>
      <w:r w:rsidR="00EC30D6">
        <w:t xml:space="preserve"> and</w:t>
      </w:r>
      <w:r w:rsidR="00EC30D6" w:rsidRPr="005A793E">
        <w:t xml:space="preserve"> 2020</w:t>
      </w:r>
      <w:r w:rsidR="00EC30D6">
        <w:t xml:space="preserve">.) </w:t>
      </w:r>
      <w:r w:rsidRPr="00672DBE">
        <w:t xml:space="preserve">Of the reported health conditions, </w:t>
      </w:r>
      <w:r w:rsidR="00B73DB9">
        <w:t>10</w:t>
      </w:r>
      <w:r w:rsidR="008173ED" w:rsidRPr="00672DBE">
        <w:t xml:space="preserve"> </w:t>
      </w:r>
      <w:r w:rsidRPr="00672DBE">
        <w:t xml:space="preserve">were cardiovascular </w:t>
      </w:r>
      <w:r w:rsidRPr="005A793E">
        <w:t>(</w:t>
      </w:r>
      <w:r w:rsidR="008173ED">
        <w:t xml:space="preserve">Fogg et al., 2019; </w:t>
      </w:r>
      <w:r w:rsidRPr="005A793E">
        <w:t xml:space="preserve">Gauci et al., 2022; Hyun et al., 2017; Lee et al., 2019; </w:t>
      </w:r>
      <w:r w:rsidR="00B73DB9">
        <w:t xml:space="preserve">McBride et al., 2022; </w:t>
      </w:r>
      <w:proofErr w:type="spellStart"/>
      <w:r w:rsidRPr="005A793E">
        <w:t>Mnatzaganian</w:t>
      </w:r>
      <w:proofErr w:type="spellEnd"/>
      <w:r w:rsidRPr="005A793E">
        <w:t xml:space="preserve"> et al., 2016, 2020; Murphy et al., 2019; Perera et al., 2021; Worrall-Carter et al., 2016)</w:t>
      </w:r>
      <w:r w:rsidRPr="00672DBE">
        <w:t>, f</w:t>
      </w:r>
      <w:r w:rsidR="006625FF">
        <w:t>ive</w:t>
      </w:r>
      <w:r w:rsidRPr="00672DBE">
        <w:t xml:space="preserve"> were mental health </w:t>
      </w:r>
      <w:r w:rsidRPr="005A793E">
        <w:t xml:space="preserve">(Brucki et al., 2023; Hailemariam et al., 2021; </w:t>
      </w:r>
      <w:r w:rsidR="006625FF" w:rsidRPr="00DE0DB9">
        <w:rPr>
          <w:noProof/>
        </w:rPr>
        <w:t xml:space="preserve">Hammarberg et al., 2020; </w:t>
      </w:r>
      <w:r w:rsidRPr="005A793E">
        <w:t>Hashmi &amp; Alam, 2023; Jarallah &amp; Baxter, 2019)</w:t>
      </w:r>
      <w:r w:rsidRPr="00672DBE">
        <w:t xml:space="preserve">, two were organ transplantation </w:t>
      </w:r>
      <w:r w:rsidRPr="00DE0DB9">
        <w:t>(Kim et al., 2023; Ladhani et al., 2019)</w:t>
      </w:r>
      <w:r w:rsidRPr="00672DBE">
        <w:t xml:space="preserve">, </w:t>
      </w:r>
      <w:r w:rsidR="00B73DB9">
        <w:t xml:space="preserve">one was stroke management (Wang et al., 2022), </w:t>
      </w:r>
      <w:r w:rsidRPr="00672DBE">
        <w:t xml:space="preserve">one was HIV and health care needs </w:t>
      </w:r>
      <w:r w:rsidRPr="00DE0DB9">
        <w:t>(Hamilton et al., 2022)</w:t>
      </w:r>
      <w:r w:rsidRPr="00672DBE">
        <w:t xml:space="preserve">, one was gender diversity and healthcare experience </w:t>
      </w:r>
      <w:r w:rsidRPr="00DE0DB9">
        <w:t>(Riggs et al., 2014)</w:t>
      </w:r>
      <w:r w:rsidRPr="00672DBE">
        <w:t xml:space="preserve">, and one was polypharmacy </w:t>
      </w:r>
      <w:r w:rsidRPr="00DE0DB9">
        <w:t>(Page et al., 2019)</w:t>
      </w:r>
      <w:r w:rsidRPr="00672DBE">
        <w:t xml:space="preserve">.  </w:t>
      </w:r>
    </w:p>
    <w:p w14:paraId="30908EC6" w14:textId="3EEE3A9F" w:rsidR="00EB2B55" w:rsidRPr="00672DBE" w:rsidRDefault="00EB2B55" w:rsidP="003414BB">
      <w:pPr>
        <w:jc w:val="both"/>
      </w:pPr>
      <w:r w:rsidRPr="00672DBE">
        <w:t xml:space="preserve">In the majority category of cardiovascular disease (CVD), three papers focused on gender- and/or sex-specific risk factors. Women experience more CVD risks caused by non-biological and environmental factors, such as socioeconomic status, health inequalities, and interpersonal violence </w:t>
      </w:r>
      <w:r w:rsidRPr="00DE0DB9">
        <w:t>(Gauci et al., 2022)</w:t>
      </w:r>
      <w:r w:rsidRPr="00672DBE">
        <w:t xml:space="preserve">. Hyun et al. (2017) reported that women attending primary healthcare services in Australia were less likely than men to have the national guideline-recommended CVD risk factors measured and recorded for the assessment of absolute CVD. For those with or at high risk of CVD, the prescription of appropriate preventive medications was more frequent in older women but less frequent in younger women, compared with their male counterparts; and fewer women were assessed for cardiovascular risk factors </w:t>
      </w:r>
      <w:r w:rsidRPr="00DE0DB9">
        <w:t>(Lee et al., 2019)</w:t>
      </w:r>
      <w:r w:rsidRPr="00672DBE">
        <w:t xml:space="preserve">. </w:t>
      </w:r>
      <w:r w:rsidR="00AC034E">
        <w:t>Five</w:t>
      </w:r>
      <w:r w:rsidR="00AC034E" w:rsidRPr="00672DBE">
        <w:t xml:space="preserve"> </w:t>
      </w:r>
      <w:r w:rsidRPr="00672DBE">
        <w:t>papers about presentation of symptoms and the timing of treatment reported</w:t>
      </w:r>
      <w:r w:rsidR="00617D0F">
        <w:t xml:space="preserve">, </w:t>
      </w:r>
      <w:proofErr w:type="gramStart"/>
      <w:r w:rsidR="00617D0F">
        <w:t>on the whole</w:t>
      </w:r>
      <w:proofErr w:type="gramEnd"/>
      <w:r w:rsidR="00617D0F">
        <w:t>,</w:t>
      </w:r>
      <w:r w:rsidRPr="00672DBE">
        <w:t xml:space="preserve"> that women sought and received less optimum care than men. For example, women take longer to seek medical treatment for CVD </w:t>
      </w:r>
      <w:r w:rsidRPr="00DE0DB9">
        <w:t xml:space="preserve">(Gauci et al., 2022) </w:t>
      </w:r>
      <w:r w:rsidRPr="00672DBE">
        <w:t xml:space="preserve">and, when presenting with </w:t>
      </w:r>
      <w:r w:rsidR="000B4016">
        <w:t>“</w:t>
      </w:r>
      <w:r w:rsidRPr="00672DBE">
        <w:t>atypical</w:t>
      </w:r>
      <w:r w:rsidR="000B4016">
        <w:t>”</w:t>
      </w:r>
      <w:r w:rsidRPr="00672DBE">
        <w:t xml:space="preserve"> symptoms</w:t>
      </w:r>
      <w:r w:rsidR="000B4016">
        <w:t xml:space="preserve"> (that is, of the kind expected in men)</w:t>
      </w:r>
      <w:r w:rsidRPr="00672DBE">
        <w:t xml:space="preserve">, women were less likely than men to be treated with the urgency of </w:t>
      </w:r>
      <w:r w:rsidR="000A65FD" w:rsidRPr="00672DBE">
        <w:t>“</w:t>
      </w:r>
      <w:r w:rsidRPr="00672DBE">
        <w:t xml:space="preserve">immediate </w:t>
      </w:r>
      <w:r w:rsidR="000A65FD" w:rsidRPr="00672DBE">
        <w:t xml:space="preserve">review” </w:t>
      </w:r>
      <w:r w:rsidRPr="00672DBE">
        <w:t xml:space="preserve">or </w:t>
      </w:r>
      <w:r w:rsidR="000A65FD" w:rsidRPr="00672DBE">
        <w:t>“</w:t>
      </w:r>
      <w:r w:rsidRPr="00672DBE">
        <w:t>within</w:t>
      </w:r>
      <w:r w:rsidR="000B4016">
        <w:t>-</w:t>
      </w:r>
      <w:r w:rsidRPr="00672DBE">
        <w:t>10</w:t>
      </w:r>
      <w:r w:rsidR="000B4016">
        <w:t>-</w:t>
      </w:r>
      <w:r w:rsidRPr="00672DBE">
        <w:t xml:space="preserve">minutes </w:t>
      </w:r>
      <w:r w:rsidR="000A65FD" w:rsidRPr="00672DBE">
        <w:t xml:space="preserve">review” </w:t>
      </w:r>
      <w:r w:rsidRPr="00DE0DB9">
        <w:t>(</w:t>
      </w:r>
      <w:proofErr w:type="spellStart"/>
      <w:r w:rsidRPr="00DE0DB9">
        <w:t>Mnatzaganian</w:t>
      </w:r>
      <w:proofErr w:type="spellEnd"/>
      <w:r w:rsidRPr="00DE0DB9">
        <w:t xml:space="preserve"> et al., 2016)</w:t>
      </w:r>
      <w:r w:rsidRPr="00672DBE">
        <w:t xml:space="preserve">. Women were less likely than men to be examined within the first hour of arrival at the emergency department by an emergency physician </w:t>
      </w:r>
      <w:r w:rsidRPr="00DE0DB9">
        <w:t>(</w:t>
      </w:r>
      <w:proofErr w:type="spellStart"/>
      <w:r w:rsidRPr="00DE0DB9">
        <w:t>Mnatzaganian</w:t>
      </w:r>
      <w:proofErr w:type="spellEnd"/>
      <w:r w:rsidRPr="00DE0DB9">
        <w:t xml:space="preserve"> et al., 2020)</w:t>
      </w:r>
      <w:r w:rsidRPr="00672DBE">
        <w:t xml:space="preserve"> and had longer median symptom-to-balloon times and longer median door-to-balloon times </w:t>
      </w:r>
      <w:r w:rsidRPr="00DE0DB9">
        <w:t>(Murphy et al., 2019)</w:t>
      </w:r>
      <w:r w:rsidRPr="00672DBE">
        <w:t xml:space="preserve">. Women tended not to report their CVD risk and symptoms as accurately as men, particularly in the case of myocardial infarction (presumably because historically only men’s symptoms have been publicised), resulting in a two-hour delay in seeking treatment </w:t>
      </w:r>
      <w:r w:rsidRPr="00DE0DB9">
        <w:t>(Gauci et al., 2022</w:t>
      </w:r>
      <w:r w:rsidRPr="00AC034E">
        <w:t xml:space="preserve">). </w:t>
      </w:r>
      <w:r w:rsidR="00AC034E" w:rsidRPr="0061329C">
        <w:t>Women were less likely than men to receive coronary procedures, particularly revascularisation within one year of hospitalisation for acute myocardial infarction or angina</w:t>
      </w:r>
      <w:r w:rsidR="00AC034E">
        <w:t xml:space="preserve"> (Fogg et al., 2019). The authors suggest that possible </w:t>
      </w:r>
      <w:r w:rsidR="0061329C">
        <w:t xml:space="preserve">(diverging) </w:t>
      </w:r>
      <w:r w:rsidR="00AC034E">
        <w:t>explanations for this sex-based discrepancy include that women’s needs are not being met and that men are being over-serviced.</w:t>
      </w:r>
      <w:r w:rsidR="00617D0F">
        <w:t xml:space="preserve"> In contrast, o</w:t>
      </w:r>
      <w:r w:rsidR="00617D0F" w:rsidRPr="00617D0F">
        <w:t xml:space="preserve">ne review of the assessment and management of preventive cardiovascular care in primary health for Aboriginal and Torres Strait Islander people found that women and men alike tended to receive sub-optimal care (McBride et al., 2022). </w:t>
      </w:r>
    </w:p>
    <w:p w14:paraId="34C21759" w14:textId="4202CB7E" w:rsidR="00EB2B55" w:rsidRPr="006A6642" w:rsidRDefault="00EB2B55" w:rsidP="003B75D0">
      <w:pPr>
        <w:pStyle w:val="NormalWeb"/>
        <w:spacing w:before="0" w:beforeAutospacing="0" w:after="160" w:afterAutospacing="0" w:line="259" w:lineRule="auto"/>
        <w:jc w:val="both"/>
        <w:rPr>
          <w:rFonts w:asciiTheme="minorHAnsi" w:hAnsiTheme="minorHAnsi" w:cstheme="minorHAnsi"/>
          <w:sz w:val="22"/>
          <w:szCs w:val="22"/>
        </w:rPr>
      </w:pPr>
      <w:r w:rsidRPr="006A6642">
        <w:rPr>
          <w:rFonts w:asciiTheme="minorHAnsi" w:hAnsiTheme="minorHAnsi" w:cstheme="minorHAnsi"/>
          <w:sz w:val="22"/>
          <w:szCs w:val="22"/>
        </w:rPr>
        <w:t>Two papers reported on drug prescriptions for CVD</w:t>
      </w:r>
      <w:r w:rsidR="00EE3736" w:rsidRPr="006A6642">
        <w:rPr>
          <w:rFonts w:asciiTheme="minorHAnsi" w:hAnsiTheme="minorHAnsi" w:cstheme="minorHAnsi"/>
          <w:sz w:val="22"/>
          <w:szCs w:val="22"/>
        </w:rPr>
        <w:t xml:space="preserve"> </w:t>
      </w:r>
      <w:r w:rsidR="00014BE3">
        <w:rPr>
          <w:rFonts w:asciiTheme="minorHAnsi" w:hAnsiTheme="minorHAnsi" w:cstheme="minorHAnsi"/>
          <w:sz w:val="22"/>
          <w:szCs w:val="22"/>
        </w:rPr>
        <w:t xml:space="preserve">in </w:t>
      </w:r>
      <w:r w:rsidR="00EE3736" w:rsidRPr="006A6642">
        <w:rPr>
          <w:rFonts w:asciiTheme="minorHAnsi" w:hAnsiTheme="minorHAnsi" w:cstheme="minorHAnsi"/>
          <w:sz w:val="22"/>
          <w:szCs w:val="22"/>
        </w:rPr>
        <w:t>Australia</w:t>
      </w:r>
      <w:r w:rsidR="006A6642" w:rsidRPr="006A6642">
        <w:rPr>
          <w:rFonts w:asciiTheme="minorHAnsi" w:hAnsiTheme="minorHAnsi" w:cstheme="minorHAnsi"/>
          <w:sz w:val="22"/>
          <w:szCs w:val="22"/>
        </w:rPr>
        <w:t xml:space="preserve"> primary health care</w:t>
      </w:r>
      <w:r w:rsidRPr="006A6642">
        <w:rPr>
          <w:rFonts w:asciiTheme="minorHAnsi" w:hAnsiTheme="minorHAnsi" w:cstheme="minorHAnsi"/>
          <w:sz w:val="22"/>
          <w:szCs w:val="22"/>
        </w:rPr>
        <w:t>.</w:t>
      </w:r>
      <w:r w:rsidR="00EE3736" w:rsidRPr="006A6642">
        <w:rPr>
          <w:rFonts w:asciiTheme="minorHAnsi" w:hAnsiTheme="minorHAnsi" w:cstheme="minorHAnsi"/>
          <w:sz w:val="22"/>
          <w:szCs w:val="22"/>
        </w:rPr>
        <w:t xml:space="preserve"> </w:t>
      </w:r>
      <w:r w:rsidR="006A6642" w:rsidRPr="006A6642">
        <w:rPr>
          <w:rFonts w:asciiTheme="minorHAnsi" w:hAnsiTheme="minorHAnsi" w:cstheme="minorHAnsi"/>
          <w:sz w:val="22"/>
          <w:szCs w:val="22"/>
        </w:rPr>
        <w:t>Huyn et al. (2017) found that w</w:t>
      </w:r>
      <w:r w:rsidR="00EE3736" w:rsidRPr="006A6642">
        <w:rPr>
          <w:rFonts w:asciiTheme="minorHAnsi" w:hAnsiTheme="minorHAnsi" w:cstheme="minorHAnsi"/>
          <w:sz w:val="22"/>
          <w:szCs w:val="22"/>
        </w:rPr>
        <w:t xml:space="preserve">omen were less likely than men to have risk factors measured and recorded, and therefore less likely to have absolute CVD risk assessed. For patients assessed as having or at high risk of CVD, the prescription of appropriate preventive medications was more frequent </w:t>
      </w:r>
      <w:r w:rsidR="006A6642" w:rsidRPr="006A6642">
        <w:rPr>
          <w:rFonts w:asciiTheme="minorHAnsi" w:hAnsiTheme="minorHAnsi" w:cstheme="minorHAnsi"/>
          <w:sz w:val="22"/>
          <w:szCs w:val="22"/>
        </w:rPr>
        <w:t>for</w:t>
      </w:r>
      <w:r w:rsidR="00EE3736" w:rsidRPr="006A6642">
        <w:rPr>
          <w:rFonts w:asciiTheme="minorHAnsi" w:hAnsiTheme="minorHAnsi" w:cstheme="minorHAnsi"/>
          <w:sz w:val="22"/>
          <w:szCs w:val="22"/>
        </w:rPr>
        <w:t xml:space="preserve"> older women, but less frequent </w:t>
      </w:r>
      <w:r w:rsidR="006A6642" w:rsidRPr="006A6642">
        <w:rPr>
          <w:rFonts w:asciiTheme="minorHAnsi" w:hAnsiTheme="minorHAnsi" w:cstheme="minorHAnsi"/>
          <w:sz w:val="22"/>
          <w:szCs w:val="22"/>
        </w:rPr>
        <w:t>for</w:t>
      </w:r>
      <w:r w:rsidR="00EE3736" w:rsidRPr="006A6642">
        <w:rPr>
          <w:rFonts w:asciiTheme="minorHAnsi" w:hAnsiTheme="minorHAnsi" w:cstheme="minorHAnsi"/>
          <w:sz w:val="22"/>
          <w:szCs w:val="22"/>
        </w:rPr>
        <w:t xml:space="preserve"> younger women, </w:t>
      </w:r>
      <w:r w:rsidR="006A6642" w:rsidRPr="006A6642">
        <w:rPr>
          <w:rFonts w:asciiTheme="minorHAnsi" w:hAnsiTheme="minorHAnsi" w:cstheme="minorHAnsi"/>
          <w:sz w:val="22"/>
          <w:szCs w:val="22"/>
        </w:rPr>
        <w:t>than for</w:t>
      </w:r>
      <w:r w:rsidR="00EE3736" w:rsidRPr="006A6642">
        <w:rPr>
          <w:rFonts w:asciiTheme="minorHAnsi" w:hAnsiTheme="minorHAnsi" w:cstheme="minorHAnsi"/>
          <w:sz w:val="22"/>
          <w:szCs w:val="22"/>
        </w:rPr>
        <w:t xml:space="preserve"> their male counterparts. </w:t>
      </w:r>
      <w:r w:rsidR="006A6642" w:rsidRPr="006A6642">
        <w:rPr>
          <w:rFonts w:asciiTheme="minorHAnsi" w:hAnsiTheme="minorHAnsi" w:cstheme="minorHAnsi"/>
          <w:sz w:val="22"/>
          <w:szCs w:val="22"/>
        </w:rPr>
        <w:t xml:space="preserve">Similarly, Lee et al. (2019) found continuing gaps in preventive management of CVD, including prescription of indicated medications and risk factor monitoring, and that the gap is larger in women than men. </w:t>
      </w:r>
      <w:r w:rsidRPr="006A6642">
        <w:rPr>
          <w:rFonts w:asciiTheme="minorHAnsi" w:hAnsiTheme="minorHAnsi" w:cstheme="minorHAnsi"/>
          <w:sz w:val="22"/>
          <w:szCs w:val="22"/>
        </w:rPr>
        <w:t>One paper reported on healthy lifestyle adherence by patients who were treated with percutaneous coronary interventions; women were less likely than men to be physically active, attend cardiac rehabilitation, or take statin therapy (Perera et al., 2021)</w:t>
      </w:r>
      <w:r w:rsidR="00772AD3">
        <w:rPr>
          <w:rFonts w:asciiTheme="minorHAnsi" w:hAnsiTheme="minorHAnsi" w:cstheme="minorHAnsi"/>
          <w:sz w:val="22"/>
          <w:szCs w:val="22"/>
        </w:rPr>
        <w:t>. The a</w:t>
      </w:r>
      <w:r w:rsidR="00772AD3" w:rsidRPr="00772AD3">
        <w:rPr>
          <w:rFonts w:asciiTheme="minorHAnsi" w:hAnsiTheme="minorHAnsi" w:cstheme="minorHAnsi"/>
          <w:sz w:val="22"/>
          <w:szCs w:val="22"/>
        </w:rPr>
        <w:t xml:space="preserve">uthors offer </w:t>
      </w:r>
      <w:r w:rsidR="00772AD3">
        <w:rPr>
          <w:rFonts w:asciiTheme="minorHAnsi" w:hAnsiTheme="minorHAnsi" w:cstheme="minorHAnsi"/>
          <w:sz w:val="22"/>
          <w:szCs w:val="22"/>
        </w:rPr>
        <w:t xml:space="preserve">a </w:t>
      </w:r>
      <w:r w:rsidR="00772AD3" w:rsidRPr="00772AD3">
        <w:rPr>
          <w:rFonts w:asciiTheme="minorHAnsi" w:hAnsiTheme="minorHAnsi" w:cstheme="minorHAnsi"/>
          <w:sz w:val="22"/>
          <w:szCs w:val="22"/>
        </w:rPr>
        <w:t>gendered explanation</w:t>
      </w:r>
      <w:r w:rsidR="00772AD3">
        <w:rPr>
          <w:rFonts w:asciiTheme="minorHAnsi" w:hAnsiTheme="minorHAnsi" w:cstheme="minorHAnsi"/>
          <w:sz w:val="22"/>
          <w:szCs w:val="22"/>
        </w:rPr>
        <w:t xml:space="preserve"> for the </w:t>
      </w:r>
      <w:r w:rsidR="00772AD3">
        <w:rPr>
          <w:rFonts w:asciiTheme="minorHAnsi" w:hAnsiTheme="minorHAnsi" w:cstheme="minorHAnsi"/>
          <w:sz w:val="22"/>
          <w:szCs w:val="22"/>
        </w:rPr>
        <w:lastRenderedPageBreak/>
        <w:t>differences, such as</w:t>
      </w:r>
      <w:r w:rsidR="00772AD3" w:rsidRPr="00772AD3">
        <w:rPr>
          <w:rFonts w:asciiTheme="minorHAnsi" w:hAnsiTheme="minorHAnsi" w:cstheme="minorHAnsi"/>
          <w:sz w:val="22"/>
          <w:szCs w:val="22"/>
        </w:rPr>
        <w:t xml:space="preserve"> </w:t>
      </w:r>
      <w:r w:rsidR="00772AD3">
        <w:rPr>
          <w:rFonts w:asciiTheme="minorHAnsi" w:hAnsiTheme="minorHAnsi" w:cstheme="minorHAnsi"/>
          <w:sz w:val="22"/>
          <w:szCs w:val="22"/>
        </w:rPr>
        <w:t xml:space="preserve">women </w:t>
      </w:r>
      <w:r w:rsidR="00772AD3" w:rsidRPr="00772AD3">
        <w:rPr>
          <w:rFonts w:asciiTheme="minorHAnsi" w:hAnsiTheme="minorHAnsi" w:cstheme="minorHAnsi"/>
          <w:sz w:val="22"/>
          <w:szCs w:val="22"/>
        </w:rPr>
        <w:t xml:space="preserve">being self-conscious about </w:t>
      </w:r>
      <w:r w:rsidR="00772AD3">
        <w:rPr>
          <w:rFonts w:asciiTheme="minorHAnsi" w:hAnsiTheme="minorHAnsi" w:cstheme="minorHAnsi"/>
          <w:sz w:val="22"/>
          <w:szCs w:val="22"/>
        </w:rPr>
        <w:t xml:space="preserve">their </w:t>
      </w:r>
      <w:r w:rsidR="00772AD3" w:rsidRPr="00772AD3">
        <w:rPr>
          <w:rFonts w:asciiTheme="minorHAnsi" w:hAnsiTheme="minorHAnsi" w:cstheme="minorHAnsi"/>
          <w:sz w:val="22"/>
          <w:szCs w:val="22"/>
        </w:rPr>
        <w:t>appearance</w:t>
      </w:r>
      <w:r w:rsidR="00772AD3">
        <w:rPr>
          <w:rFonts w:asciiTheme="minorHAnsi" w:hAnsiTheme="minorHAnsi" w:cstheme="minorHAnsi"/>
          <w:sz w:val="22"/>
          <w:szCs w:val="22"/>
        </w:rPr>
        <w:t>,</w:t>
      </w:r>
      <w:r w:rsidR="00772AD3" w:rsidRPr="00772AD3">
        <w:rPr>
          <w:rFonts w:asciiTheme="minorHAnsi" w:hAnsiTheme="minorHAnsi" w:cstheme="minorHAnsi"/>
          <w:sz w:val="22"/>
          <w:szCs w:val="22"/>
        </w:rPr>
        <w:t xml:space="preserve"> </w:t>
      </w:r>
      <w:r w:rsidR="00772AD3">
        <w:rPr>
          <w:rFonts w:asciiTheme="minorHAnsi" w:hAnsiTheme="minorHAnsi" w:cstheme="minorHAnsi"/>
          <w:sz w:val="22"/>
          <w:szCs w:val="22"/>
        </w:rPr>
        <w:t xml:space="preserve">feeling </w:t>
      </w:r>
      <w:r w:rsidR="00772AD3" w:rsidRPr="00772AD3">
        <w:rPr>
          <w:rFonts w:asciiTheme="minorHAnsi" w:hAnsiTheme="minorHAnsi" w:cstheme="minorHAnsi"/>
          <w:sz w:val="22"/>
          <w:szCs w:val="22"/>
        </w:rPr>
        <w:t xml:space="preserve">discomfort in groups, </w:t>
      </w:r>
      <w:r w:rsidR="00772AD3">
        <w:rPr>
          <w:rFonts w:asciiTheme="minorHAnsi" w:hAnsiTheme="minorHAnsi" w:cstheme="minorHAnsi"/>
          <w:sz w:val="22"/>
          <w:szCs w:val="22"/>
        </w:rPr>
        <w:t xml:space="preserve">and having </w:t>
      </w:r>
      <w:r w:rsidR="00772AD3" w:rsidRPr="00772AD3">
        <w:rPr>
          <w:rFonts w:asciiTheme="minorHAnsi" w:hAnsiTheme="minorHAnsi" w:cstheme="minorHAnsi"/>
          <w:sz w:val="22"/>
          <w:szCs w:val="22"/>
        </w:rPr>
        <w:t>limited time</w:t>
      </w:r>
      <w:r w:rsidRPr="006A6642">
        <w:rPr>
          <w:rFonts w:asciiTheme="minorHAnsi" w:hAnsiTheme="minorHAnsi" w:cstheme="minorHAnsi"/>
          <w:sz w:val="22"/>
          <w:szCs w:val="22"/>
        </w:rPr>
        <w:t xml:space="preserve">. Another paper reported on the diagnoses and outcomes of acute coronary syndrome (ACS); women were more likely than men to be diagnosed with non-ST segment elevation ACS, but less likely to receive coronary interventions (angiogram, percutaneous coronary intervention, or coronary artery bypass graft) (Worrall-Carter et al., 2016). </w:t>
      </w:r>
    </w:p>
    <w:p w14:paraId="15068DDF" w14:textId="6E5990CB" w:rsidR="00EB2B55" w:rsidRPr="00220AA0" w:rsidRDefault="00EB2B55">
      <w:pPr>
        <w:jc w:val="both"/>
        <w:rPr>
          <w:rFonts w:cstheme="minorHAnsi"/>
        </w:rPr>
      </w:pPr>
      <w:r w:rsidRPr="00672DBE">
        <w:t xml:space="preserve">Papers reporting on </w:t>
      </w:r>
      <w:r w:rsidR="004E19B8">
        <w:t xml:space="preserve">barriers to equity in </w:t>
      </w:r>
      <w:r w:rsidRPr="00672DBE">
        <w:t xml:space="preserve">mental health encompassed psychological distress, well-being, and general health in the contexts of COVID-19 and of smoking, drinking, and/or </w:t>
      </w:r>
      <w:proofErr w:type="gramStart"/>
      <w:r w:rsidRPr="00672DBE">
        <w:t>gambling;</w:t>
      </w:r>
      <w:proofErr w:type="gramEnd"/>
      <w:r w:rsidRPr="00672DBE">
        <w:t xml:space="preserve"> and the psychiatric care of humanitarian migrants. It was found that COVID lockdown policies were associated with increased psychological distress, with women more than men tending to feel restless or fidgety, nervous, and that everything requires effort; women were also more likely to report symptoms of depression and loneliness </w:t>
      </w:r>
      <w:r w:rsidRPr="00DE0DB9">
        <w:t>(Brucki et al., 2023)</w:t>
      </w:r>
      <w:r w:rsidRPr="00672DBE">
        <w:t xml:space="preserve">. </w:t>
      </w:r>
      <w:r w:rsidR="006625FF">
        <w:t xml:space="preserve">These higher rates in women, it was concluded, could be </w:t>
      </w:r>
      <w:r w:rsidR="009A53AC">
        <w:t>attributed to</w:t>
      </w:r>
      <w:r w:rsidR="006625FF">
        <w:t xml:space="preserve"> their disproportionate burden of unpaid caregiving</w:t>
      </w:r>
      <w:r w:rsidR="009A53AC">
        <w:t xml:space="preserve"> (Hammarberg et al., 2020)</w:t>
      </w:r>
      <w:r w:rsidR="006625FF">
        <w:t xml:space="preserve">. </w:t>
      </w:r>
      <w:r w:rsidRPr="00672DBE">
        <w:t>An</w:t>
      </w:r>
      <w:r w:rsidR="00412C1D">
        <w:t xml:space="preserve"> econometric</w:t>
      </w:r>
      <w:r w:rsidRPr="00672DBE">
        <w:t xml:space="preserve"> investigation of risky addictive behaviours (alcohol, smoking, and gambling) and their effects on general and mental health found that, overall, women </w:t>
      </w:r>
      <w:r w:rsidR="00B52AFA">
        <w:t xml:space="preserve">in Australia </w:t>
      </w:r>
      <w:r w:rsidRPr="00672DBE">
        <w:t xml:space="preserve">have better general health than men but worse mental health </w:t>
      </w:r>
      <w:r w:rsidRPr="002F7A6A">
        <w:t>(Hailemariam et al., 2021)</w:t>
      </w:r>
      <w:r w:rsidRPr="00672DBE">
        <w:t xml:space="preserve">. </w:t>
      </w:r>
      <w:r w:rsidR="00B52AFA">
        <w:t>C</w:t>
      </w:r>
      <w:r w:rsidR="006A48A0">
        <w:t xml:space="preserve">omplex interactions </w:t>
      </w:r>
      <w:r w:rsidR="00B52AFA">
        <w:t xml:space="preserve">were found </w:t>
      </w:r>
      <w:r w:rsidR="006A48A0">
        <w:t xml:space="preserve">among </w:t>
      </w:r>
      <w:r w:rsidR="00B52AFA" w:rsidRPr="00087C47">
        <w:rPr>
          <w:rFonts w:cstheme="minorHAnsi"/>
        </w:rPr>
        <w:t xml:space="preserve">risky addictive behaviours, gender, </w:t>
      </w:r>
      <w:r w:rsidR="00B52AFA">
        <w:rPr>
          <w:rFonts w:cstheme="minorHAnsi"/>
        </w:rPr>
        <w:t>and</w:t>
      </w:r>
      <w:r w:rsidR="00B52AFA" w:rsidRPr="00087C47">
        <w:rPr>
          <w:rFonts w:cstheme="minorHAnsi"/>
        </w:rPr>
        <w:t xml:space="preserve"> health</w:t>
      </w:r>
      <w:r w:rsidR="00B52AFA">
        <w:rPr>
          <w:rFonts w:cstheme="minorHAnsi"/>
        </w:rPr>
        <w:t xml:space="preserve">. For example, the gender gap in general health is widened by smoking and gambling, whereas alcohol consumption does not contribute to this gap. In contrast, </w:t>
      </w:r>
      <w:r w:rsidR="0079487E">
        <w:rPr>
          <w:rFonts w:cstheme="minorHAnsi"/>
        </w:rPr>
        <w:t>s</w:t>
      </w:r>
      <w:r w:rsidR="0079487E" w:rsidRPr="00087C47">
        <w:rPr>
          <w:rFonts w:cstheme="minorHAnsi"/>
        </w:rPr>
        <w:t xml:space="preserve">moking </w:t>
      </w:r>
      <w:r w:rsidR="0079487E">
        <w:rPr>
          <w:rFonts w:cstheme="minorHAnsi"/>
        </w:rPr>
        <w:t>and gambling</w:t>
      </w:r>
      <w:r w:rsidR="0079487E" w:rsidRPr="00087C47">
        <w:rPr>
          <w:rFonts w:cstheme="minorHAnsi"/>
        </w:rPr>
        <w:t xml:space="preserve"> reduce </w:t>
      </w:r>
      <w:r w:rsidR="0079487E">
        <w:rPr>
          <w:rFonts w:cstheme="minorHAnsi"/>
        </w:rPr>
        <w:t xml:space="preserve">the </w:t>
      </w:r>
      <w:r w:rsidR="0079487E" w:rsidRPr="00087C47">
        <w:rPr>
          <w:rFonts w:cstheme="minorHAnsi"/>
        </w:rPr>
        <w:t>gender gap in mental health</w:t>
      </w:r>
      <w:r w:rsidR="0079487E">
        <w:rPr>
          <w:rFonts w:cstheme="minorHAnsi"/>
        </w:rPr>
        <w:t xml:space="preserve"> but</w:t>
      </w:r>
      <w:r w:rsidR="0079487E" w:rsidRPr="00087C47">
        <w:rPr>
          <w:rFonts w:cstheme="minorHAnsi"/>
        </w:rPr>
        <w:t xml:space="preserve"> alcohol consumption tends to increase </w:t>
      </w:r>
      <w:r w:rsidR="0079487E">
        <w:rPr>
          <w:rFonts w:cstheme="minorHAnsi"/>
        </w:rPr>
        <w:t xml:space="preserve">the </w:t>
      </w:r>
      <w:r w:rsidR="0079487E" w:rsidRPr="00087C47">
        <w:rPr>
          <w:rFonts w:cstheme="minorHAnsi"/>
        </w:rPr>
        <w:t>gender gap in mental health</w:t>
      </w:r>
      <w:r w:rsidR="0079487E">
        <w:rPr>
          <w:rFonts w:cstheme="minorHAnsi"/>
        </w:rPr>
        <w:t xml:space="preserve">. </w:t>
      </w:r>
      <w:r w:rsidR="00A42FB9">
        <w:rPr>
          <w:rFonts w:cstheme="minorHAnsi"/>
        </w:rPr>
        <w:t>The gaps are influenced by men’s greater participation in risky addictive behaviours, although the authors also note that s</w:t>
      </w:r>
      <w:r w:rsidR="00A42FB9" w:rsidRPr="00087C47">
        <w:rPr>
          <w:rFonts w:cstheme="minorHAnsi"/>
        </w:rPr>
        <w:t xml:space="preserve">ocial support, neighbourhood trust, dietary choice, </w:t>
      </w:r>
      <w:r w:rsidR="00A42FB9">
        <w:rPr>
          <w:rFonts w:cstheme="minorHAnsi"/>
        </w:rPr>
        <w:t>and</w:t>
      </w:r>
      <w:r w:rsidR="00A42FB9" w:rsidRPr="00087C47">
        <w:rPr>
          <w:rFonts w:cstheme="minorHAnsi"/>
        </w:rPr>
        <w:t xml:space="preserve"> life satisfaction</w:t>
      </w:r>
      <w:r w:rsidR="00A42FB9">
        <w:rPr>
          <w:rFonts w:cstheme="minorHAnsi"/>
        </w:rPr>
        <w:t xml:space="preserve"> (which can themselves be gendered)</w:t>
      </w:r>
      <w:r w:rsidR="00A42FB9" w:rsidRPr="00087C47">
        <w:rPr>
          <w:rFonts w:cstheme="minorHAnsi"/>
        </w:rPr>
        <w:t xml:space="preserve"> contribute to general </w:t>
      </w:r>
      <w:r w:rsidR="00A42FB9">
        <w:rPr>
          <w:rFonts w:cstheme="minorHAnsi"/>
        </w:rPr>
        <w:t>and</w:t>
      </w:r>
      <w:r w:rsidR="00A42FB9" w:rsidRPr="00087C47">
        <w:rPr>
          <w:rFonts w:cstheme="minorHAnsi"/>
        </w:rPr>
        <w:t xml:space="preserve"> mental health outcomes</w:t>
      </w:r>
      <w:r w:rsidR="00A42FB9" w:rsidRPr="00672DBE">
        <w:t xml:space="preserve"> </w:t>
      </w:r>
      <w:r w:rsidR="00A42FB9" w:rsidRPr="002F7A6A">
        <w:t>(Hailemariam et al., 2021)</w:t>
      </w:r>
      <w:r w:rsidR="00A42FB9">
        <w:rPr>
          <w:rFonts w:cstheme="minorHAnsi"/>
        </w:rPr>
        <w:t xml:space="preserve">. </w:t>
      </w:r>
      <w:r w:rsidRPr="00672DBE">
        <w:t xml:space="preserve">One study reported an examination of inequity in the use of psychiatric services in Australia’s mixed public–private healthcare system; researchers found that women’s unmet needs are greater than </w:t>
      </w:r>
      <w:proofErr w:type="gramStart"/>
      <w:r w:rsidRPr="00672DBE">
        <w:t>men’s</w:t>
      </w:r>
      <w:r w:rsidR="00D367A3" w:rsidRPr="00672DBE">
        <w:t xml:space="preserve">, </w:t>
      </w:r>
      <w:r w:rsidR="00580EEE">
        <w:t>and</w:t>
      </w:r>
      <w:proofErr w:type="gramEnd"/>
      <w:r w:rsidR="00580EEE">
        <w:t xml:space="preserve"> cite previous research to assert</w:t>
      </w:r>
      <w:r w:rsidR="00B43D40" w:rsidRPr="00672DBE">
        <w:t xml:space="preserve"> as a reason women’s greater need for mental health services</w:t>
      </w:r>
      <w:r w:rsidRPr="00672DBE">
        <w:t xml:space="preserve"> </w:t>
      </w:r>
      <w:r w:rsidRPr="002F7A6A">
        <w:t>(Hashmi &amp; Alam, 2023)</w:t>
      </w:r>
      <w:r w:rsidRPr="00672DBE">
        <w:t xml:space="preserve">. An investigation of mental health in humanitarian migrants found that women reported significantly higher psychological distress than men </w:t>
      </w:r>
      <w:r w:rsidRPr="002F7A6A">
        <w:t>(Jarallah &amp; Baxter, 2019)</w:t>
      </w:r>
      <w:r w:rsidRPr="00672DBE">
        <w:t xml:space="preserve">. The authors interpreted their results as arising from different gender roles, norms, and expectations for migrant women and men, with adverse effects on women’s mental health. </w:t>
      </w:r>
      <w:r w:rsidR="00896A3F" w:rsidRPr="00672DBE">
        <w:t>Among the barriers identified are differential access to power and prestige</w:t>
      </w:r>
      <w:r w:rsidR="00714325" w:rsidRPr="00672DBE">
        <w:t>, the greater demands on women in caring for children and extended family (“role overload”), and a limited sense of control over one’s life.</w:t>
      </w:r>
      <w:r w:rsidR="00896A3F" w:rsidRPr="00672DBE">
        <w:t xml:space="preserve"> </w:t>
      </w:r>
      <w:r w:rsidRPr="00672DBE">
        <w:t xml:space="preserve">The relationship between sex and gender on the one hand and psychological distress on the other hand is moderated by the migration pathway; there are significant associations among pre-migration trauma, settlement arrangements (particularly those associated with finance, housing, getting used to life in Australia, and loneliness), and psychological distress.  </w:t>
      </w:r>
    </w:p>
    <w:p w14:paraId="377D6400" w14:textId="591085AB" w:rsidR="00EB2B55" w:rsidRPr="00B63E93" w:rsidRDefault="00EB2B55" w:rsidP="003414BB">
      <w:pPr>
        <w:jc w:val="both"/>
      </w:pPr>
      <w:r w:rsidRPr="00672DBE">
        <w:t xml:space="preserve">Two papers reporting on organ transplantation concerned obese patients’ access to donated kidneys </w:t>
      </w:r>
      <w:r w:rsidR="008F765E" w:rsidRPr="002F7A6A">
        <w:t>(Ladhani et al., 2019)</w:t>
      </w:r>
      <w:r w:rsidR="008F765E">
        <w:t xml:space="preserve"> </w:t>
      </w:r>
      <w:r w:rsidRPr="00672DBE">
        <w:t>and the proportion of female to male donors for living donor kidney transplantation, stratified by recipient sex (which the authors call “gender”)</w:t>
      </w:r>
      <w:r w:rsidR="008F765E">
        <w:t xml:space="preserve"> </w:t>
      </w:r>
      <w:r w:rsidR="008F765E" w:rsidRPr="002F7A6A">
        <w:t>(Kim et al., 2023)</w:t>
      </w:r>
      <w:r w:rsidR="008F765E" w:rsidRPr="00672DBE">
        <w:t>.</w:t>
      </w:r>
      <w:r w:rsidRPr="00672DBE">
        <w:t xml:space="preserve"> Overall, obesity reduces the likelihood of being listed to receive a deceased donor kidney, but women who are obese were less likely than men who are obese to be listed when compared with sex-matched people of normal weight</w:t>
      </w:r>
      <w:r w:rsidR="00B63E93">
        <w:t>.</w:t>
      </w:r>
      <w:r w:rsidR="008F765E">
        <w:rPr>
          <w:rFonts w:cstheme="minorHAnsi"/>
        </w:rPr>
        <w:t xml:space="preserve"> </w:t>
      </w:r>
      <w:r w:rsidR="008F765E" w:rsidRPr="002F7A6A">
        <w:t>Ladhani et al.</w:t>
      </w:r>
      <w:r w:rsidR="008F765E">
        <w:t xml:space="preserve"> (</w:t>
      </w:r>
      <w:r w:rsidR="008F765E" w:rsidRPr="002F7A6A">
        <w:t>2019)</w:t>
      </w:r>
      <w:r w:rsidR="008F765E">
        <w:rPr>
          <w:rFonts w:cstheme="minorHAnsi"/>
        </w:rPr>
        <w:t xml:space="preserve"> </w:t>
      </w:r>
      <w:r w:rsidR="008F765E" w:rsidRPr="00127DF8">
        <w:rPr>
          <w:rFonts w:cstheme="minorHAnsi"/>
        </w:rPr>
        <w:t xml:space="preserve">suggest </w:t>
      </w:r>
      <w:r w:rsidR="008F765E">
        <w:rPr>
          <w:rFonts w:cstheme="minorHAnsi"/>
        </w:rPr>
        <w:t xml:space="preserve">that </w:t>
      </w:r>
      <w:r w:rsidR="008F765E" w:rsidRPr="00127DF8">
        <w:rPr>
          <w:rFonts w:cstheme="minorHAnsi"/>
        </w:rPr>
        <w:t xml:space="preserve">differences between women </w:t>
      </w:r>
      <w:r w:rsidR="008F765E">
        <w:rPr>
          <w:rFonts w:cstheme="minorHAnsi"/>
        </w:rPr>
        <w:t>and</w:t>
      </w:r>
      <w:r w:rsidR="008F765E" w:rsidRPr="00127DF8">
        <w:rPr>
          <w:rFonts w:cstheme="minorHAnsi"/>
        </w:rPr>
        <w:t xml:space="preserve"> men could arise from systemic barriers of gender </w:t>
      </w:r>
      <w:r w:rsidR="008F765E">
        <w:rPr>
          <w:rFonts w:cstheme="minorHAnsi"/>
        </w:rPr>
        <w:t>and</w:t>
      </w:r>
      <w:r w:rsidR="008F765E" w:rsidRPr="00127DF8">
        <w:rPr>
          <w:rFonts w:cstheme="minorHAnsi"/>
        </w:rPr>
        <w:t xml:space="preserve"> power,</w:t>
      </w:r>
      <w:r w:rsidR="008F765E">
        <w:rPr>
          <w:rFonts w:cstheme="minorHAnsi"/>
        </w:rPr>
        <w:t xml:space="preserve"> including</w:t>
      </w:r>
      <w:r w:rsidR="008F765E" w:rsidRPr="00127DF8">
        <w:rPr>
          <w:rFonts w:cstheme="minorHAnsi"/>
        </w:rPr>
        <w:t xml:space="preserve"> women’s status as primary caregivers</w:t>
      </w:r>
      <w:r w:rsidR="008F765E">
        <w:rPr>
          <w:rFonts w:cstheme="minorHAnsi"/>
        </w:rPr>
        <w:t xml:space="preserve"> and their relatively</w:t>
      </w:r>
      <w:r w:rsidR="008F765E" w:rsidRPr="00127DF8">
        <w:rPr>
          <w:rFonts w:cstheme="minorHAnsi"/>
        </w:rPr>
        <w:t xml:space="preserve"> less power in male-dominated medical decision</w:t>
      </w:r>
      <w:r w:rsidR="008F765E">
        <w:rPr>
          <w:rFonts w:cstheme="minorHAnsi"/>
        </w:rPr>
        <w:t>-</w:t>
      </w:r>
      <w:r w:rsidR="008F765E" w:rsidRPr="00127DF8">
        <w:rPr>
          <w:rFonts w:cstheme="minorHAnsi"/>
        </w:rPr>
        <w:t xml:space="preserve">making. </w:t>
      </w:r>
      <w:r w:rsidR="008F765E">
        <w:rPr>
          <w:rFonts w:cstheme="minorHAnsi"/>
        </w:rPr>
        <w:t xml:space="preserve">Kim et al. (2023) </w:t>
      </w:r>
      <w:r w:rsidR="008F765E">
        <w:t>analysed</w:t>
      </w:r>
      <w:r w:rsidRPr="00672DBE">
        <w:t xml:space="preserve"> data from the registries of ANZDATA (Australian and New Zealand Dialysis and Transplantation) and ANZOD (Australian and New Zealand Organ Donor) for the period 2002–2019 </w:t>
      </w:r>
      <w:r w:rsidR="008F765E">
        <w:t xml:space="preserve">and found that </w:t>
      </w:r>
      <w:r w:rsidRPr="00672DBE">
        <w:t xml:space="preserve">there were more male recipients than female and more female donors than male. This meant that men were more likely to receive kidneys from female donors than male donors </w:t>
      </w:r>
      <w:r w:rsidRPr="002F7A6A">
        <w:t>(Kim et al., 2023)</w:t>
      </w:r>
      <w:r w:rsidRPr="00672DBE">
        <w:t xml:space="preserve">. In contrast, female </w:t>
      </w:r>
      <w:r w:rsidRPr="00672DBE">
        <w:lastRenderedPageBreak/>
        <w:t xml:space="preserve">recipients </w:t>
      </w:r>
      <w:r w:rsidR="007A2079" w:rsidRPr="00672DBE">
        <w:t xml:space="preserve">are </w:t>
      </w:r>
      <w:r w:rsidRPr="00672DBE">
        <w:t>more likely to receive a kidney from a female donor if the donor was a sibling, friend, or child. The authors were unable to conclude whether the observed sex disparity was a consequence of selection biases</w:t>
      </w:r>
      <w:r w:rsidR="009969D0">
        <w:t xml:space="preserve"> or gendered </w:t>
      </w:r>
      <w:proofErr w:type="gramStart"/>
      <w:r w:rsidR="009969D0">
        <w:t>expectations</w:t>
      </w:r>
      <w:r w:rsidRPr="00672DBE">
        <w:t>, but</w:t>
      </w:r>
      <w:proofErr w:type="gramEnd"/>
      <w:r w:rsidRPr="00672DBE">
        <w:t xml:space="preserve"> </w:t>
      </w:r>
      <w:r w:rsidR="00F353B0" w:rsidRPr="00672DBE">
        <w:t>speculat</w:t>
      </w:r>
      <w:r w:rsidR="007B66F4" w:rsidRPr="00672DBE">
        <w:t xml:space="preserve">ed </w:t>
      </w:r>
      <w:r w:rsidRPr="00672DBE">
        <w:t>that higher rates of kidney failure in men and donations from their wives</w:t>
      </w:r>
      <w:r w:rsidR="00FA2DEC">
        <w:t xml:space="preserve">, alongside donations to women from female </w:t>
      </w:r>
      <w:r w:rsidR="00FA2DEC" w:rsidRPr="00B63E93">
        <w:t>friends and family</w:t>
      </w:r>
      <w:r w:rsidR="00260F85">
        <w:t xml:space="preserve"> members</w:t>
      </w:r>
      <w:r w:rsidR="00FA2DEC" w:rsidRPr="00B63E93">
        <w:t>,</w:t>
      </w:r>
      <w:r w:rsidRPr="00B63E93">
        <w:t xml:space="preserve"> may have contributed to donor-recipient sex disparity (Kim et al., 2023).</w:t>
      </w:r>
    </w:p>
    <w:p w14:paraId="6D686993" w14:textId="21D8C7FA" w:rsidR="0061329C" w:rsidRDefault="0061329C" w:rsidP="00B63E93">
      <w:pPr>
        <w:jc w:val="both"/>
      </w:pPr>
      <w:r w:rsidRPr="0061329C">
        <w:t xml:space="preserve">One paper reported that women admitted to hospital with stroke were more likely than men to arrive by ambulance but less likely to receive stroke-specific management </w:t>
      </w:r>
      <w:r>
        <w:t>consistent with</w:t>
      </w:r>
      <w:r w:rsidRPr="0061329C">
        <w:t xml:space="preserve"> the NSW Ambulance pre-hospital stroke care protocol (Wang et al. 2022).</w:t>
      </w:r>
      <w:r>
        <w:t xml:space="preserve"> </w:t>
      </w:r>
    </w:p>
    <w:p w14:paraId="1DEE0E4A" w14:textId="71DE04BB" w:rsidR="00B63E93" w:rsidRPr="00B63E93" w:rsidRDefault="00D7031D" w:rsidP="00B63E93">
      <w:pPr>
        <w:jc w:val="both"/>
      </w:pPr>
      <w:r>
        <w:t xml:space="preserve">In comparing women and men with human immunodeficiency virus (HIV) who presented to a public HIV clinic, it was found that men were more likely to receive good practice </w:t>
      </w:r>
      <w:r w:rsidRPr="00B63E93">
        <w:t xml:space="preserve">in HIV prevention, early diagnosis, </w:t>
      </w:r>
      <w:r>
        <w:t xml:space="preserve">and </w:t>
      </w:r>
      <w:r w:rsidRPr="00B63E93">
        <w:t xml:space="preserve">early initiation of treatment and care (Hamilton et al. 2022). </w:t>
      </w:r>
      <w:r w:rsidR="00AA609D">
        <w:t>M</w:t>
      </w:r>
      <w:r w:rsidR="00B63E93" w:rsidRPr="00B63E93">
        <w:t xml:space="preserve">en </w:t>
      </w:r>
      <w:r w:rsidR="00AA609D">
        <w:t>tended to be</w:t>
      </w:r>
      <w:r w:rsidR="00B63E93" w:rsidRPr="00B63E93">
        <w:t xml:space="preserve"> diagnosed through routine sexual health-related screening, </w:t>
      </w:r>
      <w:proofErr w:type="gramStart"/>
      <w:r w:rsidR="00AA609D">
        <w:t>whereas,</w:t>
      </w:r>
      <w:proofErr w:type="gramEnd"/>
      <w:r w:rsidR="00AA609D">
        <w:t xml:space="preserve"> </w:t>
      </w:r>
      <w:r w:rsidR="00B63E93" w:rsidRPr="00B63E93">
        <w:t xml:space="preserve">women </w:t>
      </w:r>
      <w:r w:rsidR="00AA609D">
        <w:t>were</w:t>
      </w:r>
      <w:r w:rsidR="00B63E93" w:rsidRPr="00B63E93">
        <w:t xml:space="preserve"> more likely to be diagnosed through targeted screening initiated by a health professional</w:t>
      </w:r>
      <w:r w:rsidR="00AA609D">
        <w:t>.</w:t>
      </w:r>
      <w:r w:rsidR="00B63E93" w:rsidRPr="00B63E93">
        <w:t xml:space="preserve"> </w:t>
      </w:r>
    </w:p>
    <w:p w14:paraId="6072327C" w14:textId="77777777" w:rsidR="00EB2B55" w:rsidRPr="00672DBE" w:rsidRDefault="00EB2B55" w:rsidP="003414BB">
      <w:pPr>
        <w:jc w:val="both"/>
      </w:pPr>
      <w:r w:rsidRPr="00672DBE">
        <w:t xml:space="preserve">One paper reporting on the healthcare experiences of gender-diverse Australians was notable for the great care taken by its authors to define sex and gender and to apply the terms consistently </w:t>
      </w:r>
      <w:r w:rsidRPr="002F7A6A">
        <w:t>(Riggs et al., 2014)</w:t>
      </w:r>
      <w:r w:rsidRPr="00672DBE">
        <w:t xml:space="preserve">. The researchers found that gender played a role in the experience of health care, with transgender people assigned male at birth (MAAB) more likely than those assigned female at birth (FAAB) to report positive experiences with psychiatrists and, when they had undergone surgery, with the surgical process. All reported that respectful attitudes from their GPs were associated with good mental health and discriminatory attitudes with poor mental health. </w:t>
      </w:r>
    </w:p>
    <w:p w14:paraId="37516541" w14:textId="261EC40A" w:rsidR="00EB2B55" w:rsidRPr="00672DBE" w:rsidRDefault="00EB2B55" w:rsidP="007A1BD8">
      <w:pPr>
        <w:jc w:val="both"/>
      </w:pPr>
      <w:r w:rsidRPr="00672DBE">
        <w:t xml:space="preserve">The single paper dealing with polypharmacy </w:t>
      </w:r>
      <w:r w:rsidR="00220AA0">
        <w:t xml:space="preserve">(which can have adverse effects) </w:t>
      </w:r>
      <w:r w:rsidRPr="00672DBE">
        <w:t xml:space="preserve">reported that, in people aged 70 years or over, women were more likely than men to have prescriptions for five or even more than ten drugs </w:t>
      </w:r>
      <w:r w:rsidRPr="002F7A6A">
        <w:t>(Page et al., 2019)</w:t>
      </w:r>
      <w:r w:rsidRPr="00672DBE">
        <w:t xml:space="preserve">. </w:t>
      </w:r>
      <w:r w:rsidRPr="00672DBE">
        <w:br w:type="page"/>
      </w:r>
    </w:p>
    <w:p w14:paraId="2C7E8F9A" w14:textId="5CB6B144" w:rsidR="00EB2B55" w:rsidRPr="007A1BD8" w:rsidRDefault="00EB2B55" w:rsidP="00877C53">
      <w:pPr>
        <w:pStyle w:val="Heading2"/>
        <w:numPr>
          <w:ilvl w:val="1"/>
          <w:numId w:val="50"/>
        </w:numPr>
        <w:spacing w:before="0" w:after="160"/>
        <w:rPr>
          <w:rFonts w:asciiTheme="minorHAnsi" w:hAnsiTheme="minorHAnsi" w:cstheme="minorHAnsi"/>
          <w:b/>
          <w:bCs/>
          <w:color w:val="30785B"/>
          <w:sz w:val="24"/>
          <w:szCs w:val="24"/>
        </w:rPr>
      </w:pPr>
      <w:bookmarkStart w:id="214" w:name="_Toc161756596"/>
      <w:bookmarkStart w:id="215" w:name="_Toc161757520"/>
      <w:bookmarkStart w:id="216" w:name="_Toc161763945"/>
      <w:bookmarkStart w:id="217" w:name="_Toc165205000"/>
      <w:bookmarkStart w:id="218" w:name="_Toc168390508"/>
      <w:bookmarkStart w:id="219" w:name="_Toc168390876"/>
      <w:bookmarkStart w:id="220" w:name="_Toc168390942"/>
      <w:bookmarkStart w:id="221" w:name="_Toc168392074"/>
      <w:bookmarkStart w:id="222" w:name="_Toc168392431"/>
      <w:bookmarkStart w:id="223" w:name="_Toc168393604"/>
      <w:bookmarkStart w:id="224" w:name="_Toc168393646"/>
      <w:bookmarkStart w:id="225" w:name="_Toc168394320"/>
      <w:bookmarkStart w:id="226" w:name="_Toc168394458"/>
      <w:r w:rsidRPr="007A1BD8">
        <w:rPr>
          <w:rFonts w:asciiTheme="minorHAnsi" w:hAnsiTheme="minorHAnsi" w:cstheme="minorHAnsi"/>
          <w:b/>
          <w:bCs/>
          <w:color w:val="30785B"/>
          <w:sz w:val="24"/>
          <w:szCs w:val="24"/>
        </w:rPr>
        <w:lastRenderedPageBreak/>
        <w:t xml:space="preserve">Question 2: Are there clinical guidelines, medical treatments, devices and diagnostic tools that do not </w:t>
      </w:r>
      <w:proofErr w:type="gramStart"/>
      <w:r w:rsidRPr="007A1BD8">
        <w:rPr>
          <w:rFonts w:asciiTheme="minorHAnsi" w:hAnsiTheme="minorHAnsi" w:cstheme="minorHAnsi"/>
          <w:b/>
          <w:bCs/>
          <w:color w:val="30785B"/>
          <w:sz w:val="24"/>
          <w:szCs w:val="24"/>
        </w:rPr>
        <w:t>take into account</w:t>
      </w:r>
      <w:proofErr w:type="gramEnd"/>
      <w:r w:rsidRPr="007A1BD8">
        <w:rPr>
          <w:rFonts w:asciiTheme="minorHAnsi" w:hAnsiTheme="minorHAnsi" w:cstheme="minorHAnsi"/>
          <w:b/>
          <w:bCs/>
          <w:color w:val="30785B"/>
          <w:sz w:val="24"/>
          <w:szCs w:val="24"/>
        </w:rPr>
        <w:t xml:space="preserve"> sex and gender differences?</w:t>
      </w:r>
      <w:bookmarkEnd w:id="214"/>
      <w:bookmarkEnd w:id="215"/>
      <w:bookmarkEnd w:id="216"/>
      <w:bookmarkEnd w:id="217"/>
      <w:bookmarkEnd w:id="218"/>
      <w:bookmarkEnd w:id="219"/>
      <w:bookmarkEnd w:id="220"/>
      <w:bookmarkEnd w:id="221"/>
      <w:bookmarkEnd w:id="222"/>
      <w:bookmarkEnd w:id="223"/>
      <w:bookmarkEnd w:id="224"/>
      <w:bookmarkEnd w:id="225"/>
      <w:bookmarkEnd w:id="226"/>
    </w:p>
    <w:p w14:paraId="0E57CAAF" w14:textId="77777777" w:rsidR="00EB2B55" w:rsidRPr="00672DBE" w:rsidRDefault="00EB2B55" w:rsidP="003414BB">
      <w:r w:rsidRPr="005B2562">
        <w:rPr>
          <w:noProof/>
        </w:rPr>
        <mc:AlternateContent>
          <mc:Choice Requires="wps">
            <w:drawing>
              <wp:anchor distT="0" distB="0" distL="114300" distR="114300" simplePos="0" relativeHeight="251663360" behindDoc="0" locked="0" layoutInCell="1" allowOverlap="1" wp14:anchorId="2B0A998F" wp14:editId="6B217BC9">
                <wp:simplePos x="0" y="0"/>
                <wp:positionH relativeFrom="column">
                  <wp:posOffset>-7620</wp:posOffset>
                </wp:positionH>
                <wp:positionV relativeFrom="paragraph">
                  <wp:posOffset>8255</wp:posOffset>
                </wp:positionV>
                <wp:extent cx="5661660" cy="7010400"/>
                <wp:effectExtent l="19050" t="19050" r="34290" b="3810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61660" cy="7010400"/>
                        </a:xfrm>
                        <a:prstGeom prst="rect">
                          <a:avLst/>
                        </a:prstGeom>
                        <a:solidFill>
                          <a:schemeClr val="lt1"/>
                        </a:solidFill>
                        <a:ln w="57150">
                          <a:solidFill>
                            <a:srgbClr val="4C2863">
                              <a:alpha val="10196"/>
                            </a:srgbClr>
                          </a:solidFill>
                        </a:ln>
                        <a:effectLst/>
                      </wps:spPr>
                      <wps:style>
                        <a:lnRef idx="0">
                          <a:schemeClr val="accent1"/>
                        </a:lnRef>
                        <a:fillRef idx="0">
                          <a:schemeClr val="accent1"/>
                        </a:fillRef>
                        <a:effectRef idx="0">
                          <a:schemeClr val="accent1"/>
                        </a:effectRef>
                        <a:fontRef idx="minor">
                          <a:schemeClr val="dk1"/>
                        </a:fontRef>
                      </wps:style>
                      <wps:txbx>
                        <w:txbxContent>
                          <w:p w14:paraId="1198A490" w14:textId="77777777" w:rsidR="009A0F85" w:rsidRPr="007A1BD8" w:rsidRDefault="009A0F85">
                            <w:pPr>
                              <w:rPr>
                                <w:b/>
                                <w:color w:val="4C2863"/>
                                <w:sz w:val="24"/>
                                <w:szCs w:val="24"/>
                              </w:rPr>
                            </w:pPr>
                            <w:r w:rsidRPr="007A1BD8">
                              <w:rPr>
                                <w:b/>
                                <w:color w:val="4C2863"/>
                                <w:sz w:val="24"/>
                                <w:szCs w:val="24"/>
                              </w:rPr>
                              <w:t>Key Findings:</w:t>
                            </w:r>
                          </w:p>
                          <w:p w14:paraId="27EDF1F8" w14:textId="77777777" w:rsidR="009A0F85" w:rsidRPr="007A1BD8" w:rsidRDefault="009A0F85">
                            <w:pPr>
                              <w:rPr>
                                <w:b/>
                                <w:bCs/>
                                <w:color w:val="4C2863"/>
                              </w:rPr>
                            </w:pPr>
                            <w:r w:rsidRPr="007A1BD8">
                              <w:rPr>
                                <w:b/>
                                <w:bCs/>
                                <w:color w:val="4C2863"/>
                              </w:rPr>
                              <w:t>Guidelines</w:t>
                            </w:r>
                          </w:p>
                          <w:p w14:paraId="6E687FC6" w14:textId="07359054" w:rsidR="009A0F85" w:rsidRPr="003730E0" w:rsidRDefault="009A0F85" w:rsidP="003730E0">
                            <w:pPr>
                              <w:pStyle w:val="ListParagraph"/>
                              <w:numPr>
                                <w:ilvl w:val="0"/>
                                <w:numId w:val="40"/>
                              </w:numPr>
                              <w:spacing w:after="120"/>
                              <w:jc w:val="both"/>
                              <w:rPr>
                                <w:rFonts w:cstheme="minorHAnsi"/>
                              </w:rPr>
                            </w:pPr>
                            <w:r w:rsidRPr="003730E0">
                              <w:rPr>
                                <w:rFonts w:cstheme="minorHAnsi"/>
                              </w:rPr>
                              <w:t>The 80 Australian clinical guidelines extracted were designed for 27 areas of practice, such as Aboriginal health, general practice, oncology, and psychiatry.</w:t>
                            </w:r>
                          </w:p>
                          <w:p w14:paraId="39FAB01D" w14:textId="6C1B3A36" w:rsidR="009A0F85" w:rsidRPr="003730E0" w:rsidRDefault="009A0F85" w:rsidP="003730E0">
                            <w:pPr>
                              <w:pStyle w:val="ListParagraph"/>
                              <w:numPr>
                                <w:ilvl w:val="0"/>
                                <w:numId w:val="40"/>
                              </w:numPr>
                              <w:spacing w:after="120"/>
                              <w:jc w:val="both"/>
                              <w:rPr>
                                <w:rFonts w:cstheme="minorHAnsi"/>
                              </w:rPr>
                            </w:pPr>
                            <w:r w:rsidRPr="003730E0">
                              <w:rPr>
                                <w:rFonts w:cstheme="minorHAnsi"/>
                              </w:rPr>
                              <w:t>“Sex” and/or “gender” were defined in only 4 of the documents.</w:t>
                            </w:r>
                          </w:p>
                          <w:p w14:paraId="756A07F3" w14:textId="68F83A55" w:rsidR="009A0F85" w:rsidRPr="003730E0" w:rsidRDefault="009A0F85" w:rsidP="003730E0">
                            <w:pPr>
                              <w:pStyle w:val="ListParagraph"/>
                              <w:numPr>
                                <w:ilvl w:val="0"/>
                                <w:numId w:val="40"/>
                              </w:numPr>
                              <w:spacing w:after="120"/>
                              <w:jc w:val="both"/>
                              <w:rPr>
                                <w:rFonts w:cstheme="minorHAnsi"/>
                              </w:rPr>
                            </w:pPr>
                            <w:r w:rsidRPr="003730E0">
                              <w:rPr>
                                <w:rFonts w:cstheme="minorHAnsi"/>
                              </w:rPr>
                              <w:t>12 of the documents contained none of the terms relating to sex and gender; the terms appeared rarely in most of the remainder.</w:t>
                            </w:r>
                          </w:p>
                          <w:p w14:paraId="614312A3" w14:textId="5ED8010D" w:rsidR="009A0F85" w:rsidRPr="003730E0" w:rsidRDefault="009A0F85" w:rsidP="003730E0">
                            <w:pPr>
                              <w:pStyle w:val="ListParagraph"/>
                              <w:numPr>
                                <w:ilvl w:val="0"/>
                                <w:numId w:val="40"/>
                              </w:numPr>
                              <w:spacing w:after="120"/>
                              <w:jc w:val="both"/>
                              <w:rPr>
                                <w:rFonts w:cstheme="minorHAnsi"/>
                              </w:rPr>
                            </w:pPr>
                            <w:r w:rsidRPr="003730E0">
                              <w:rPr>
                                <w:rFonts w:cstheme="minorHAnsi"/>
                              </w:rPr>
                              <w:t>The term “gender” was used to mean “sex” in 34 of the documents.</w:t>
                            </w:r>
                          </w:p>
                          <w:p w14:paraId="31D6728F" w14:textId="0AF5B6D0" w:rsidR="009A0F85" w:rsidRDefault="009A0F85" w:rsidP="003730E0">
                            <w:pPr>
                              <w:pStyle w:val="ListParagraph"/>
                              <w:numPr>
                                <w:ilvl w:val="0"/>
                                <w:numId w:val="40"/>
                              </w:numPr>
                              <w:spacing w:after="120"/>
                              <w:jc w:val="both"/>
                              <w:rPr>
                                <w:rFonts w:cstheme="minorHAnsi"/>
                              </w:rPr>
                            </w:pPr>
                            <w:r w:rsidRPr="006118AE">
                              <w:rPr>
                                <w:rFonts w:cstheme="minorHAnsi"/>
                              </w:rPr>
                              <w:t>15 guidelines included no sex-related data or information; the remainder presented a wide range of information, from a single statement about prevalence to detailed risk factors, prevalence, treatment, and management.</w:t>
                            </w:r>
                          </w:p>
                          <w:p w14:paraId="3A4FB203" w14:textId="77777777" w:rsidR="009A0F85" w:rsidRDefault="009A0F85" w:rsidP="003730E0">
                            <w:pPr>
                              <w:pStyle w:val="ListParagraph"/>
                              <w:numPr>
                                <w:ilvl w:val="0"/>
                                <w:numId w:val="40"/>
                              </w:numPr>
                              <w:spacing w:after="120"/>
                              <w:jc w:val="both"/>
                              <w:rPr>
                                <w:rFonts w:cstheme="minorHAnsi"/>
                              </w:rPr>
                            </w:pPr>
                            <w:r w:rsidRPr="006118AE">
                              <w:rPr>
                                <w:rFonts w:cstheme="minorHAnsi"/>
                              </w:rPr>
                              <w:t xml:space="preserve">46 guidelines included no considerations of gender. </w:t>
                            </w:r>
                          </w:p>
                          <w:p w14:paraId="79433AE1" w14:textId="40069CD4" w:rsidR="009A0F85" w:rsidRPr="009C4069" w:rsidRDefault="009A0F85" w:rsidP="003730E0">
                            <w:pPr>
                              <w:pStyle w:val="ListParagraph"/>
                              <w:numPr>
                                <w:ilvl w:val="0"/>
                                <w:numId w:val="40"/>
                              </w:numPr>
                              <w:spacing w:after="120"/>
                              <w:jc w:val="both"/>
                              <w:rPr>
                                <w:rFonts w:cstheme="minorHAnsi"/>
                              </w:rPr>
                            </w:pPr>
                            <w:r w:rsidRPr="006118AE">
                              <w:rPr>
                                <w:rFonts w:cstheme="minorHAnsi"/>
                              </w:rPr>
                              <w:t xml:space="preserve">12 </w:t>
                            </w:r>
                            <w:r>
                              <w:rPr>
                                <w:rFonts w:cstheme="minorHAnsi"/>
                              </w:rPr>
                              <w:t>guidelines</w:t>
                            </w:r>
                            <w:r w:rsidRPr="006118AE">
                              <w:rPr>
                                <w:rFonts w:cstheme="minorHAnsi"/>
                              </w:rPr>
                              <w:t xml:space="preserve"> </w:t>
                            </w:r>
                            <w:r>
                              <w:rPr>
                                <w:rFonts w:cstheme="minorHAnsi"/>
                              </w:rPr>
                              <w:t>included</w:t>
                            </w:r>
                            <w:r w:rsidRPr="006118AE">
                              <w:rPr>
                                <w:rFonts w:cstheme="minorHAnsi"/>
                              </w:rPr>
                              <w:t xml:space="preserve"> gender</w:t>
                            </w:r>
                            <w:r>
                              <w:rPr>
                                <w:rFonts w:cstheme="minorHAnsi"/>
                              </w:rPr>
                              <w:t>-aware text:</w:t>
                            </w:r>
                            <w:r w:rsidRPr="006118AE">
                              <w:rPr>
                                <w:rFonts w:cstheme="minorHAnsi"/>
                              </w:rPr>
                              <w:t xml:space="preserve"> </w:t>
                            </w:r>
                            <w:r>
                              <w:rPr>
                                <w:rFonts w:cstheme="minorHAnsi"/>
                              </w:rPr>
                              <w:t>reference to</w:t>
                            </w:r>
                            <w:r w:rsidRPr="006118AE">
                              <w:rPr>
                                <w:rFonts w:cstheme="minorHAnsi"/>
                              </w:rPr>
                              <w:t xml:space="preserve"> topics such as gender inequality, transgender, and intersectionality. The </w:t>
                            </w:r>
                            <w:r>
                              <w:rPr>
                                <w:rFonts w:cstheme="minorHAnsi"/>
                              </w:rPr>
                              <w:t>remaining 22</w:t>
                            </w:r>
                            <w:r w:rsidRPr="006118AE">
                              <w:rPr>
                                <w:rFonts w:cstheme="minorHAnsi"/>
                              </w:rPr>
                              <w:t xml:space="preserve"> mentioned “psychosocial” or “cultural” considerations that could potentially relate to gender.</w:t>
                            </w:r>
                          </w:p>
                          <w:p w14:paraId="556FE141" w14:textId="77777777" w:rsidR="009A0F85" w:rsidRPr="003730E0" w:rsidRDefault="009A0F85" w:rsidP="003730E0">
                            <w:pPr>
                              <w:pStyle w:val="ListParagraph"/>
                              <w:numPr>
                                <w:ilvl w:val="0"/>
                                <w:numId w:val="40"/>
                              </w:numPr>
                              <w:spacing w:after="120"/>
                              <w:jc w:val="both"/>
                              <w:rPr>
                                <w:rFonts w:cstheme="minorHAnsi"/>
                              </w:rPr>
                            </w:pPr>
                            <w:r w:rsidRPr="003730E0">
                              <w:rPr>
                                <w:rFonts w:cstheme="minorHAnsi"/>
                              </w:rPr>
                              <w:t>Guidelines drew on heterogeneous research, some of which provided no sex-disaggregated data while other research yielded evidence that can inform sex-related clinical practice.</w:t>
                            </w:r>
                          </w:p>
                          <w:p w14:paraId="5184DA83" w14:textId="77777777" w:rsidR="003730E0" w:rsidRDefault="009A0F85" w:rsidP="003730E0">
                            <w:pPr>
                              <w:pStyle w:val="ListParagraph"/>
                              <w:numPr>
                                <w:ilvl w:val="0"/>
                                <w:numId w:val="40"/>
                              </w:numPr>
                              <w:spacing w:after="120"/>
                              <w:jc w:val="both"/>
                              <w:rPr>
                                <w:rFonts w:cstheme="minorHAnsi"/>
                              </w:rPr>
                            </w:pPr>
                            <w:r w:rsidRPr="003730E0">
                              <w:rPr>
                                <w:rFonts w:cstheme="minorHAnsi"/>
                              </w:rPr>
                              <w:t>The unsatisfactory consideration of sex and gender in guidelines can be attributed to the following:</w:t>
                            </w:r>
                          </w:p>
                          <w:p w14:paraId="6235A593" w14:textId="77777777" w:rsidR="003730E0" w:rsidRPr="003730E0" w:rsidRDefault="009A0F85" w:rsidP="003730E0">
                            <w:pPr>
                              <w:pStyle w:val="ListParagraph"/>
                              <w:numPr>
                                <w:ilvl w:val="1"/>
                                <w:numId w:val="40"/>
                              </w:numPr>
                              <w:spacing w:after="120"/>
                              <w:jc w:val="both"/>
                              <w:rPr>
                                <w:rFonts w:cstheme="minorHAnsi"/>
                              </w:rPr>
                            </w:pPr>
                            <w:r w:rsidRPr="005A643F">
                              <w:t xml:space="preserve">Guidelines include </w:t>
                            </w:r>
                            <w:r>
                              <w:t>only existing work.</w:t>
                            </w:r>
                          </w:p>
                          <w:p w14:paraId="19B6889F" w14:textId="77777777" w:rsidR="003730E0" w:rsidRPr="003730E0" w:rsidRDefault="009A0F85" w:rsidP="003730E0">
                            <w:pPr>
                              <w:pStyle w:val="ListParagraph"/>
                              <w:numPr>
                                <w:ilvl w:val="1"/>
                                <w:numId w:val="40"/>
                              </w:numPr>
                              <w:spacing w:after="120"/>
                              <w:jc w:val="both"/>
                              <w:rPr>
                                <w:rFonts w:cstheme="minorHAnsi"/>
                              </w:rPr>
                            </w:pPr>
                            <w:r w:rsidRPr="00280550">
                              <w:t>There is limited</w:t>
                            </w:r>
                            <w:r w:rsidRPr="007A1803">
                              <w:t xml:space="preserve"> research on sex and gender differences in medicine.</w:t>
                            </w:r>
                          </w:p>
                          <w:p w14:paraId="554F0359" w14:textId="77777777" w:rsidR="003730E0" w:rsidRPr="003730E0" w:rsidRDefault="009A0F85" w:rsidP="003730E0">
                            <w:pPr>
                              <w:pStyle w:val="ListParagraph"/>
                              <w:numPr>
                                <w:ilvl w:val="1"/>
                                <w:numId w:val="40"/>
                              </w:numPr>
                              <w:spacing w:after="120"/>
                              <w:jc w:val="both"/>
                              <w:rPr>
                                <w:rFonts w:cstheme="minorHAnsi"/>
                              </w:rPr>
                            </w:pPr>
                            <w:r w:rsidRPr="007A1803">
                              <w:t>Few publications present management decisions for patients based on sex or gender.</w:t>
                            </w:r>
                          </w:p>
                          <w:p w14:paraId="2239D5B7" w14:textId="08A24C1F" w:rsidR="009A0F85" w:rsidRPr="003730E0" w:rsidRDefault="009A0F85" w:rsidP="003730E0">
                            <w:pPr>
                              <w:pStyle w:val="ListParagraph"/>
                              <w:numPr>
                                <w:ilvl w:val="1"/>
                                <w:numId w:val="40"/>
                              </w:numPr>
                              <w:spacing w:after="120"/>
                              <w:jc w:val="both"/>
                              <w:rPr>
                                <w:rFonts w:cstheme="minorHAnsi"/>
                              </w:rPr>
                            </w:pPr>
                            <w:r w:rsidRPr="007A1803">
                              <w:t>Current guideline development instruments such as AGREE II and GRADE do not provide instruction</w:t>
                            </w:r>
                            <w:r>
                              <w:t>s</w:t>
                            </w:r>
                            <w:r w:rsidRPr="007A1803">
                              <w:t xml:space="preserve"> for synthesising sex and gender evidence. </w:t>
                            </w:r>
                          </w:p>
                          <w:p w14:paraId="1FC896D6" w14:textId="77777777" w:rsidR="009A0F85" w:rsidRPr="007A1BD8" w:rsidRDefault="009A0F85" w:rsidP="00877C53">
                            <w:pPr>
                              <w:jc w:val="both"/>
                              <w:rPr>
                                <w:b/>
                                <w:bCs/>
                                <w:color w:val="4C2863"/>
                              </w:rPr>
                            </w:pPr>
                            <w:r w:rsidRPr="007A1BD8">
                              <w:rPr>
                                <w:b/>
                                <w:bCs/>
                                <w:color w:val="4C2863"/>
                              </w:rPr>
                              <w:t>Medical devices:</w:t>
                            </w:r>
                          </w:p>
                          <w:p w14:paraId="6D4F62E9" w14:textId="77777777" w:rsidR="009A0F85" w:rsidRPr="00280550" w:rsidRDefault="009A0F85" w:rsidP="00C26251">
                            <w:pPr>
                              <w:pStyle w:val="ListParagraph"/>
                              <w:numPr>
                                <w:ilvl w:val="0"/>
                                <w:numId w:val="19"/>
                              </w:numPr>
                              <w:jc w:val="both"/>
                              <w:rPr>
                                <w:u w:val="single"/>
                              </w:rPr>
                            </w:pPr>
                            <w:r>
                              <w:t xml:space="preserve">The question of whether there are any </w:t>
                            </w:r>
                            <w:r w:rsidRPr="004974BC">
                              <w:t>medical</w:t>
                            </w:r>
                            <w:r w:rsidRPr="004974BC">
                              <w:rPr>
                                <w:spacing w:val="-3"/>
                              </w:rPr>
                              <w:t xml:space="preserve"> </w:t>
                            </w:r>
                            <w:r w:rsidRPr="004974BC">
                              <w:t>treatments,</w:t>
                            </w:r>
                            <w:r w:rsidRPr="004974BC">
                              <w:rPr>
                                <w:spacing w:val="-3"/>
                              </w:rPr>
                              <w:t xml:space="preserve"> </w:t>
                            </w:r>
                            <w:r w:rsidRPr="004974BC">
                              <w:t>medical</w:t>
                            </w:r>
                            <w:r w:rsidRPr="004974BC">
                              <w:rPr>
                                <w:spacing w:val="-3"/>
                              </w:rPr>
                              <w:t xml:space="preserve"> </w:t>
                            </w:r>
                            <w:r w:rsidRPr="004974BC">
                              <w:t>devices</w:t>
                            </w:r>
                            <w:r w:rsidRPr="004974BC">
                              <w:rPr>
                                <w:spacing w:val="-3"/>
                              </w:rPr>
                              <w:t xml:space="preserve"> </w:t>
                            </w:r>
                            <w:r w:rsidRPr="004974BC">
                              <w:t>and</w:t>
                            </w:r>
                            <w:r w:rsidRPr="004974BC">
                              <w:rPr>
                                <w:spacing w:val="-3"/>
                              </w:rPr>
                              <w:t xml:space="preserve"> </w:t>
                            </w:r>
                            <w:r w:rsidRPr="004974BC">
                              <w:t>diagnostic</w:t>
                            </w:r>
                            <w:r w:rsidRPr="004974BC">
                              <w:rPr>
                                <w:spacing w:val="-3"/>
                              </w:rPr>
                              <w:t xml:space="preserve"> </w:t>
                            </w:r>
                            <w:r w:rsidRPr="004974BC">
                              <w:t>tools</w:t>
                            </w:r>
                            <w:r w:rsidRPr="004974BC">
                              <w:rPr>
                                <w:spacing w:val="-3"/>
                              </w:rPr>
                              <w:t xml:space="preserve"> </w:t>
                            </w:r>
                            <w:r w:rsidRPr="004974BC">
                              <w:t xml:space="preserve">that do not </w:t>
                            </w:r>
                            <w:proofErr w:type="gramStart"/>
                            <w:r w:rsidRPr="004974BC">
                              <w:t>take into account</w:t>
                            </w:r>
                            <w:proofErr w:type="gramEnd"/>
                            <w:r w:rsidRPr="004974BC">
                              <w:t xml:space="preserve"> sex and gender differences</w:t>
                            </w:r>
                            <w:r>
                              <w:t xml:space="preserve"> can be answered by indicating the single relevant paper located that did take sex into account.</w:t>
                            </w:r>
                            <w:r w:rsidRPr="00280550">
                              <w:t xml:space="preserve"> </w:t>
                            </w:r>
                            <w:r>
                              <w:t>This reported sex</w:t>
                            </w:r>
                            <w:r w:rsidRPr="00280550">
                              <w:t xml:space="preserve"> differences </w:t>
                            </w:r>
                            <w:r>
                              <w:t>in the</w:t>
                            </w:r>
                            <w:r w:rsidRPr="00280550">
                              <w:t xml:space="preserve"> use</w:t>
                            </w:r>
                            <w:r>
                              <w:t xml:space="preserve"> of</w:t>
                            </w:r>
                            <w:r w:rsidRPr="00280550">
                              <w:t xml:space="preserve"> implantable cardioverter defibrillators (ICD) in New Zealand, </w:t>
                            </w:r>
                            <w:r>
                              <w:t>where</w:t>
                            </w:r>
                            <w:r w:rsidRPr="00280550">
                              <w:t xml:space="preserve"> women </w:t>
                            </w:r>
                            <w:r>
                              <w:t xml:space="preserve">were much less likely than men to have the procedure and </w:t>
                            </w:r>
                            <w:r w:rsidRPr="00280550">
                              <w:t>had higher prevalence of non-ischaemic cardiomyopathy and higher periprocedural complication rates than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A998F" id="Text Box 6" o:spid="_x0000_s1049" type="#_x0000_t202" alt="&quot;&quot;" style="position:absolute;margin-left:-.6pt;margin-top:.65pt;width:445.8pt;height:5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" fillcolor="white [3201]" strokecolor="#4c2863" strokeweight="4.5pt">
                <v:stroke opacity="6682f"/>
                <v:textbox>
                  <w:txbxContent>
                    <w:p w14:paraId="1198A490" w14:textId="77777777" w:rsidR="009A0F85" w:rsidRPr="007A1BD8" w:rsidRDefault="009A0F85">
                      <w:pPr>
                        <w:rPr>
                          <w:b/>
                          <w:color w:val="4C2863"/>
                          <w:sz w:val="24"/>
                          <w:szCs w:val="24"/>
                        </w:rPr>
                      </w:pPr>
                      <w:r w:rsidRPr="007A1BD8">
                        <w:rPr>
                          <w:b/>
                          <w:color w:val="4C2863"/>
                          <w:sz w:val="24"/>
                          <w:szCs w:val="24"/>
                        </w:rPr>
                        <w:t>Key Findings:</w:t>
                      </w:r>
                    </w:p>
                    <w:p w14:paraId="27EDF1F8" w14:textId="77777777" w:rsidR="009A0F85" w:rsidRPr="007A1BD8" w:rsidRDefault="009A0F85">
                      <w:pPr>
                        <w:rPr>
                          <w:b/>
                          <w:bCs/>
                          <w:color w:val="4C2863"/>
                        </w:rPr>
                      </w:pPr>
                      <w:r w:rsidRPr="007A1BD8">
                        <w:rPr>
                          <w:b/>
                          <w:bCs/>
                          <w:color w:val="4C2863"/>
                        </w:rPr>
                        <w:t>Guidelines</w:t>
                      </w:r>
                    </w:p>
                    <w:p w14:paraId="6E687FC6" w14:textId="07359054" w:rsidR="009A0F85" w:rsidRPr="003730E0" w:rsidRDefault="009A0F85" w:rsidP="003730E0">
                      <w:pPr>
                        <w:pStyle w:val="ListParagraph"/>
                        <w:numPr>
                          <w:ilvl w:val="0"/>
                          <w:numId w:val="40"/>
                        </w:numPr>
                        <w:spacing w:after="120"/>
                        <w:jc w:val="both"/>
                        <w:rPr>
                          <w:rFonts w:cstheme="minorHAnsi"/>
                        </w:rPr>
                      </w:pPr>
                      <w:r w:rsidRPr="003730E0">
                        <w:rPr>
                          <w:rFonts w:cstheme="minorHAnsi"/>
                        </w:rPr>
                        <w:t>The 80 Australian clinical guidelines extracted were designed for 27 areas of practice, such as Aboriginal health, general practice, oncology, and psychiatry.</w:t>
                      </w:r>
                    </w:p>
                    <w:p w14:paraId="39FAB01D" w14:textId="6C1B3A36" w:rsidR="009A0F85" w:rsidRPr="003730E0" w:rsidRDefault="009A0F85" w:rsidP="003730E0">
                      <w:pPr>
                        <w:pStyle w:val="ListParagraph"/>
                        <w:numPr>
                          <w:ilvl w:val="0"/>
                          <w:numId w:val="40"/>
                        </w:numPr>
                        <w:spacing w:after="120"/>
                        <w:jc w:val="both"/>
                        <w:rPr>
                          <w:rFonts w:cstheme="minorHAnsi"/>
                        </w:rPr>
                      </w:pPr>
                      <w:r w:rsidRPr="003730E0">
                        <w:rPr>
                          <w:rFonts w:cstheme="minorHAnsi"/>
                        </w:rPr>
                        <w:t>“Sex” and/or “gender” were defined in only 4 of the documents.</w:t>
                      </w:r>
                    </w:p>
                    <w:p w14:paraId="756A07F3" w14:textId="68F83A55" w:rsidR="009A0F85" w:rsidRPr="003730E0" w:rsidRDefault="009A0F85" w:rsidP="003730E0">
                      <w:pPr>
                        <w:pStyle w:val="ListParagraph"/>
                        <w:numPr>
                          <w:ilvl w:val="0"/>
                          <w:numId w:val="40"/>
                        </w:numPr>
                        <w:spacing w:after="120"/>
                        <w:jc w:val="both"/>
                        <w:rPr>
                          <w:rFonts w:cstheme="minorHAnsi"/>
                        </w:rPr>
                      </w:pPr>
                      <w:r w:rsidRPr="003730E0">
                        <w:rPr>
                          <w:rFonts w:cstheme="minorHAnsi"/>
                        </w:rPr>
                        <w:t>12 of the documents contained none of the terms relating to sex and gender; the terms appeared rarely in most of the remainder.</w:t>
                      </w:r>
                    </w:p>
                    <w:p w14:paraId="614312A3" w14:textId="5ED8010D" w:rsidR="009A0F85" w:rsidRPr="003730E0" w:rsidRDefault="009A0F85" w:rsidP="003730E0">
                      <w:pPr>
                        <w:pStyle w:val="ListParagraph"/>
                        <w:numPr>
                          <w:ilvl w:val="0"/>
                          <w:numId w:val="40"/>
                        </w:numPr>
                        <w:spacing w:after="120"/>
                        <w:jc w:val="both"/>
                        <w:rPr>
                          <w:rFonts w:cstheme="minorHAnsi"/>
                        </w:rPr>
                      </w:pPr>
                      <w:r w:rsidRPr="003730E0">
                        <w:rPr>
                          <w:rFonts w:cstheme="minorHAnsi"/>
                        </w:rPr>
                        <w:t>The term “gender” was used to mean “sex” in 34 of the documents.</w:t>
                      </w:r>
                    </w:p>
                    <w:p w14:paraId="31D6728F" w14:textId="0AF5B6D0" w:rsidR="009A0F85" w:rsidRDefault="009A0F85" w:rsidP="003730E0">
                      <w:pPr>
                        <w:pStyle w:val="ListParagraph"/>
                        <w:numPr>
                          <w:ilvl w:val="0"/>
                          <w:numId w:val="40"/>
                        </w:numPr>
                        <w:spacing w:after="120"/>
                        <w:jc w:val="both"/>
                        <w:rPr>
                          <w:rFonts w:cstheme="minorHAnsi"/>
                        </w:rPr>
                      </w:pPr>
                      <w:r w:rsidRPr="006118AE">
                        <w:rPr>
                          <w:rFonts w:cstheme="minorHAnsi"/>
                        </w:rPr>
                        <w:t>15 guidelines included no sex-related data or information; the remainder presented a wide range of information, from a single statement about prevalence to detailed risk factors, prevalence, treatment, and management.</w:t>
                      </w:r>
                    </w:p>
                    <w:p w14:paraId="3A4FB203" w14:textId="77777777" w:rsidR="009A0F85" w:rsidRDefault="009A0F85" w:rsidP="003730E0">
                      <w:pPr>
                        <w:pStyle w:val="ListParagraph"/>
                        <w:numPr>
                          <w:ilvl w:val="0"/>
                          <w:numId w:val="40"/>
                        </w:numPr>
                        <w:spacing w:after="120"/>
                        <w:jc w:val="both"/>
                        <w:rPr>
                          <w:rFonts w:cstheme="minorHAnsi"/>
                        </w:rPr>
                      </w:pPr>
                      <w:r w:rsidRPr="006118AE">
                        <w:rPr>
                          <w:rFonts w:cstheme="minorHAnsi"/>
                        </w:rPr>
                        <w:t xml:space="preserve">46 guidelines included no considerations of gender. </w:t>
                      </w:r>
                    </w:p>
                    <w:p w14:paraId="79433AE1" w14:textId="40069CD4" w:rsidR="009A0F85" w:rsidRPr="009C4069" w:rsidRDefault="009A0F85" w:rsidP="003730E0">
                      <w:pPr>
                        <w:pStyle w:val="ListParagraph"/>
                        <w:numPr>
                          <w:ilvl w:val="0"/>
                          <w:numId w:val="40"/>
                        </w:numPr>
                        <w:spacing w:after="120"/>
                        <w:jc w:val="both"/>
                        <w:rPr>
                          <w:rFonts w:cstheme="minorHAnsi"/>
                        </w:rPr>
                      </w:pPr>
                      <w:r w:rsidRPr="006118AE">
                        <w:rPr>
                          <w:rFonts w:cstheme="minorHAnsi"/>
                        </w:rPr>
                        <w:t xml:space="preserve">12 </w:t>
                      </w:r>
                      <w:r>
                        <w:rPr>
                          <w:rFonts w:cstheme="minorHAnsi"/>
                        </w:rPr>
                        <w:t>guidelines</w:t>
                      </w:r>
                      <w:r w:rsidRPr="006118AE">
                        <w:rPr>
                          <w:rFonts w:cstheme="minorHAnsi"/>
                        </w:rPr>
                        <w:t xml:space="preserve"> </w:t>
                      </w:r>
                      <w:r>
                        <w:rPr>
                          <w:rFonts w:cstheme="minorHAnsi"/>
                        </w:rPr>
                        <w:t>included</w:t>
                      </w:r>
                      <w:r w:rsidRPr="006118AE">
                        <w:rPr>
                          <w:rFonts w:cstheme="minorHAnsi"/>
                        </w:rPr>
                        <w:t xml:space="preserve"> gender</w:t>
                      </w:r>
                      <w:r>
                        <w:rPr>
                          <w:rFonts w:cstheme="minorHAnsi"/>
                        </w:rPr>
                        <w:t>-aware text:</w:t>
                      </w:r>
                      <w:r w:rsidRPr="006118AE">
                        <w:rPr>
                          <w:rFonts w:cstheme="minorHAnsi"/>
                        </w:rPr>
                        <w:t xml:space="preserve"> </w:t>
                      </w:r>
                      <w:r>
                        <w:rPr>
                          <w:rFonts w:cstheme="minorHAnsi"/>
                        </w:rPr>
                        <w:t>reference to</w:t>
                      </w:r>
                      <w:r w:rsidRPr="006118AE">
                        <w:rPr>
                          <w:rFonts w:cstheme="minorHAnsi"/>
                        </w:rPr>
                        <w:t xml:space="preserve"> topics such as gender inequality, transgender, and intersectionality. The </w:t>
                      </w:r>
                      <w:r>
                        <w:rPr>
                          <w:rFonts w:cstheme="minorHAnsi"/>
                        </w:rPr>
                        <w:t>remaining 22</w:t>
                      </w:r>
                      <w:r w:rsidRPr="006118AE">
                        <w:rPr>
                          <w:rFonts w:cstheme="minorHAnsi"/>
                        </w:rPr>
                        <w:t xml:space="preserve"> mentioned “psychosocial” or “cultural” considerations that could potentially relate to gender.</w:t>
                      </w:r>
                    </w:p>
                    <w:p w14:paraId="556FE141" w14:textId="77777777" w:rsidR="009A0F85" w:rsidRPr="003730E0" w:rsidRDefault="009A0F85" w:rsidP="003730E0">
                      <w:pPr>
                        <w:pStyle w:val="ListParagraph"/>
                        <w:numPr>
                          <w:ilvl w:val="0"/>
                          <w:numId w:val="40"/>
                        </w:numPr>
                        <w:spacing w:after="120"/>
                        <w:jc w:val="both"/>
                        <w:rPr>
                          <w:rFonts w:cstheme="minorHAnsi"/>
                        </w:rPr>
                      </w:pPr>
                      <w:r w:rsidRPr="003730E0">
                        <w:rPr>
                          <w:rFonts w:cstheme="minorHAnsi"/>
                        </w:rPr>
                        <w:t>Guidelines drew on heterogeneous research, some of which provided no sex-disaggregated data while other research yielded evidence that can inform sex-related clinical practice.</w:t>
                      </w:r>
                    </w:p>
                    <w:p w14:paraId="5184DA83" w14:textId="77777777" w:rsidR="003730E0" w:rsidRDefault="009A0F85" w:rsidP="003730E0">
                      <w:pPr>
                        <w:pStyle w:val="ListParagraph"/>
                        <w:numPr>
                          <w:ilvl w:val="0"/>
                          <w:numId w:val="40"/>
                        </w:numPr>
                        <w:spacing w:after="120"/>
                        <w:jc w:val="both"/>
                        <w:rPr>
                          <w:rFonts w:cstheme="minorHAnsi"/>
                        </w:rPr>
                      </w:pPr>
                      <w:r w:rsidRPr="003730E0">
                        <w:rPr>
                          <w:rFonts w:cstheme="minorHAnsi"/>
                        </w:rPr>
                        <w:t>The unsatisfactory consideration of sex and gender in guidelines can be attributed to the following:</w:t>
                      </w:r>
                    </w:p>
                    <w:p w14:paraId="6235A593" w14:textId="77777777" w:rsidR="003730E0" w:rsidRPr="003730E0" w:rsidRDefault="009A0F85" w:rsidP="003730E0">
                      <w:pPr>
                        <w:pStyle w:val="ListParagraph"/>
                        <w:numPr>
                          <w:ilvl w:val="1"/>
                          <w:numId w:val="40"/>
                        </w:numPr>
                        <w:spacing w:after="120"/>
                        <w:jc w:val="both"/>
                        <w:rPr>
                          <w:rFonts w:cstheme="minorHAnsi"/>
                        </w:rPr>
                      </w:pPr>
                      <w:r w:rsidRPr="005A643F">
                        <w:t xml:space="preserve">Guidelines include </w:t>
                      </w:r>
                      <w:r>
                        <w:t>only existing work.</w:t>
                      </w:r>
                    </w:p>
                    <w:p w14:paraId="19B6889F" w14:textId="77777777" w:rsidR="003730E0" w:rsidRPr="003730E0" w:rsidRDefault="009A0F85" w:rsidP="003730E0">
                      <w:pPr>
                        <w:pStyle w:val="ListParagraph"/>
                        <w:numPr>
                          <w:ilvl w:val="1"/>
                          <w:numId w:val="40"/>
                        </w:numPr>
                        <w:spacing w:after="120"/>
                        <w:jc w:val="both"/>
                        <w:rPr>
                          <w:rFonts w:cstheme="minorHAnsi"/>
                        </w:rPr>
                      </w:pPr>
                      <w:r w:rsidRPr="00280550">
                        <w:t>There is limited</w:t>
                      </w:r>
                      <w:r w:rsidRPr="007A1803">
                        <w:t xml:space="preserve"> research on sex and gender differences in medicine.</w:t>
                      </w:r>
                    </w:p>
                    <w:p w14:paraId="554F0359" w14:textId="77777777" w:rsidR="003730E0" w:rsidRPr="003730E0" w:rsidRDefault="009A0F85" w:rsidP="003730E0">
                      <w:pPr>
                        <w:pStyle w:val="ListParagraph"/>
                        <w:numPr>
                          <w:ilvl w:val="1"/>
                          <w:numId w:val="40"/>
                        </w:numPr>
                        <w:spacing w:after="120"/>
                        <w:jc w:val="both"/>
                        <w:rPr>
                          <w:rFonts w:cstheme="minorHAnsi"/>
                        </w:rPr>
                      </w:pPr>
                      <w:r w:rsidRPr="007A1803">
                        <w:t>Few publications present management decisions for patients based on sex or gender.</w:t>
                      </w:r>
                    </w:p>
                    <w:p w14:paraId="2239D5B7" w14:textId="08A24C1F" w:rsidR="009A0F85" w:rsidRPr="003730E0" w:rsidRDefault="009A0F85" w:rsidP="003730E0">
                      <w:pPr>
                        <w:pStyle w:val="ListParagraph"/>
                        <w:numPr>
                          <w:ilvl w:val="1"/>
                          <w:numId w:val="40"/>
                        </w:numPr>
                        <w:spacing w:after="120"/>
                        <w:jc w:val="both"/>
                        <w:rPr>
                          <w:rFonts w:cstheme="minorHAnsi"/>
                        </w:rPr>
                      </w:pPr>
                      <w:r w:rsidRPr="007A1803">
                        <w:t>Current guideline development instruments such as AGREE II and GRADE do not provide instruction</w:t>
                      </w:r>
                      <w:r>
                        <w:t>s</w:t>
                      </w:r>
                      <w:r w:rsidRPr="007A1803">
                        <w:t xml:space="preserve"> for synthesising sex and gender evidence. </w:t>
                      </w:r>
                    </w:p>
                    <w:p w14:paraId="1FC896D6" w14:textId="77777777" w:rsidR="009A0F85" w:rsidRPr="007A1BD8" w:rsidRDefault="009A0F85" w:rsidP="00877C53">
                      <w:pPr>
                        <w:jc w:val="both"/>
                        <w:rPr>
                          <w:b/>
                          <w:bCs/>
                          <w:color w:val="4C2863"/>
                        </w:rPr>
                      </w:pPr>
                      <w:r w:rsidRPr="007A1BD8">
                        <w:rPr>
                          <w:b/>
                          <w:bCs/>
                          <w:color w:val="4C2863"/>
                        </w:rPr>
                        <w:t>Medical devices:</w:t>
                      </w:r>
                    </w:p>
                    <w:p w14:paraId="6D4F62E9" w14:textId="77777777" w:rsidR="009A0F85" w:rsidRPr="00280550" w:rsidRDefault="009A0F85" w:rsidP="00C26251">
                      <w:pPr>
                        <w:pStyle w:val="ListParagraph"/>
                        <w:numPr>
                          <w:ilvl w:val="0"/>
                          <w:numId w:val="19"/>
                        </w:numPr>
                        <w:jc w:val="both"/>
                        <w:rPr>
                          <w:u w:val="single"/>
                        </w:rPr>
                      </w:pPr>
                      <w:r>
                        <w:t xml:space="preserve">The question of whether there are any </w:t>
                      </w:r>
                      <w:r w:rsidRPr="004974BC">
                        <w:t>medical</w:t>
                      </w:r>
                      <w:r w:rsidRPr="004974BC">
                        <w:rPr>
                          <w:spacing w:val="-3"/>
                        </w:rPr>
                        <w:t xml:space="preserve"> </w:t>
                      </w:r>
                      <w:r w:rsidRPr="004974BC">
                        <w:t>treatments,</w:t>
                      </w:r>
                      <w:r w:rsidRPr="004974BC">
                        <w:rPr>
                          <w:spacing w:val="-3"/>
                        </w:rPr>
                        <w:t xml:space="preserve"> </w:t>
                      </w:r>
                      <w:r w:rsidRPr="004974BC">
                        <w:t>medical</w:t>
                      </w:r>
                      <w:r w:rsidRPr="004974BC">
                        <w:rPr>
                          <w:spacing w:val="-3"/>
                        </w:rPr>
                        <w:t xml:space="preserve"> </w:t>
                      </w:r>
                      <w:r w:rsidRPr="004974BC">
                        <w:t>devices</w:t>
                      </w:r>
                      <w:r w:rsidRPr="004974BC">
                        <w:rPr>
                          <w:spacing w:val="-3"/>
                        </w:rPr>
                        <w:t xml:space="preserve"> </w:t>
                      </w:r>
                      <w:r w:rsidRPr="004974BC">
                        <w:t>and</w:t>
                      </w:r>
                      <w:r w:rsidRPr="004974BC">
                        <w:rPr>
                          <w:spacing w:val="-3"/>
                        </w:rPr>
                        <w:t xml:space="preserve"> </w:t>
                      </w:r>
                      <w:r w:rsidRPr="004974BC">
                        <w:t>diagnostic</w:t>
                      </w:r>
                      <w:r w:rsidRPr="004974BC">
                        <w:rPr>
                          <w:spacing w:val="-3"/>
                        </w:rPr>
                        <w:t xml:space="preserve"> </w:t>
                      </w:r>
                      <w:r w:rsidRPr="004974BC">
                        <w:t>tools</w:t>
                      </w:r>
                      <w:r w:rsidRPr="004974BC">
                        <w:rPr>
                          <w:spacing w:val="-3"/>
                        </w:rPr>
                        <w:t xml:space="preserve"> </w:t>
                      </w:r>
                      <w:r w:rsidRPr="004974BC">
                        <w:t xml:space="preserve">that do not </w:t>
                      </w:r>
                      <w:proofErr w:type="gramStart"/>
                      <w:r w:rsidRPr="004974BC">
                        <w:t>take into account</w:t>
                      </w:r>
                      <w:proofErr w:type="gramEnd"/>
                      <w:r w:rsidRPr="004974BC">
                        <w:t xml:space="preserve"> sex and gender differences</w:t>
                      </w:r>
                      <w:r>
                        <w:t xml:space="preserve"> can be answered by indicating the single relevant paper located that did take sex into account.</w:t>
                      </w:r>
                      <w:r w:rsidRPr="00280550">
                        <w:t xml:space="preserve"> </w:t>
                      </w:r>
                      <w:r>
                        <w:t>This reported sex</w:t>
                      </w:r>
                      <w:r w:rsidRPr="00280550">
                        <w:t xml:space="preserve"> differences </w:t>
                      </w:r>
                      <w:r>
                        <w:t>in the</w:t>
                      </w:r>
                      <w:r w:rsidRPr="00280550">
                        <w:t xml:space="preserve"> use</w:t>
                      </w:r>
                      <w:r>
                        <w:t xml:space="preserve"> of</w:t>
                      </w:r>
                      <w:r w:rsidRPr="00280550">
                        <w:t xml:space="preserve"> implantable cardioverter defibrillators (ICD) in New Zealand, </w:t>
                      </w:r>
                      <w:r>
                        <w:t>where</w:t>
                      </w:r>
                      <w:r w:rsidRPr="00280550">
                        <w:t xml:space="preserve"> women </w:t>
                      </w:r>
                      <w:r>
                        <w:t xml:space="preserve">were much less likely than men to have the procedure and </w:t>
                      </w:r>
                      <w:r w:rsidRPr="00280550">
                        <w:t>had higher prevalence of non-ischaemic cardiomyopathy and higher periprocedural complication rates than men.</w:t>
                      </w:r>
                    </w:p>
                  </w:txbxContent>
                </v:textbox>
              </v:shape>
            </w:pict>
          </mc:Fallback>
        </mc:AlternateContent>
      </w:r>
    </w:p>
    <w:p w14:paraId="590756D7" w14:textId="77777777" w:rsidR="00EB2B55" w:rsidRPr="00672DBE" w:rsidRDefault="00EB2B55" w:rsidP="003414BB"/>
    <w:p w14:paraId="099B69F3" w14:textId="77777777" w:rsidR="00EB2B55" w:rsidRPr="00672DBE" w:rsidRDefault="00EB2B55" w:rsidP="003414BB"/>
    <w:p w14:paraId="2A3C3BB6" w14:textId="77777777" w:rsidR="00EB2B55" w:rsidRPr="00672DBE" w:rsidRDefault="00EB2B55" w:rsidP="003414BB"/>
    <w:p w14:paraId="63CB83F1" w14:textId="77777777" w:rsidR="00EB2B55" w:rsidRPr="00672DBE" w:rsidRDefault="00EB2B55" w:rsidP="003414BB"/>
    <w:p w14:paraId="119191B1" w14:textId="77777777" w:rsidR="00EB2B55" w:rsidRPr="00672DBE" w:rsidRDefault="00EB2B55" w:rsidP="003414BB"/>
    <w:p w14:paraId="188EDE50" w14:textId="77777777" w:rsidR="00EB2B55" w:rsidRPr="00672DBE" w:rsidRDefault="00EB2B55" w:rsidP="003414BB"/>
    <w:p w14:paraId="3BF36094" w14:textId="77777777" w:rsidR="00EB2B55" w:rsidRPr="00672DBE" w:rsidRDefault="00EB2B55" w:rsidP="003414BB"/>
    <w:p w14:paraId="02CCEC7B" w14:textId="77777777" w:rsidR="00EB2B55" w:rsidRPr="00672DBE" w:rsidRDefault="00EB2B55" w:rsidP="003414BB"/>
    <w:p w14:paraId="0A98CE94" w14:textId="77777777" w:rsidR="00EB2B55" w:rsidRPr="00672DBE" w:rsidRDefault="00EB2B55" w:rsidP="003414BB"/>
    <w:p w14:paraId="2339B778" w14:textId="77777777" w:rsidR="00EB2B55" w:rsidRPr="00672DBE" w:rsidRDefault="00EB2B55" w:rsidP="003414BB"/>
    <w:p w14:paraId="78404DCC" w14:textId="77777777" w:rsidR="00EB2B55" w:rsidRPr="00672DBE" w:rsidRDefault="00EB2B55" w:rsidP="003414BB"/>
    <w:p w14:paraId="55F58C8C" w14:textId="77777777" w:rsidR="00EB2B55" w:rsidRPr="00672DBE" w:rsidRDefault="00EB2B55" w:rsidP="003414BB"/>
    <w:p w14:paraId="481DBBA3" w14:textId="77777777" w:rsidR="00EB2B55" w:rsidRPr="00672DBE" w:rsidRDefault="00EB2B55" w:rsidP="003414BB"/>
    <w:p w14:paraId="37B441D2" w14:textId="77777777" w:rsidR="00EB2B55" w:rsidRPr="00672DBE" w:rsidRDefault="00EB2B55" w:rsidP="003414BB"/>
    <w:p w14:paraId="194DD475" w14:textId="77777777" w:rsidR="00EB2B55" w:rsidRPr="00672DBE" w:rsidRDefault="00EB2B55" w:rsidP="003414BB"/>
    <w:p w14:paraId="59DC44B3" w14:textId="77777777" w:rsidR="00EB2B55" w:rsidRPr="00672DBE" w:rsidRDefault="00EB2B55" w:rsidP="003414BB"/>
    <w:p w14:paraId="724469B5" w14:textId="77777777" w:rsidR="00EB2B55" w:rsidRPr="00672DBE" w:rsidRDefault="00EB2B55" w:rsidP="003414BB"/>
    <w:p w14:paraId="4598270F" w14:textId="77777777" w:rsidR="00EB2B55" w:rsidRPr="00672DBE" w:rsidRDefault="00EB2B55" w:rsidP="003414BB"/>
    <w:p w14:paraId="791F5046" w14:textId="77777777" w:rsidR="00EB2B55" w:rsidRPr="00672DBE" w:rsidRDefault="00EB2B55" w:rsidP="003F4381"/>
    <w:p w14:paraId="415787DD" w14:textId="77777777" w:rsidR="00EB2B55" w:rsidRPr="00672DBE" w:rsidRDefault="00EB2B55" w:rsidP="003F4381"/>
    <w:p w14:paraId="5603FBA1" w14:textId="77777777" w:rsidR="00EB2B55" w:rsidRPr="00672DBE" w:rsidRDefault="00EB2B55" w:rsidP="003F4381"/>
    <w:p w14:paraId="71D9413A" w14:textId="77777777" w:rsidR="00EB2B55" w:rsidRPr="00672DBE" w:rsidRDefault="00EB2B55" w:rsidP="003F4381"/>
    <w:p w14:paraId="36A843EF" w14:textId="77777777" w:rsidR="00EB2B55" w:rsidRPr="00672DBE" w:rsidRDefault="00EB2B55" w:rsidP="003F4381"/>
    <w:p w14:paraId="7042F705" w14:textId="77777777" w:rsidR="00EB2B55" w:rsidRPr="00672DBE" w:rsidRDefault="00EB2B55" w:rsidP="003414BB"/>
    <w:p w14:paraId="540B7ACB" w14:textId="77777777" w:rsidR="00EB2B55" w:rsidRPr="00672DBE" w:rsidRDefault="00EB2B55" w:rsidP="003414BB"/>
    <w:p w14:paraId="5772A0E0" w14:textId="77777777" w:rsidR="00EB2B55" w:rsidRPr="00672DBE" w:rsidRDefault="00EB2B55" w:rsidP="003414BB"/>
    <w:p w14:paraId="63929720" w14:textId="77777777" w:rsidR="00EB2B55" w:rsidRPr="00672DBE" w:rsidRDefault="00EB2B55">
      <w:r w:rsidRPr="00672DBE">
        <w:br w:type="page"/>
      </w:r>
    </w:p>
    <w:p w14:paraId="09BC9A18" w14:textId="77777777" w:rsidR="00EB2B55" w:rsidRPr="007A1BD8" w:rsidRDefault="00EB2B55" w:rsidP="00C66338">
      <w:pPr>
        <w:pStyle w:val="Heading3"/>
        <w:rPr>
          <w:rFonts w:asciiTheme="minorHAnsi" w:hAnsiTheme="minorHAnsi" w:cstheme="minorHAnsi"/>
          <w:b/>
          <w:bCs/>
          <w:i/>
          <w:iCs/>
          <w:color w:val="auto"/>
        </w:rPr>
      </w:pPr>
      <w:r w:rsidRPr="007A1BD8">
        <w:rPr>
          <w:rFonts w:asciiTheme="minorHAnsi" w:hAnsiTheme="minorHAnsi" w:cstheme="minorHAnsi"/>
          <w:b/>
          <w:bCs/>
          <w:color w:val="auto"/>
        </w:rPr>
        <w:lastRenderedPageBreak/>
        <w:t>Clinical Guidelines in Australia</w:t>
      </w:r>
    </w:p>
    <w:p w14:paraId="63A9734D" w14:textId="77777777" w:rsidR="001C48F8" w:rsidRPr="003F4949" w:rsidRDefault="001C48F8" w:rsidP="001C48F8">
      <w:pPr>
        <w:jc w:val="both"/>
        <w:rPr>
          <w:rFonts w:ascii="Calibri" w:hAnsi="Calibri" w:cs="Calibri"/>
          <w:spacing w:val="-2"/>
        </w:rPr>
      </w:pPr>
      <w:r w:rsidRPr="003F4949">
        <w:rPr>
          <w:rFonts w:ascii="Calibri" w:hAnsi="Calibri" w:cs="Calibri"/>
        </w:rPr>
        <w:t xml:space="preserve">Eighty Australian guidelines were identified that fulfilled the criteria. They covered 27 areas of practice, from Aboriginal health to thoracic medicine, with 21 related to general practice, 9 to oncology, and 7 to cardiology. The guidelines were developed and hosted by 51 organisations: colleges, societies, associations, foundations, non-government organisations, commonwealth and state governments, and expert groups in universities. As planned, we selected one representative guideline from the Royal Australian and New Zealand College of Obstetrics and Gynaecology (RANZCOG), the </w:t>
      </w:r>
      <w:r w:rsidRPr="003F4949">
        <w:rPr>
          <w:rFonts w:ascii="Calibri" w:hAnsi="Calibri" w:cs="Calibri"/>
          <w:i/>
          <w:iCs/>
        </w:rPr>
        <w:t>Endometriosis clinical practice guideline</w:t>
      </w:r>
      <w:r w:rsidRPr="003F4949">
        <w:rPr>
          <w:rFonts w:ascii="Calibri" w:hAnsi="Calibri" w:cs="Calibri"/>
        </w:rPr>
        <w:t xml:space="preserve"> (2021). We were not able to carry out the plan with the Urology Society of Australia and New Zealand (USANZ) because their website (</w:t>
      </w:r>
      <w:hyperlink r:id="rId12">
        <w:r w:rsidRPr="003F4949">
          <w:rPr>
            <w:rFonts w:ascii="Calibri" w:hAnsi="Calibri" w:cs="Calibri"/>
            <w:spacing w:val="-2"/>
          </w:rPr>
          <w:t>https://w</w:t>
        </w:r>
      </w:hyperlink>
      <w:r w:rsidRPr="003F4949">
        <w:rPr>
          <w:rFonts w:ascii="Calibri" w:hAnsi="Calibri" w:cs="Calibri"/>
          <w:spacing w:val="-2"/>
        </w:rPr>
        <w:t>ww.</w:t>
      </w:r>
      <w:hyperlink r:id="rId13">
        <w:r w:rsidRPr="003F4949">
          <w:rPr>
            <w:rFonts w:ascii="Calibri" w:hAnsi="Calibri" w:cs="Calibri"/>
            <w:spacing w:val="-2"/>
          </w:rPr>
          <w:t>usanz.</w:t>
        </w:r>
      </w:hyperlink>
      <w:r w:rsidRPr="003F4949">
        <w:rPr>
          <w:rFonts w:ascii="Calibri" w:hAnsi="Calibri" w:cs="Calibri"/>
          <w:spacing w:val="-2"/>
        </w:rPr>
        <w:t>org.</w:t>
      </w:r>
      <w:hyperlink r:id="rId14">
        <w:r w:rsidRPr="003F4949">
          <w:rPr>
            <w:rFonts w:ascii="Calibri" w:hAnsi="Calibri" w:cs="Calibri"/>
            <w:spacing w:val="-2"/>
          </w:rPr>
          <w:t>au/inf</w:t>
        </w:r>
      </w:hyperlink>
      <w:r w:rsidRPr="003F4949">
        <w:rPr>
          <w:rFonts w:ascii="Calibri" w:hAnsi="Calibri" w:cs="Calibri"/>
          <w:spacing w:val="-2"/>
        </w:rPr>
        <w:t>o</w:t>
      </w:r>
      <w:hyperlink r:id="rId15">
        <w:r w:rsidRPr="003F4949">
          <w:rPr>
            <w:rFonts w:ascii="Calibri" w:hAnsi="Calibri" w:cs="Calibri"/>
            <w:spacing w:val="-2"/>
          </w:rPr>
          <w:t>-</w:t>
        </w:r>
      </w:hyperlink>
      <w:r w:rsidRPr="003F4949">
        <w:rPr>
          <w:rFonts w:ascii="Calibri" w:hAnsi="Calibri" w:cs="Calibri"/>
          <w:spacing w:val="-2"/>
        </w:rPr>
        <w:t xml:space="preserve">resources/position-statements-guidelines) directed visitors to the European Association of Urology for their guidelines, which were not within our eligibility criteria. The few Australian guidelines on the site were on topics such as working within COVID lockdown restrictions and performing circumcision on infant males; these were either ineligible (the COVID lockdowns no longer apply) or too specific to male health. </w:t>
      </w:r>
      <w:r w:rsidRPr="003F4949">
        <w:rPr>
          <w:rFonts w:ascii="Calibri" w:hAnsi="Calibri" w:cs="Calibri"/>
        </w:rPr>
        <w:t xml:space="preserve">Details of </w:t>
      </w:r>
      <w:r>
        <w:rPr>
          <w:rFonts w:ascii="Calibri" w:hAnsi="Calibri" w:cs="Calibri"/>
        </w:rPr>
        <w:t xml:space="preserve">all </w:t>
      </w:r>
      <w:r w:rsidRPr="003F4949">
        <w:rPr>
          <w:rFonts w:ascii="Calibri" w:hAnsi="Calibri" w:cs="Calibri"/>
        </w:rPr>
        <w:t>the guidelines are in Appendix D.</w:t>
      </w:r>
    </w:p>
    <w:p w14:paraId="76B94286" w14:textId="692BC563" w:rsidR="001C48F8" w:rsidRPr="003F4949" w:rsidRDefault="001C48F8" w:rsidP="001C48F8">
      <w:pPr>
        <w:jc w:val="both"/>
        <w:rPr>
          <w:rFonts w:ascii="Calibri" w:hAnsi="Calibri" w:cs="Calibri"/>
        </w:rPr>
      </w:pPr>
      <w:r w:rsidRPr="003F4949">
        <w:rPr>
          <w:rFonts w:ascii="Calibri" w:hAnsi="Calibri" w:cs="Calibri"/>
        </w:rPr>
        <w:t xml:space="preserve">Our analysis revealed varied levels of quality in dealing with sex and gender </w:t>
      </w:r>
      <w:r>
        <w:rPr>
          <w:rFonts w:ascii="Calibri" w:hAnsi="Calibri" w:cs="Calibri"/>
        </w:rPr>
        <w:t>matter</w:t>
      </w:r>
      <w:r w:rsidRPr="003F4949">
        <w:rPr>
          <w:rFonts w:ascii="Calibri" w:hAnsi="Calibri" w:cs="Calibri"/>
        </w:rPr>
        <w:t xml:space="preserve">s in health care, with the mode towards the lower end of the scale. None of the </w:t>
      </w:r>
      <w:proofErr w:type="gramStart"/>
      <w:r w:rsidRPr="003F4949">
        <w:rPr>
          <w:rFonts w:ascii="Calibri" w:hAnsi="Calibri" w:cs="Calibri"/>
        </w:rPr>
        <w:t>terms</w:t>
      </w:r>
      <w:proofErr w:type="gramEnd"/>
      <w:r w:rsidRPr="003F4949">
        <w:rPr>
          <w:rFonts w:ascii="Calibri" w:hAnsi="Calibri" w:cs="Calibri"/>
        </w:rPr>
        <w:t xml:space="preserve"> “sex”, “gender”, “women”, “men”, “female”, “male”, “girl”, or “boy” were found in 12 of the guidelines, including from the Australasian</w:t>
      </w:r>
      <w:r w:rsidRPr="003F4949">
        <w:rPr>
          <w:rFonts w:ascii="Calibri" w:hAnsi="Calibri" w:cs="Calibri"/>
          <w:spacing w:val="-13"/>
        </w:rPr>
        <w:t xml:space="preserve"> </w:t>
      </w:r>
      <w:r w:rsidRPr="003F4949">
        <w:rPr>
          <w:rFonts w:ascii="Calibri" w:hAnsi="Calibri" w:cs="Calibri"/>
        </w:rPr>
        <w:t>College</w:t>
      </w:r>
      <w:r w:rsidRPr="003F4949">
        <w:rPr>
          <w:rFonts w:ascii="Calibri" w:hAnsi="Calibri" w:cs="Calibri"/>
          <w:spacing w:val="-12"/>
        </w:rPr>
        <w:t xml:space="preserve"> </w:t>
      </w:r>
      <w:r w:rsidRPr="003F4949">
        <w:rPr>
          <w:rFonts w:ascii="Calibri" w:hAnsi="Calibri" w:cs="Calibri"/>
        </w:rPr>
        <w:t xml:space="preserve">of </w:t>
      </w:r>
      <w:r w:rsidRPr="003F4949">
        <w:rPr>
          <w:rFonts w:ascii="Calibri" w:hAnsi="Calibri" w:cs="Calibri"/>
          <w:spacing w:val="-2"/>
        </w:rPr>
        <w:t xml:space="preserve">Dermatologists, the </w:t>
      </w:r>
      <w:r w:rsidRPr="003F4949">
        <w:rPr>
          <w:rFonts w:ascii="Calibri" w:hAnsi="Calibri" w:cs="Calibri"/>
        </w:rPr>
        <w:t>Australian</w:t>
      </w:r>
      <w:r w:rsidRPr="003F4949">
        <w:rPr>
          <w:rFonts w:ascii="Calibri" w:hAnsi="Calibri" w:cs="Calibri"/>
          <w:spacing w:val="-13"/>
        </w:rPr>
        <w:t xml:space="preserve"> </w:t>
      </w:r>
      <w:r w:rsidRPr="003F4949">
        <w:rPr>
          <w:rFonts w:ascii="Calibri" w:hAnsi="Calibri" w:cs="Calibri"/>
        </w:rPr>
        <w:t>and</w:t>
      </w:r>
      <w:r w:rsidRPr="003F4949">
        <w:rPr>
          <w:rFonts w:ascii="Calibri" w:hAnsi="Calibri" w:cs="Calibri"/>
          <w:spacing w:val="-12"/>
        </w:rPr>
        <w:t xml:space="preserve"> </w:t>
      </w:r>
      <w:r w:rsidRPr="003F4949">
        <w:rPr>
          <w:rFonts w:ascii="Calibri" w:hAnsi="Calibri" w:cs="Calibri"/>
        </w:rPr>
        <w:t>New Zealand College of Anaesthetists, Children’s</w:t>
      </w:r>
      <w:r w:rsidRPr="003F4949">
        <w:rPr>
          <w:rFonts w:ascii="Calibri" w:hAnsi="Calibri" w:cs="Calibri"/>
          <w:spacing w:val="-13"/>
        </w:rPr>
        <w:t xml:space="preserve"> </w:t>
      </w:r>
      <w:r w:rsidRPr="003F4949">
        <w:rPr>
          <w:rFonts w:ascii="Calibri" w:hAnsi="Calibri" w:cs="Calibri"/>
        </w:rPr>
        <w:t xml:space="preserve">Health </w:t>
      </w:r>
      <w:r w:rsidRPr="003F4949">
        <w:rPr>
          <w:rFonts w:ascii="Calibri" w:hAnsi="Calibri" w:cs="Calibri"/>
          <w:spacing w:val="-2"/>
        </w:rPr>
        <w:t xml:space="preserve">Queensland, and the </w:t>
      </w:r>
      <w:r w:rsidRPr="003F4949">
        <w:rPr>
          <w:rFonts w:ascii="Calibri" w:hAnsi="Calibri" w:cs="Calibri"/>
        </w:rPr>
        <w:t>Royal Australian College</w:t>
      </w:r>
      <w:r w:rsidRPr="003F4949">
        <w:rPr>
          <w:rFonts w:ascii="Calibri" w:hAnsi="Calibri" w:cs="Calibri"/>
          <w:spacing w:val="-13"/>
        </w:rPr>
        <w:t xml:space="preserve"> </w:t>
      </w:r>
      <w:r w:rsidRPr="003F4949">
        <w:rPr>
          <w:rFonts w:ascii="Calibri" w:hAnsi="Calibri" w:cs="Calibri"/>
        </w:rPr>
        <w:t>of</w:t>
      </w:r>
      <w:r w:rsidRPr="003F4949">
        <w:rPr>
          <w:rFonts w:ascii="Calibri" w:hAnsi="Calibri" w:cs="Calibri"/>
          <w:spacing w:val="-12"/>
        </w:rPr>
        <w:t xml:space="preserve"> </w:t>
      </w:r>
      <w:r w:rsidRPr="003F4949">
        <w:rPr>
          <w:rFonts w:ascii="Calibri" w:hAnsi="Calibri" w:cs="Calibri"/>
        </w:rPr>
        <w:t xml:space="preserve">General </w:t>
      </w:r>
      <w:r w:rsidRPr="003F4949">
        <w:rPr>
          <w:rFonts w:ascii="Calibri" w:hAnsi="Calibri" w:cs="Calibri"/>
          <w:spacing w:val="-2"/>
        </w:rPr>
        <w:t>Practitioners (on e-mental health)</w:t>
      </w:r>
      <w:r w:rsidRPr="003F4949">
        <w:rPr>
          <w:rFonts w:ascii="Calibri" w:hAnsi="Calibri" w:cs="Calibri"/>
        </w:rPr>
        <w:t xml:space="preserve">. </w:t>
      </w:r>
      <w:proofErr w:type="gramStart"/>
      <w:r w:rsidRPr="003F4949">
        <w:rPr>
          <w:rFonts w:ascii="Calibri" w:hAnsi="Calibri" w:cs="Calibri"/>
        </w:rPr>
        <w:t>The majority of</w:t>
      </w:r>
      <w:proofErr w:type="gramEnd"/>
      <w:r w:rsidRPr="003F4949">
        <w:rPr>
          <w:rFonts w:ascii="Calibri" w:hAnsi="Calibri" w:cs="Calibri"/>
        </w:rPr>
        <w:t xml:space="preserve"> the remainder used some of these terms only a few times, with 34 guidelines employing “gender” to mean “sex”. The terms “sex” and “gender” were defined to some extent in only 4 guidelines: from the Australian</w:t>
      </w:r>
      <w:r w:rsidRPr="003F4949">
        <w:rPr>
          <w:rFonts w:ascii="Calibri" w:hAnsi="Calibri" w:cs="Calibri"/>
          <w:spacing w:val="-13"/>
        </w:rPr>
        <w:t xml:space="preserve"> </w:t>
      </w:r>
      <w:r w:rsidRPr="003F4949">
        <w:rPr>
          <w:rFonts w:ascii="Calibri" w:hAnsi="Calibri" w:cs="Calibri"/>
        </w:rPr>
        <w:t>Institute of Sport</w:t>
      </w:r>
      <w:r w:rsidR="002B3CB0">
        <w:rPr>
          <w:rFonts w:ascii="Calibri" w:hAnsi="Calibri" w:cs="Calibri"/>
        </w:rPr>
        <w:t xml:space="preserve"> (in their </w:t>
      </w:r>
      <w:r w:rsidR="00A70F36">
        <w:rPr>
          <w:rFonts w:ascii="Calibri" w:hAnsi="Calibri" w:cs="Calibri"/>
        </w:rPr>
        <w:t>guideline on</w:t>
      </w:r>
      <w:r w:rsidR="002B3CB0">
        <w:rPr>
          <w:rFonts w:ascii="Calibri" w:hAnsi="Calibri" w:cs="Calibri"/>
        </w:rPr>
        <w:t xml:space="preserve"> concussion and brain health)</w:t>
      </w:r>
      <w:r w:rsidRPr="003F4949">
        <w:rPr>
          <w:rFonts w:ascii="Calibri" w:hAnsi="Calibri" w:cs="Calibri"/>
        </w:rPr>
        <w:t xml:space="preserve">, the </w:t>
      </w:r>
      <w:r w:rsidRPr="003F4949">
        <w:rPr>
          <w:rFonts w:ascii="Calibri" w:hAnsi="Calibri" w:cs="Calibri"/>
          <w:spacing w:val="-2"/>
        </w:rPr>
        <w:t xml:space="preserve">Australian Professional </w:t>
      </w:r>
      <w:r w:rsidRPr="003F4949">
        <w:rPr>
          <w:rFonts w:ascii="Calibri" w:hAnsi="Calibri" w:cs="Calibri"/>
        </w:rPr>
        <w:t>Association</w:t>
      </w:r>
      <w:r w:rsidRPr="003F4949">
        <w:rPr>
          <w:rFonts w:ascii="Calibri" w:hAnsi="Calibri" w:cs="Calibri"/>
          <w:spacing w:val="-13"/>
        </w:rPr>
        <w:t xml:space="preserve"> </w:t>
      </w:r>
      <w:r w:rsidRPr="003F4949">
        <w:rPr>
          <w:rFonts w:ascii="Calibri" w:hAnsi="Calibri" w:cs="Calibri"/>
        </w:rPr>
        <w:t>for Trans Health, and GP</w:t>
      </w:r>
      <w:r w:rsidRPr="003F4949">
        <w:rPr>
          <w:rFonts w:ascii="Calibri" w:hAnsi="Calibri" w:cs="Calibri"/>
          <w:spacing w:val="-13"/>
        </w:rPr>
        <w:t xml:space="preserve"> </w:t>
      </w:r>
      <w:r w:rsidRPr="003F4949">
        <w:rPr>
          <w:rFonts w:ascii="Calibri" w:hAnsi="Calibri" w:cs="Calibri"/>
        </w:rPr>
        <w:t xml:space="preserve">Supervisor </w:t>
      </w:r>
      <w:r w:rsidRPr="003F4949">
        <w:rPr>
          <w:rFonts w:ascii="Calibri" w:hAnsi="Calibri" w:cs="Calibri"/>
          <w:spacing w:val="-2"/>
        </w:rPr>
        <w:t>Australia</w:t>
      </w:r>
      <w:r w:rsidRPr="003F4949">
        <w:rPr>
          <w:rFonts w:ascii="Calibri" w:hAnsi="Calibri" w:cs="Calibri"/>
        </w:rPr>
        <w:t xml:space="preserve">; the Autism </w:t>
      </w:r>
      <w:r w:rsidRPr="003F4949">
        <w:rPr>
          <w:rFonts w:ascii="Calibri" w:hAnsi="Calibri" w:cs="Calibri"/>
          <w:spacing w:val="-2"/>
        </w:rPr>
        <w:t xml:space="preserve">Cooperative </w:t>
      </w:r>
      <w:r w:rsidRPr="003F4949">
        <w:rPr>
          <w:rFonts w:ascii="Calibri" w:hAnsi="Calibri" w:cs="Calibri"/>
        </w:rPr>
        <w:t>Research</w:t>
      </w:r>
      <w:r w:rsidRPr="003F4949">
        <w:rPr>
          <w:rFonts w:ascii="Calibri" w:hAnsi="Calibri" w:cs="Calibri"/>
          <w:spacing w:val="-13"/>
        </w:rPr>
        <w:t xml:space="preserve"> </w:t>
      </w:r>
      <w:r w:rsidRPr="003F4949">
        <w:rPr>
          <w:rFonts w:ascii="Calibri" w:hAnsi="Calibri" w:cs="Calibri"/>
        </w:rPr>
        <w:t xml:space="preserve">Centre defined gender identity for transgender people (whilst also using “sex” and “gender” interchangeably). </w:t>
      </w:r>
      <w:r w:rsidRPr="003F4949">
        <w:rPr>
          <w:rFonts w:ascii="Calibri" w:hAnsi="Calibri" w:cs="Calibri"/>
          <w:spacing w:val="-2"/>
        </w:rPr>
        <w:t>Kidney Health Australia, while not using the terms “sex” or “gender”, referred to care of “women and people with uteruses”, indicating sensitivity to the complexities of sex (and gender).</w:t>
      </w:r>
      <w:r>
        <w:rPr>
          <w:rFonts w:ascii="Calibri" w:hAnsi="Calibri" w:cs="Calibri"/>
          <w:spacing w:val="-2"/>
        </w:rPr>
        <w:t xml:space="preserve"> </w:t>
      </w:r>
      <w:r w:rsidRPr="003F4949">
        <w:rPr>
          <w:rFonts w:ascii="Calibri" w:hAnsi="Calibri" w:cs="Calibri"/>
          <w:spacing w:val="-2"/>
        </w:rPr>
        <w:t xml:space="preserve">The </w:t>
      </w:r>
      <w:r w:rsidRPr="003F4949">
        <w:rPr>
          <w:rFonts w:ascii="Calibri" w:hAnsi="Calibri" w:cs="Calibri"/>
        </w:rPr>
        <w:t>Australian</w:t>
      </w:r>
      <w:r w:rsidRPr="003F4949">
        <w:rPr>
          <w:rFonts w:ascii="Calibri" w:hAnsi="Calibri" w:cs="Calibri"/>
          <w:spacing w:val="-13"/>
        </w:rPr>
        <w:t xml:space="preserve"> </w:t>
      </w:r>
      <w:r w:rsidRPr="003F4949">
        <w:rPr>
          <w:rFonts w:ascii="Calibri" w:hAnsi="Calibri" w:cs="Calibri"/>
        </w:rPr>
        <w:t xml:space="preserve">Institute of Sport noted the lack of evidence on gender; this organisation </w:t>
      </w:r>
      <w:r>
        <w:rPr>
          <w:rFonts w:ascii="Calibri" w:hAnsi="Calibri" w:cs="Calibri"/>
        </w:rPr>
        <w:t>not only</w:t>
      </w:r>
      <w:r w:rsidRPr="003F4949">
        <w:rPr>
          <w:rFonts w:ascii="Calibri" w:hAnsi="Calibri" w:cs="Calibri"/>
        </w:rPr>
        <w:t xml:space="preserve"> presented definitions of sex and gender </w:t>
      </w:r>
      <w:r>
        <w:rPr>
          <w:rFonts w:ascii="Calibri" w:hAnsi="Calibri" w:cs="Calibri"/>
        </w:rPr>
        <w:t>but also</w:t>
      </w:r>
      <w:r w:rsidRPr="003F4949">
        <w:rPr>
          <w:rFonts w:ascii="Calibri" w:hAnsi="Calibri" w:cs="Calibri"/>
        </w:rPr>
        <w:t xml:space="preserve"> used the terms consistently.</w:t>
      </w:r>
    </w:p>
    <w:p w14:paraId="3C3A0657" w14:textId="77777777" w:rsidR="001C48F8" w:rsidRPr="003F4949" w:rsidRDefault="001C48F8" w:rsidP="001C48F8">
      <w:pPr>
        <w:jc w:val="both"/>
        <w:rPr>
          <w:rFonts w:ascii="Calibri" w:hAnsi="Calibri" w:cs="Calibri"/>
        </w:rPr>
      </w:pPr>
      <w:r w:rsidRPr="003F4949">
        <w:rPr>
          <w:rFonts w:ascii="Calibri" w:hAnsi="Calibri" w:cs="Calibri"/>
        </w:rPr>
        <w:t>There was no reference to clinical practice concerning sex in 15 of the guidelines, including from the National Heart Foundation, the Royal Australian College</w:t>
      </w:r>
      <w:r w:rsidRPr="003F4949">
        <w:rPr>
          <w:rFonts w:ascii="Calibri" w:hAnsi="Calibri" w:cs="Calibri"/>
          <w:spacing w:val="-13"/>
        </w:rPr>
        <w:t xml:space="preserve"> </w:t>
      </w:r>
      <w:r w:rsidRPr="003F4949">
        <w:rPr>
          <w:rFonts w:ascii="Calibri" w:hAnsi="Calibri" w:cs="Calibri"/>
        </w:rPr>
        <w:t>of</w:t>
      </w:r>
      <w:r w:rsidRPr="003F4949">
        <w:rPr>
          <w:rFonts w:ascii="Calibri" w:hAnsi="Calibri" w:cs="Calibri"/>
          <w:spacing w:val="-12"/>
        </w:rPr>
        <w:t xml:space="preserve"> </w:t>
      </w:r>
      <w:r w:rsidRPr="003F4949">
        <w:rPr>
          <w:rFonts w:ascii="Calibri" w:hAnsi="Calibri" w:cs="Calibri"/>
        </w:rPr>
        <w:t xml:space="preserve">General </w:t>
      </w:r>
      <w:r w:rsidRPr="003F4949">
        <w:rPr>
          <w:rFonts w:ascii="Calibri" w:hAnsi="Calibri" w:cs="Calibri"/>
          <w:spacing w:val="-2"/>
        </w:rPr>
        <w:t>Practitioners</w:t>
      </w:r>
      <w:r w:rsidRPr="003F4949">
        <w:rPr>
          <w:rFonts w:ascii="Calibri" w:hAnsi="Calibri" w:cs="Calibri"/>
        </w:rPr>
        <w:t xml:space="preserve"> (on the management of hypoglycaemia), and the Royal Australian and New Zealand College of Radiologists. The 65 guidelines that did incorporate matters relevant to sex presented varied degrees of information, from a single statement about prevalence to detailed risk factors, prevalence, treatment, and management. Guidelines with detailed information about sex-related practice included Ambulance Victoria, the Australian</w:t>
      </w:r>
      <w:r w:rsidRPr="003F4949">
        <w:rPr>
          <w:rFonts w:ascii="Calibri" w:hAnsi="Calibri" w:cs="Calibri"/>
          <w:spacing w:val="-13"/>
        </w:rPr>
        <w:t xml:space="preserve"> </w:t>
      </w:r>
      <w:r w:rsidRPr="003F4949">
        <w:rPr>
          <w:rFonts w:ascii="Calibri" w:hAnsi="Calibri" w:cs="Calibri"/>
        </w:rPr>
        <w:t xml:space="preserve">Diabetes </w:t>
      </w:r>
      <w:r w:rsidRPr="003F4949">
        <w:rPr>
          <w:rFonts w:ascii="Calibri" w:hAnsi="Calibri" w:cs="Calibri"/>
          <w:spacing w:val="-2"/>
        </w:rPr>
        <w:t xml:space="preserve">Society, the </w:t>
      </w:r>
      <w:r w:rsidRPr="003F4949">
        <w:rPr>
          <w:rFonts w:ascii="Calibri" w:hAnsi="Calibri" w:cs="Calibri"/>
        </w:rPr>
        <w:t>Commonwealth</w:t>
      </w:r>
      <w:r w:rsidRPr="003F4949">
        <w:rPr>
          <w:rFonts w:ascii="Calibri" w:hAnsi="Calibri" w:cs="Calibri"/>
          <w:spacing w:val="-13"/>
        </w:rPr>
        <w:t xml:space="preserve"> </w:t>
      </w:r>
      <w:r w:rsidRPr="003F4949">
        <w:rPr>
          <w:rFonts w:ascii="Calibri" w:hAnsi="Calibri" w:cs="Calibri"/>
        </w:rPr>
        <w:t xml:space="preserve">of </w:t>
      </w:r>
      <w:r w:rsidRPr="003F4949">
        <w:rPr>
          <w:rFonts w:ascii="Calibri" w:hAnsi="Calibri" w:cs="Calibri"/>
          <w:spacing w:val="-2"/>
        </w:rPr>
        <w:t xml:space="preserve">Australia </w:t>
      </w:r>
      <w:r w:rsidRPr="003F4949">
        <w:rPr>
          <w:rFonts w:ascii="Calibri" w:hAnsi="Calibri" w:cs="Calibri"/>
        </w:rPr>
        <w:t xml:space="preserve">Department of Health and Aged </w:t>
      </w:r>
      <w:r w:rsidRPr="003F4949">
        <w:rPr>
          <w:rFonts w:ascii="Calibri" w:hAnsi="Calibri" w:cs="Calibri"/>
          <w:spacing w:val="-4"/>
        </w:rPr>
        <w:t>Care,</w:t>
      </w:r>
      <w:r w:rsidRPr="003F4949">
        <w:rPr>
          <w:rFonts w:ascii="Calibri" w:hAnsi="Calibri" w:cs="Calibri"/>
          <w:spacing w:val="-2"/>
        </w:rPr>
        <w:t xml:space="preserve"> </w:t>
      </w:r>
      <w:r w:rsidRPr="003F4949">
        <w:rPr>
          <w:rFonts w:ascii="Calibri" w:hAnsi="Calibri" w:cs="Calibri"/>
        </w:rPr>
        <w:t>GP</w:t>
      </w:r>
      <w:r w:rsidRPr="003F4949">
        <w:rPr>
          <w:rFonts w:ascii="Calibri" w:hAnsi="Calibri" w:cs="Calibri"/>
          <w:spacing w:val="-13"/>
        </w:rPr>
        <w:t xml:space="preserve"> </w:t>
      </w:r>
      <w:r w:rsidRPr="003F4949">
        <w:rPr>
          <w:rFonts w:ascii="Calibri" w:hAnsi="Calibri" w:cs="Calibri"/>
        </w:rPr>
        <w:t xml:space="preserve">Supervisor </w:t>
      </w:r>
      <w:r w:rsidRPr="003F4949">
        <w:rPr>
          <w:rFonts w:ascii="Calibri" w:hAnsi="Calibri" w:cs="Calibri"/>
          <w:spacing w:val="-2"/>
        </w:rPr>
        <w:t xml:space="preserve">Australia, and the </w:t>
      </w:r>
      <w:r w:rsidRPr="003F4949">
        <w:rPr>
          <w:rFonts w:ascii="Calibri" w:hAnsi="Calibri" w:cs="Calibri"/>
        </w:rPr>
        <w:t xml:space="preserve">Monash University </w:t>
      </w:r>
      <w:r w:rsidRPr="003F4949">
        <w:rPr>
          <w:rFonts w:ascii="Calibri" w:hAnsi="Calibri" w:cs="Calibri"/>
          <w:spacing w:val="-2"/>
        </w:rPr>
        <w:t xml:space="preserve">Guideline </w:t>
      </w:r>
      <w:r w:rsidRPr="003F4949">
        <w:rPr>
          <w:rFonts w:ascii="Calibri" w:hAnsi="Calibri" w:cs="Calibri"/>
        </w:rPr>
        <w:t>Development</w:t>
      </w:r>
      <w:r w:rsidRPr="003F4949">
        <w:rPr>
          <w:rFonts w:ascii="Calibri" w:hAnsi="Calibri" w:cs="Calibri"/>
          <w:spacing w:val="-13"/>
        </w:rPr>
        <w:t xml:space="preserve"> </w:t>
      </w:r>
      <w:r w:rsidRPr="003F4949">
        <w:rPr>
          <w:rFonts w:ascii="Calibri" w:hAnsi="Calibri" w:cs="Calibri"/>
        </w:rPr>
        <w:t>Group</w:t>
      </w:r>
      <w:r w:rsidRPr="003F4949">
        <w:rPr>
          <w:rFonts w:ascii="Calibri" w:hAnsi="Calibri" w:cs="Calibri"/>
          <w:spacing w:val="-2"/>
        </w:rPr>
        <w:t xml:space="preserve">. </w:t>
      </w:r>
    </w:p>
    <w:p w14:paraId="19121498" w14:textId="77777777" w:rsidR="001C48F8" w:rsidRPr="008F3ABA" w:rsidRDefault="001C48F8" w:rsidP="001C48F8">
      <w:pPr>
        <w:jc w:val="both"/>
        <w:rPr>
          <w:rFonts w:ascii="Calibri" w:hAnsi="Calibri" w:cs="Calibri"/>
        </w:rPr>
      </w:pPr>
      <w:proofErr w:type="gramStart"/>
      <w:r w:rsidRPr="003F4949">
        <w:rPr>
          <w:rFonts w:ascii="Calibri" w:hAnsi="Calibri" w:cs="Calibri"/>
        </w:rPr>
        <w:t>The majority of</w:t>
      </w:r>
      <w:proofErr w:type="gramEnd"/>
      <w:r w:rsidRPr="003F4949">
        <w:rPr>
          <w:rFonts w:ascii="Calibri" w:hAnsi="Calibri" w:cs="Calibri"/>
        </w:rPr>
        <w:t xml:space="preserve"> guidelines—46 of them—made no mention of clinical practices concerning gender. Only 12 developed ideas of gender in any detail, </w:t>
      </w:r>
      <w:r>
        <w:rPr>
          <w:rFonts w:ascii="Calibri" w:hAnsi="Calibri" w:cs="Calibri"/>
        </w:rPr>
        <w:t>including</w:t>
      </w:r>
      <w:r w:rsidRPr="003F4949">
        <w:rPr>
          <w:rFonts w:ascii="Calibri" w:hAnsi="Calibri" w:cs="Calibri"/>
        </w:rPr>
        <w:t xml:space="preserve"> discussion of topics such as gender inequality, transgender, and intersectionality. The rest </w:t>
      </w:r>
      <w:r>
        <w:rPr>
          <w:rFonts w:ascii="Calibri" w:hAnsi="Calibri" w:cs="Calibri"/>
        </w:rPr>
        <w:t xml:space="preserve">either implied aspects of gender awareness without stating </w:t>
      </w:r>
      <w:proofErr w:type="gramStart"/>
      <w:r>
        <w:rPr>
          <w:rFonts w:ascii="Calibri" w:hAnsi="Calibri" w:cs="Calibri"/>
        </w:rPr>
        <w:t>it, or</w:t>
      </w:r>
      <w:proofErr w:type="gramEnd"/>
      <w:r>
        <w:rPr>
          <w:rFonts w:ascii="Calibri" w:hAnsi="Calibri" w:cs="Calibri"/>
        </w:rPr>
        <w:t xml:space="preserve"> </w:t>
      </w:r>
      <w:r w:rsidRPr="003F4949">
        <w:rPr>
          <w:rFonts w:ascii="Calibri" w:hAnsi="Calibri" w:cs="Calibri"/>
        </w:rPr>
        <w:t xml:space="preserve">mentioned “psychosocial” or “cultural” considerations that could potentially </w:t>
      </w:r>
      <w:r w:rsidRPr="00645779">
        <w:rPr>
          <w:rFonts w:ascii="Calibri" w:hAnsi="Calibri" w:cs="Calibri"/>
        </w:rPr>
        <w:t>relate to gender, demonstrating at least awareness of the context within which people live. Examples of organisations with guidelines</w:t>
      </w:r>
      <w:r>
        <w:rPr>
          <w:rFonts w:ascii="Calibri" w:hAnsi="Calibri" w:cs="Calibri"/>
        </w:rPr>
        <w:t xml:space="preserve"> explicitly</w:t>
      </w:r>
      <w:r w:rsidRPr="00645779">
        <w:rPr>
          <w:rFonts w:ascii="Calibri" w:hAnsi="Calibri" w:cs="Calibri"/>
        </w:rPr>
        <w:t xml:space="preserve"> incorporating gender awareness are the Australasian</w:t>
      </w:r>
      <w:r w:rsidRPr="00645779">
        <w:rPr>
          <w:rFonts w:ascii="Calibri" w:hAnsi="Calibri" w:cs="Calibri"/>
          <w:spacing w:val="-13"/>
        </w:rPr>
        <w:t xml:space="preserve"> </w:t>
      </w:r>
      <w:r w:rsidRPr="00645779">
        <w:rPr>
          <w:rFonts w:ascii="Calibri" w:hAnsi="Calibri" w:cs="Calibri"/>
        </w:rPr>
        <w:t xml:space="preserve">Sexual and Reproductive Health Alliance, the </w:t>
      </w:r>
      <w:r w:rsidRPr="00645779">
        <w:rPr>
          <w:rFonts w:ascii="Calibri" w:hAnsi="Calibri" w:cs="Calibri"/>
          <w:spacing w:val="-2"/>
        </w:rPr>
        <w:t xml:space="preserve">Australian Professional </w:t>
      </w:r>
      <w:r w:rsidRPr="008F3ABA">
        <w:rPr>
          <w:rFonts w:ascii="Calibri" w:hAnsi="Calibri" w:cs="Calibri"/>
        </w:rPr>
        <w:t>Association</w:t>
      </w:r>
      <w:r w:rsidRPr="008F3ABA">
        <w:rPr>
          <w:rFonts w:ascii="Calibri" w:hAnsi="Calibri" w:cs="Calibri"/>
          <w:spacing w:val="-13"/>
        </w:rPr>
        <w:t xml:space="preserve"> </w:t>
      </w:r>
      <w:r w:rsidRPr="008F3ABA">
        <w:rPr>
          <w:rFonts w:ascii="Calibri" w:hAnsi="Calibri" w:cs="Calibri"/>
        </w:rPr>
        <w:t>for Trans Health, the Centre</w:t>
      </w:r>
      <w:r w:rsidRPr="008F3ABA">
        <w:rPr>
          <w:rFonts w:ascii="Calibri" w:hAnsi="Calibri" w:cs="Calibri"/>
          <w:spacing w:val="-13"/>
        </w:rPr>
        <w:t xml:space="preserve"> </w:t>
      </w:r>
      <w:r w:rsidRPr="008F3ABA">
        <w:rPr>
          <w:rFonts w:ascii="Calibri" w:hAnsi="Calibri" w:cs="Calibri"/>
        </w:rPr>
        <w:t>of</w:t>
      </w:r>
      <w:r w:rsidRPr="008F3ABA">
        <w:rPr>
          <w:rFonts w:ascii="Calibri" w:hAnsi="Calibri" w:cs="Calibri"/>
          <w:spacing w:val="-12"/>
        </w:rPr>
        <w:t xml:space="preserve"> </w:t>
      </w:r>
      <w:r w:rsidRPr="008F3ABA">
        <w:rPr>
          <w:rFonts w:ascii="Calibri" w:hAnsi="Calibri" w:cs="Calibri"/>
        </w:rPr>
        <w:t>Perinatal Excellence, GP</w:t>
      </w:r>
      <w:r w:rsidRPr="008F3ABA">
        <w:rPr>
          <w:rFonts w:ascii="Calibri" w:hAnsi="Calibri" w:cs="Calibri"/>
          <w:spacing w:val="-13"/>
        </w:rPr>
        <w:t xml:space="preserve"> </w:t>
      </w:r>
      <w:r w:rsidRPr="008F3ABA">
        <w:rPr>
          <w:rFonts w:ascii="Calibri" w:hAnsi="Calibri" w:cs="Calibri"/>
        </w:rPr>
        <w:t xml:space="preserve">Supervisor </w:t>
      </w:r>
      <w:r w:rsidRPr="008F3ABA">
        <w:rPr>
          <w:rFonts w:ascii="Calibri" w:hAnsi="Calibri" w:cs="Calibri"/>
          <w:spacing w:val="-2"/>
        </w:rPr>
        <w:t xml:space="preserve">Australia, </w:t>
      </w:r>
      <w:r w:rsidRPr="008F3ABA">
        <w:rPr>
          <w:rFonts w:ascii="Calibri" w:hAnsi="Calibri" w:cs="Calibri"/>
        </w:rPr>
        <w:t>Living</w:t>
      </w:r>
      <w:r w:rsidRPr="008F3ABA">
        <w:rPr>
          <w:rFonts w:ascii="Calibri" w:hAnsi="Calibri" w:cs="Calibri"/>
          <w:spacing w:val="-13"/>
        </w:rPr>
        <w:t xml:space="preserve"> </w:t>
      </w:r>
      <w:r w:rsidRPr="008F3ABA">
        <w:rPr>
          <w:rFonts w:ascii="Calibri" w:hAnsi="Calibri" w:cs="Calibri"/>
        </w:rPr>
        <w:t>Evidence</w:t>
      </w:r>
      <w:r w:rsidRPr="008F3ABA">
        <w:rPr>
          <w:rFonts w:ascii="Calibri" w:hAnsi="Calibri" w:cs="Calibri"/>
          <w:spacing w:val="-12"/>
        </w:rPr>
        <w:t xml:space="preserve"> </w:t>
      </w:r>
      <w:r w:rsidRPr="008F3ABA">
        <w:rPr>
          <w:rFonts w:ascii="Calibri" w:hAnsi="Calibri" w:cs="Calibri"/>
        </w:rPr>
        <w:t xml:space="preserve">for </w:t>
      </w:r>
      <w:r w:rsidRPr="008F3ABA">
        <w:rPr>
          <w:rFonts w:ascii="Calibri" w:hAnsi="Calibri" w:cs="Calibri"/>
          <w:spacing w:val="-2"/>
        </w:rPr>
        <w:t xml:space="preserve">Australian </w:t>
      </w:r>
      <w:r w:rsidRPr="008F3ABA">
        <w:rPr>
          <w:rFonts w:ascii="Calibri" w:hAnsi="Calibri" w:cs="Calibri"/>
        </w:rPr>
        <w:t xml:space="preserve">Pregnancy and Postnatal Care, and </w:t>
      </w:r>
      <w:r>
        <w:rPr>
          <w:rFonts w:ascii="Calibri" w:hAnsi="Calibri" w:cs="Calibri"/>
        </w:rPr>
        <w:t xml:space="preserve">the </w:t>
      </w:r>
      <w:r w:rsidRPr="008F3ABA">
        <w:rPr>
          <w:rFonts w:ascii="Calibri" w:hAnsi="Calibri" w:cs="Calibri"/>
        </w:rPr>
        <w:t>Royal Australian College</w:t>
      </w:r>
      <w:r w:rsidRPr="008F3ABA">
        <w:rPr>
          <w:rFonts w:ascii="Calibri" w:hAnsi="Calibri" w:cs="Calibri"/>
          <w:spacing w:val="-13"/>
        </w:rPr>
        <w:t xml:space="preserve"> </w:t>
      </w:r>
      <w:r w:rsidRPr="008F3ABA">
        <w:rPr>
          <w:rFonts w:ascii="Calibri" w:hAnsi="Calibri" w:cs="Calibri"/>
        </w:rPr>
        <w:t>of</w:t>
      </w:r>
      <w:r w:rsidRPr="008F3ABA">
        <w:rPr>
          <w:rFonts w:ascii="Calibri" w:hAnsi="Calibri" w:cs="Calibri"/>
          <w:spacing w:val="-12"/>
        </w:rPr>
        <w:t xml:space="preserve"> </w:t>
      </w:r>
      <w:r w:rsidRPr="008F3ABA">
        <w:rPr>
          <w:rFonts w:ascii="Calibri" w:hAnsi="Calibri" w:cs="Calibri"/>
        </w:rPr>
        <w:t xml:space="preserve">General </w:t>
      </w:r>
      <w:r w:rsidRPr="008F3ABA">
        <w:rPr>
          <w:rFonts w:ascii="Calibri" w:hAnsi="Calibri" w:cs="Calibri"/>
          <w:spacing w:val="-2"/>
        </w:rPr>
        <w:t>Practitioners (in relation to preventive care</w:t>
      </w:r>
      <w:r>
        <w:rPr>
          <w:rFonts w:ascii="Calibri" w:hAnsi="Calibri" w:cs="Calibri"/>
          <w:spacing w:val="-2"/>
        </w:rPr>
        <w:t>, and in relation to violence and abuse</w:t>
      </w:r>
      <w:r w:rsidRPr="008F3ABA">
        <w:rPr>
          <w:rFonts w:ascii="Calibri" w:hAnsi="Calibri" w:cs="Calibri"/>
          <w:spacing w:val="-2"/>
        </w:rPr>
        <w:t>)</w:t>
      </w:r>
      <w:r w:rsidRPr="008F3ABA">
        <w:rPr>
          <w:rFonts w:ascii="Calibri" w:hAnsi="Calibri" w:cs="Calibri"/>
        </w:rPr>
        <w:t>.</w:t>
      </w:r>
    </w:p>
    <w:p w14:paraId="65ACCEA7" w14:textId="0960FDB6" w:rsidR="001C48F8" w:rsidRPr="003F4949" w:rsidRDefault="001C48F8" w:rsidP="001C48F8">
      <w:pPr>
        <w:jc w:val="both"/>
        <w:rPr>
          <w:rFonts w:ascii="Calibri" w:hAnsi="Calibri" w:cs="Calibri"/>
        </w:rPr>
      </w:pPr>
      <w:r w:rsidRPr="003F4949">
        <w:rPr>
          <w:rFonts w:ascii="Calibri" w:hAnsi="Calibri" w:cs="Calibri"/>
        </w:rPr>
        <w:lastRenderedPageBreak/>
        <w:t>Tannenbaum et al. (2017) presented several reasons for the continued paucity of considerations for sex and gender and disaggregated evidence in clinical guidelines. First, there is limited research on sex and gender differences in medicine. Most biomedical experiments have in the past been exclusively conducted on male animals, there is substantial under-representation of women in clinical trials, and many sex and gender differences are yet to be recognised. Second, while there are increasing numbers of medical publications considering women and men separately, less than 25% present differences in management decisions for patients based on sex or gender. Third, the current guideline development instruments do not provide instructions for synthesising sex and gender evidence. According to Tannenbaum et al. (2017), although the Appraisal of Guidelines, Research and Evaluation (AGREE) II</w:t>
      </w:r>
      <w:r w:rsidRPr="003F4949">
        <w:rPr>
          <w:rStyle w:val="FootnoteReference"/>
          <w:rFonts w:ascii="Calibri" w:hAnsi="Calibri" w:cs="Calibri"/>
        </w:rPr>
        <w:footnoteReference w:id="8"/>
      </w:r>
      <w:r w:rsidRPr="003F4949">
        <w:rPr>
          <w:rFonts w:ascii="Calibri" w:hAnsi="Calibri" w:cs="Calibri"/>
        </w:rPr>
        <w:t xml:space="preserve"> document and the Grading of Recommendations Assessment, Development and Evaluation (GRADE) guidelines</w:t>
      </w:r>
      <w:r w:rsidRPr="003F4949">
        <w:rPr>
          <w:rStyle w:val="FootnoteReference"/>
          <w:rFonts w:ascii="Calibri" w:hAnsi="Calibri" w:cs="Calibri"/>
        </w:rPr>
        <w:footnoteReference w:id="9"/>
      </w:r>
      <w:r w:rsidRPr="003F4949">
        <w:rPr>
          <w:rFonts w:ascii="Calibri" w:hAnsi="Calibri" w:cs="Calibri"/>
        </w:rPr>
        <w:t xml:space="preserve"> require the specification of populations in systematic reviews, they do not require details of evidence particular to women and men nor any statement about sex or gender differences. The authors argued that, unless clinical practice guideline working groups specifically raise questions about evidence-based sex and gender differences, it is unlikely that the correct search terms will be used to interrogate the literature.</w:t>
      </w:r>
      <w:r>
        <w:rPr>
          <w:rFonts w:ascii="Calibri" w:hAnsi="Calibri" w:cs="Calibri"/>
        </w:rPr>
        <w:t xml:space="preserve"> </w:t>
      </w:r>
      <w:r w:rsidR="008B0315">
        <w:rPr>
          <w:rFonts w:ascii="Calibri" w:hAnsi="Calibri" w:cs="Calibri"/>
        </w:rPr>
        <w:t>We note that women are poorly represented on Australian guideline development panels (</w:t>
      </w:r>
      <w:r w:rsidR="008B0315" w:rsidRPr="007240DC">
        <w:rPr>
          <w:rFonts w:eastAsia="Times New Roman" w:cstheme="minorHAnsi"/>
          <w:color w:val="000000"/>
        </w:rPr>
        <w:t>Shalit et al.</w:t>
      </w:r>
      <w:r w:rsidR="008B0315">
        <w:rPr>
          <w:rFonts w:eastAsia="Times New Roman" w:cstheme="minorHAnsi"/>
          <w:color w:val="000000"/>
        </w:rPr>
        <w:t xml:space="preserve">, </w:t>
      </w:r>
      <w:r w:rsidR="008B0315" w:rsidRPr="007240DC">
        <w:rPr>
          <w:rFonts w:eastAsia="Times New Roman" w:cstheme="minorHAnsi"/>
          <w:color w:val="000000"/>
        </w:rPr>
        <w:t>2023)</w:t>
      </w:r>
      <w:r w:rsidR="008B0315">
        <w:rPr>
          <w:rFonts w:eastAsia="Times New Roman" w:cstheme="minorHAnsi"/>
          <w:color w:val="000000"/>
        </w:rPr>
        <w:t xml:space="preserve">; this could serve as a further contributing explanation. </w:t>
      </w:r>
      <w:r w:rsidR="008B0315">
        <w:rPr>
          <w:rFonts w:ascii="Calibri" w:hAnsi="Calibri" w:cs="Calibri"/>
        </w:rPr>
        <w:t xml:space="preserve"> </w:t>
      </w:r>
    </w:p>
    <w:p w14:paraId="0D84B8D2" w14:textId="77777777" w:rsidR="00EB2B55" w:rsidRPr="00877C53" w:rsidRDefault="00EB2B55" w:rsidP="00C66338">
      <w:pPr>
        <w:pStyle w:val="Heading3"/>
        <w:rPr>
          <w:rFonts w:asciiTheme="minorHAnsi" w:hAnsiTheme="minorHAnsi" w:cstheme="minorHAnsi"/>
          <w:b/>
          <w:bCs/>
          <w:i/>
          <w:iCs/>
          <w:color w:val="auto"/>
        </w:rPr>
      </w:pPr>
      <w:r w:rsidRPr="00877C53">
        <w:rPr>
          <w:rFonts w:asciiTheme="minorHAnsi" w:hAnsiTheme="minorHAnsi" w:cstheme="minorHAnsi"/>
          <w:b/>
          <w:bCs/>
          <w:color w:val="auto"/>
        </w:rPr>
        <w:t xml:space="preserve">Medical treatments, devices and diagnostic tools </w:t>
      </w:r>
    </w:p>
    <w:p w14:paraId="68487785" w14:textId="77777777" w:rsidR="00EB2B55" w:rsidRPr="00672DBE" w:rsidRDefault="00EB2B55" w:rsidP="003414BB">
      <w:pPr>
        <w:jc w:val="both"/>
      </w:pPr>
      <w:r w:rsidRPr="00672DBE">
        <w:t xml:space="preserve">There were many research papers on medical treatments, devices, and diagnostic tools but most did not meet the inclusion criteria for this review. Only one paper presented gender differences on the use of a device, which was for cardiovascular diseases </w:t>
      </w:r>
      <w:r w:rsidRPr="002F7A6A">
        <w:t>(Looi et al., 2018)</w:t>
      </w:r>
      <w:r w:rsidRPr="00672DBE">
        <w:t xml:space="preserve">. This research investigated sex differences in the application of primary prevention implantable cardioverter defibrillators (ICD) in patients with heart failure in New Zealand. Of the 385 patients receiving implants, only 15.1% were women. It was found that women had a higher prevalence of non-ischaemic cardiomyopathy and overall higher periprocedural complication rates than men (but similar early and late complication rates). No sex differences (named as “gender” differences) were identified in all-cause and heart failure rehospitalisation rates and mortality </w:t>
      </w:r>
      <w:r w:rsidRPr="002F7A6A">
        <w:t>(Looi et al., 2018)</w:t>
      </w:r>
      <w:r w:rsidRPr="00672DBE">
        <w:t xml:space="preserve">. </w:t>
      </w:r>
    </w:p>
    <w:p w14:paraId="031785E6" w14:textId="77777777" w:rsidR="00EB2B55" w:rsidRPr="00672DBE" w:rsidRDefault="00EB2B55">
      <w:r w:rsidRPr="00672DBE">
        <w:br w:type="page"/>
      </w:r>
    </w:p>
    <w:p w14:paraId="7FBCC1C7" w14:textId="22DF6BE8" w:rsidR="00EB2B55" w:rsidRPr="00877C53" w:rsidRDefault="00EB2B55" w:rsidP="00877C53">
      <w:pPr>
        <w:pStyle w:val="Heading2"/>
        <w:numPr>
          <w:ilvl w:val="1"/>
          <w:numId w:val="50"/>
        </w:numPr>
        <w:spacing w:before="0" w:after="160"/>
        <w:rPr>
          <w:rFonts w:asciiTheme="minorHAnsi" w:hAnsiTheme="minorHAnsi" w:cstheme="minorHAnsi"/>
          <w:b/>
          <w:bCs/>
          <w:color w:val="30785B"/>
          <w:sz w:val="24"/>
          <w:szCs w:val="24"/>
        </w:rPr>
      </w:pPr>
      <w:bookmarkStart w:id="227" w:name="_Toc161756597"/>
      <w:bookmarkStart w:id="228" w:name="_Toc161757521"/>
      <w:bookmarkStart w:id="229" w:name="_Toc161763946"/>
      <w:bookmarkStart w:id="230" w:name="_Toc165205001"/>
      <w:bookmarkStart w:id="231" w:name="_Toc168390509"/>
      <w:bookmarkStart w:id="232" w:name="_Toc168390877"/>
      <w:bookmarkStart w:id="233" w:name="_Toc168390943"/>
      <w:bookmarkStart w:id="234" w:name="_Toc168392075"/>
      <w:bookmarkStart w:id="235" w:name="_Toc168392432"/>
      <w:bookmarkStart w:id="236" w:name="_Toc168393605"/>
      <w:bookmarkStart w:id="237" w:name="_Toc168393647"/>
      <w:bookmarkStart w:id="238" w:name="_Toc168394321"/>
      <w:bookmarkStart w:id="239" w:name="_Toc168394459"/>
      <w:r w:rsidRPr="00877C53">
        <w:rPr>
          <w:rFonts w:asciiTheme="minorHAnsi" w:hAnsiTheme="minorHAnsi" w:cstheme="minorHAnsi"/>
          <w:b/>
          <w:bCs/>
          <w:color w:val="30785B"/>
          <w:sz w:val="24"/>
          <w:szCs w:val="24"/>
        </w:rPr>
        <w:lastRenderedPageBreak/>
        <w:t>Question 3: What existing measures, health promotion tools, interventions, or programs are there in Australia and overseas that apply a gendered approach?</w:t>
      </w:r>
      <w:bookmarkEnd w:id="227"/>
      <w:bookmarkEnd w:id="228"/>
      <w:bookmarkEnd w:id="229"/>
      <w:bookmarkEnd w:id="230"/>
      <w:bookmarkEnd w:id="231"/>
      <w:bookmarkEnd w:id="232"/>
      <w:bookmarkEnd w:id="233"/>
      <w:bookmarkEnd w:id="234"/>
      <w:bookmarkEnd w:id="235"/>
      <w:bookmarkEnd w:id="236"/>
      <w:bookmarkEnd w:id="237"/>
      <w:bookmarkEnd w:id="238"/>
      <w:bookmarkEnd w:id="239"/>
    </w:p>
    <w:p w14:paraId="0762EAB4" w14:textId="77777777" w:rsidR="00EB2B55" w:rsidRPr="00672DBE" w:rsidRDefault="00EB2B55" w:rsidP="003414BB">
      <w:r w:rsidRPr="005B2562">
        <w:rPr>
          <w:noProof/>
        </w:rPr>
        <mc:AlternateContent>
          <mc:Choice Requires="wps">
            <w:drawing>
              <wp:anchor distT="0" distB="0" distL="114300" distR="114300" simplePos="0" relativeHeight="251664384" behindDoc="0" locked="0" layoutInCell="1" allowOverlap="1" wp14:anchorId="4E5C9200" wp14:editId="06F8F86F">
                <wp:simplePos x="0" y="0"/>
                <wp:positionH relativeFrom="column">
                  <wp:posOffset>30480</wp:posOffset>
                </wp:positionH>
                <wp:positionV relativeFrom="paragraph">
                  <wp:posOffset>33655</wp:posOffset>
                </wp:positionV>
                <wp:extent cx="5684520" cy="6217920"/>
                <wp:effectExtent l="19050" t="19050" r="30480" b="3048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84520" cy="6217920"/>
                        </a:xfrm>
                        <a:prstGeom prst="rect">
                          <a:avLst/>
                        </a:prstGeom>
                        <a:solidFill>
                          <a:schemeClr val="lt1"/>
                        </a:solidFill>
                        <a:ln w="57150">
                          <a:solidFill>
                            <a:srgbClr val="4C2863">
                              <a:alpha val="10196"/>
                            </a:srgbClr>
                          </a:solidFill>
                        </a:ln>
                        <a:effectLst/>
                      </wps:spPr>
                      <wps:style>
                        <a:lnRef idx="0">
                          <a:schemeClr val="accent1"/>
                        </a:lnRef>
                        <a:fillRef idx="0">
                          <a:schemeClr val="accent1"/>
                        </a:fillRef>
                        <a:effectRef idx="0">
                          <a:schemeClr val="accent1"/>
                        </a:effectRef>
                        <a:fontRef idx="minor">
                          <a:schemeClr val="dk1"/>
                        </a:fontRef>
                      </wps:style>
                      <wps:txbx>
                        <w:txbxContent>
                          <w:p w14:paraId="22D1A3AC" w14:textId="77777777" w:rsidR="009A0F85" w:rsidRPr="00877C53" w:rsidRDefault="009A0F85">
                            <w:pPr>
                              <w:rPr>
                                <w:color w:val="4C2863"/>
                              </w:rPr>
                            </w:pPr>
                            <w:r w:rsidRPr="00877C53">
                              <w:rPr>
                                <w:b/>
                                <w:color w:val="4C2863"/>
                                <w:sz w:val="24"/>
                                <w:szCs w:val="24"/>
                              </w:rPr>
                              <w:t>Key findings</w:t>
                            </w:r>
                            <w:r w:rsidRPr="00877C53">
                              <w:rPr>
                                <w:color w:val="4C2863"/>
                              </w:rPr>
                              <w:t>:</w:t>
                            </w:r>
                          </w:p>
                          <w:p w14:paraId="5F80B155" w14:textId="526E0936" w:rsidR="009A0F85" w:rsidRDefault="009A0F85" w:rsidP="003414BB">
                            <w:pPr>
                              <w:jc w:val="both"/>
                            </w:pPr>
                            <w:r>
                              <w:t>T</w:t>
                            </w:r>
                            <w:r w:rsidRPr="00E62328">
                              <w:t xml:space="preserve">his review </w:t>
                            </w:r>
                            <w:r>
                              <w:t>identified</w:t>
                            </w:r>
                            <w:r w:rsidRPr="00E62328">
                              <w:t xml:space="preserve"> very </w:t>
                            </w:r>
                            <w:r>
                              <w:t>few papers reporting evidence from health promotion tools, interventions, or programs in Australia and around the world that applied a gendered approach, and even fewer reporting evaluations</w:t>
                            </w:r>
                            <w:r w:rsidRPr="00E62328">
                              <w:t xml:space="preserve"> </w:t>
                            </w:r>
                            <w:r>
                              <w:t xml:space="preserve">of attempts </w:t>
                            </w:r>
                            <w:r w:rsidRPr="00E62328">
                              <w:t>to reduce gender bias and inequity in health</w:t>
                            </w:r>
                            <w:r>
                              <w:t xml:space="preserve"> </w:t>
                            </w:r>
                            <w:r w:rsidRPr="00E62328">
                              <w:t xml:space="preserve">care. We identified only nine evaluated provider-based and healthcare-based interventions. </w:t>
                            </w:r>
                            <w:r>
                              <w:rPr>
                                <w:lang w:val="en-US"/>
                              </w:rPr>
                              <w:t>Most</w:t>
                            </w:r>
                            <w:r w:rsidRPr="00E62328">
                              <w:rPr>
                                <w:lang w:val="en-US"/>
                              </w:rPr>
                              <w:t xml:space="preserve"> interventions </w:t>
                            </w:r>
                            <w:r>
                              <w:rPr>
                                <w:lang w:val="en-US"/>
                              </w:rPr>
                              <w:t>were found to</w:t>
                            </w:r>
                            <w:r w:rsidRPr="00E62328">
                              <w:rPr>
                                <w:lang w:val="en-US"/>
                              </w:rPr>
                              <w:t xml:space="preserve"> achieve</w:t>
                            </w:r>
                            <w:r>
                              <w:rPr>
                                <w:lang w:val="en-US"/>
                              </w:rPr>
                              <w:t xml:space="preserve"> limited</w:t>
                            </w:r>
                            <w:r w:rsidRPr="00E62328">
                              <w:rPr>
                                <w:lang w:val="en-US"/>
                              </w:rPr>
                              <w:t xml:space="preserve"> narrowing </w:t>
                            </w:r>
                            <w:r>
                              <w:rPr>
                                <w:lang w:val="en-US"/>
                              </w:rPr>
                              <w:t xml:space="preserve">of </w:t>
                            </w:r>
                            <w:r w:rsidRPr="00E62328">
                              <w:rPr>
                                <w:lang w:val="en-US"/>
                              </w:rPr>
                              <w:t xml:space="preserve">the gender gap, </w:t>
                            </w:r>
                            <w:r>
                              <w:rPr>
                                <w:lang w:val="en-US"/>
                              </w:rPr>
                              <w:t>al</w:t>
                            </w:r>
                            <w:r w:rsidRPr="00E62328">
                              <w:rPr>
                                <w:lang w:val="en-US"/>
                              </w:rPr>
                              <w:t xml:space="preserve">though </w:t>
                            </w:r>
                            <w:r>
                              <w:rPr>
                                <w:lang w:val="en-US"/>
                              </w:rPr>
                              <w:t>the</w:t>
                            </w:r>
                            <w:r w:rsidRPr="00E62328">
                              <w:rPr>
                                <w:lang w:val="en-US"/>
                              </w:rPr>
                              <w:t xml:space="preserve"> studies</w:t>
                            </w:r>
                            <w:r>
                              <w:rPr>
                                <w:lang w:val="en-US"/>
                              </w:rPr>
                              <w:t xml:space="preserve"> dealt with different outcomes or variables which made comparison difficult</w:t>
                            </w:r>
                            <w:r w:rsidRPr="00E62328">
                              <w:rPr>
                                <w:lang w:val="en-US"/>
                              </w:rPr>
                              <w:t xml:space="preserve"> </w:t>
                            </w:r>
                            <w:r w:rsidRPr="00221136">
                              <w:rPr>
                                <w:lang w:val="en-US"/>
                              </w:rPr>
                              <w:t>(Appendix 2).</w:t>
                            </w:r>
                            <w:r w:rsidRPr="00E62328">
                              <w:rPr>
                                <w:lang w:val="en-US"/>
                              </w:rPr>
                              <w:t xml:space="preserve"> </w:t>
                            </w:r>
                            <w:r>
                              <w:rPr>
                                <w:lang w:val="en-US"/>
                              </w:rPr>
                              <w:t xml:space="preserve">We concluded that </w:t>
                            </w:r>
                            <w:r w:rsidRPr="00E62328">
                              <w:rPr>
                                <w:lang w:val="en-US"/>
                              </w:rPr>
                              <w:t>interventions through education, training</w:t>
                            </w:r>
                            <w:r>
                              <w:rPr>
                                <w:lang w:val="en-US"/>
                              </w:rPr>
                              <w:t>,</w:t>
                            </w:r>
                            <w:r w:rsidRPr="00E62328">
                              <w:rPr>
                                <w:lang w:val="en-US"/>
                              </w:rPr>
                              <w:t xml:space="preserve"> and counselling </w:t>
                            </w:r>
                            <w:r>
                              <w:rPr>
                                <w:lang w:val="en-US"/>
                              </w:rPr>
                              <w:t>were most</w:t>
                            </w:r>
                            <w:r w:rsidRPr="00E62328">
                              <w:rPr>
                                <w:lang w:val="en-US"/>
                              </w:rPr>
                              <w:t xml:space="preserve"> effective.</w:t>
                            </w:r>
                            <w:r>
                              <w:rPr>
                                <w:lang w:val="en-US"/>
                              </w:rPr>
                              <w:t xml:space="preserve"> These measures were, </w:t>
                            </w:r>
                            <w:proofErr w:type="gramStart"/>
                            <w:r>
                              <w:rPr>
                                <w:lang w:val="en-US"/>
                              </w:rPr>
                              <w:t>on the whole</w:t>
                            </w:r>
                            <w:proofErr w:type="gramEnd"/>
                            <w:r>
                              <w:rPr>
                                <w:lang w:val="en-US"/>
                              </w:rPr>
                              <w:t xml:space="preserve">, directed at ameliorating differences arising from the characteristics particular to women and men. </w:t>
                            </w:r>
                            <w:r w:rsidRPr="00E71D9A">
                              <w:rPr>
                                <w:lang w:val="en-US"/>
                              </w:rPr>
                              <w:t xml:space="preserve">We </w:t>
                            </w:r>
                            <w:r w:rsidRPr="005A643F">
                              <w:rPr>
                                <w:lang w:val="en-US"/>
                              </w:rPr>
                              <w:t>found two</w:t>
                            </w:r>
                            <w:r w:rsidRPr="00E71D9A">
                              <w:rPr>
                                <w:lang w:val="en-US"/>
                              </w:rPr>
                              <w:t xml:space="preserve"> that attempted to modify entrenched discrimination in health services and practice.</w:t>
                            </w:r>
                          </w:p>
                          <w:p w14:paraId="671FFE64" w14:textId="77777777" w:rsidR="009A0F85" w:rsidRPr="003730E0" w:rsidRDefault="009A0F85" w:rsidP="003730E0">
                            <w:pPr>
                              <w:pStyle w:val="ListParagraph"/>
                              <w:numPr>
                                <w:ilvl w:val="0"/>
                                <w:numId w:val="13"/>
                              </w:numPr>
                              <w:ind w:left="426" w:hanging="284"/>
                              <w:jc w:val="both"/>
                            </w:pPr>
                            <w:r w:rsidRPr="003730E0">
                              <w:t>The nine papers reporting interventions to reduce gender bias and inequities dealt with diabetes and glycaemic control (n=2), cardiovascular disease (n=1), cognitive health (n=1), rehabilitation (n=1), smoking cessation (n=1), substance abuse (n=1), pulmonary diseases (n=1) and weight management (n=1).</w:t>
                            </w:r>
                          </w:p>
                          <w:p w14:paraId="516F2D7A" w14:textId="299B283B" w:rsidR="009A0F85" w:rsidRPr="003730E0" w:rsidRDefault="009A0F85" w:rsidP="003730E0">
                            <w:pPr>
                              <w:pStyle w:val="ListParagraph"/>
                              <w:numPr>
                                <w:ilvl w:val="0"/>
                                <w:numId w:val="13"/>
                              </w:numPr>
                              <w:ind w:left="426" w:hanging="284"/>
                              <w:jc w:val="both"/>
                            </w:pPr>
                            <w:r w:rsidRPr="003730E0">
                              <w:t>Interventions were conducted in the United States (n=3), Canada (n=1), Italy (n=1), Germany (n=1), Portugal (n=1), Sweden (n=1) and globally (n=1).</w:t>
                            </w:r>
                          </w:p>
                          <w:p w14:paraId="3130716B" w14:textId="77777777" w:rsidR="009A0F85" w:rsidRPr="003730E0" w:rsidRDefault="009A0F85" w:rsidP="003730E0">
                            <w:pPr>
                              <w:pStyle w:val="ListParagraph"/>
                              <w:numPr>
                                <w:ilvl w:val="0"/>
                                <w:numId w:val="13"/>
                              </w:numPr>
                              <w:ind w:left="426" w:hanging="284"/>
                              <w:jc w:val="both"/>
                            </w:pPr>
                            <w:r w:rsidRPr="003730E0">
                              <w:t xml:space="preserve">Settings were specialised clinics or primary care (n=5), community or home-based programs (n=2), a residential program (n=1), and one study of a hospital and a clinic (n=1). </w:t>
                            </w:r>
                          </w:p>
                          <w:p w14:paraId="2A7BF661" w14:textId="77777777" w:rsidR="009A0F85" w:rsidRPr="003730E0" w:rsidRDefault="009A0F85" w:rsidP="003730E0">
                            <w:pPr>
                              <w:pStyle w:val="ListParagraph"/>
                              <w:numPr>
                                <w:ilvl w:val="0"/>
                                <w:numId w:val="13"/>
                              </w:numPr>
                              <w:ind w:left="426" w:hanging="284"/>
                              <w:jc w:val="both"/>
                            </w:pPr>
                            <w:r w:rsidRPr="003730E0">
                              <w:t>The education, training, and counselling interventions that were effective in narrowing the gender gap included aerobic training for cognitive impairment;</w:t>
                            </w:r>
                            <w:r w:rsidRPr="003730E0">
                              <w:rPr>
                                <w:rFonts w:hint="eastAsia"/>
                              </w:rPr>
                              <w:t xml:space="preserve"> </w:t>
                            </w:r>
                            <w:r w:rsidRPr="003730E0">
                              <w:t xml:space="preserve">a quality of care program for patients with chronic obstructive pulmonary disease; a smoking cessation program delivered through behavioural counselling and pharmacotherapy; substance abuse treatment programs through counselling, group meetings, and medication; and a 12-week weight-management program for adolescents on weight loss and psychosocial well-being. </w:t>
                            </w:r>
                          </w:p>
                          <w:p w14:paraId="70A7BF47" w14:textId="77777777" w:rsidR="009A0F85" w:rsidRPr="003730E0" w:rsidRDefault="009A0F85" w:rsidP="003730E0">
                            <w:pPr>
                              <w:pStyle w:val="ListParagraph"/>
                              <w:numPr>
                                <w:ilvl w:val="0"/>
                                <w:numId w:val="13"/>
                              </w:numPr>
                              <w:ind w:left="426" w:hanging="284"/>
                              <w:jc w:val="both"/>
                            </w:pPr>
                            <w:r w:rsidRPr="003730E0">
                              <w:t>Medical treatment interventions included a system-based approach for women in hospital with heart disease, and use of an approach that combined lifestyle and drug therapies.</w:t>
                            </w:r>
                          </w:p>
                          <w:p w14:paraId="6E61F10A" w14:textId="77777777" w:rsidR="009A0F85" w:rsidRPr="003730E0" w:rsidRDefault="009A0F85" w:rsidP="003730E0">
                            <w:pPr>
                              <w:pStyle w:val="ListParagraph"/>
                              <w:numPr>
                                <w:ilvl w:val="0"/>
                                <w:numId w:val="13"/>
                              </w:numPr>
                              <w:ind w:left="426" w:hanging="284"/>
                              <w:jc w:val="both"/>
                              <w:rPr>
                                <w:rFonts w:cstheme="minorHAnsi"/>
                              </w:rPr>
                            </w:pPr>
                            <w:r w:rsidRPr="003730E0">
                              <w:t xml:space="preserve">One literature review of lifestyle interventions for type 2 diabetes found evidence that women had lower cardiovascular mortality with lifestyle changes than </w:t>
                            </w:r>
                            <w:proofErr w:type="gramStart"/>
                            <w:r w:rsidRPr="003730E0">
                              <w:t>men, and</w:t>
                            </w:r>
                            <w:proofErr w:type="gramEnd"/>
                            <w:r w:rsidRPr="003730E0">
                              <w:t xml:space="preserve"> wer</w:t>
                            </w:r>
                            <w:r w:rsidRPr="003730E0">
                              <w:rPr>
                                <w:rFonts w:cstheme="minorHAnsi"/>
                              </w:rPr>
                              <w:t>e more successful in reducing and maintaining weight with pharmacological approaches than men.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C9200" id="Text Box 7" o:spid="_x0000_s1050" type="#_x0000_t202" alt="&quot;&quot;" style="position:absolute;margin-left:2.4pt;margin-top:2.65pt;width:447.6pt;height:48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" fillcolor="white [3201]" strokecolor="#4c2863" strokeweight="4.5pt">
                <v:stroke opacity="6682f"/>
                <v:textbox>
                  <w:txbxContent>
                    <w:p w14:paraId="22D1A3AC" w14:textId="77777777" w:rsidR="009A0F85" w:rsidRPr="00877C53" w:rsidRDefault="009A0F85">
                      <w:pPr>
                        <w:rPr>
                          <w:color w:val="4C2863"/>
                        </w:rPr>
                      </w:pPr>
                      <w:r w:rsidRPr="00877C53">
                        <w:rPr>
                          <w:b/>
                          <w:color w:val="4C2863"/>
                          <w:sz w:val="24"/>
                          <w:szCs w:val="24"/>
                        </w:rPr>
                        <w:t>Key findings</w:t>
                      </w:r>
                      <w:r w:rsidRPr="00877C53">
                        <w:rPr>
                          <w:color w:val="4C2863"/>
                        </w:rPr>
                        <w:t>:</w:t>
                      </w:r>
                    </w:p>
                    <w:p w14:paraId="5F80B155" w14:textId="526E0936" w:rsidR="009A0F85" w:rsidRDefault="009A0F85" w:rsidP="003414BB">
                      <w:pPr>
                        <w:jc w:val="both"/>
                      </w:pPr>
                      <w:r>
                        <w:t>T</w:t>
                      </w:r>
                      <w:r w:rsidRPr="00E62328">
                        <w:t xml:space="preserve">his review </w:t>
                      </w:r>
                      <w:r>
                        <w:t>identified</w:t>
                      </w:r>
                      <w:r w:rsidRPr="00E62328">
                        <w:t xml:space="preserve"> very </w:t>
                      </w:r>
                      <w:r>
                        <w:t>few papers reporting evidence from health promotion tools, interventions, or programs in Australia and around the world that applied a gendered approach, and even fewer reporting evaluations</w:t>
                      </w:r>
                      <w:r w:rsidRPr="00E62328">
                        <w:t xml:space="preserve"> </w:t>
                      </w:r>
                      <w:r>
                        <w:t xml:space="preserve">of attempts </w:t>
                      </w:r>
                      <w:r w:rsidRPr="00E62328">
                        <w:t>to reduce gender bias and inequity in health</w:t>
                      </w:r>
                      <w:r>
                        <w:t xml:space="preserve"> </w:t>
                      </w:r>
                      <w:r w:rsidRPr="00E62328">
                        <w:t xml:space="preserve">care. We identified only nine evaluated provider-based and healthcare-based interventions. </w:t>
                      </w:r>
                      <w:r>
                        <w:rPr>
                          <w:lang w:val="en-US"/>
                        </w:rPr>
                        <w:t>Most</w:t>
                      </w:r>
                      <w:r w:rsidRPr="00E62328">
                        <w:rPr>
                          <w:lang w:val="en-US"/>
                        </w:rPr>
                        <w:t xml:space="preserve"> interventions </w:t>
                      </w:r>
                      <w:r>
                        <w:rPr>
                          <w:lang w:val="en-US"/>
                        </w:rPr>
                        <w:t>were found to</w:t>
                      </w:r>
                      <w:r w:rsidRPr="00E62328">
                        <w:rPr>
                          <w:lang w:val="en-US"/>
                        </w:rPr>
                        <w:t xml:space="preserve"> achieve</w:t>
                      </w:r>
                      <w:r>
                        <w:rPr>
                          <w:lang w:val="en-US"/>
                        </w:rPr>
                        <w:t xml:space="preserve"> limited</w:t>
                      </w:r>
                      <w:r w:rsidRPr="00E62328">
                        <w:rPr>
                          <w:lang w:val="en-US"/>
                        </w:rPr>
                        <w:t xml:space="preserve"> narrowing </w:t>
                      </w:r>
                      <w:r>
                        <w:rPr>
                          <w:lang w:val="en-US"/>
                        </w:rPr>
                        <w:t xml:space="preserve">of </w:t>
                      </w:r>
                      <w:r w:rsidRPr="00E62328">
                        <w:rPr>
                          <w:lang w:val="en-US"/>
                        </w:rPr>
                        <w:t xml:space="preserve">the gender gap, </w:t>
                      </w:r>
                      <w:r>
                        <w:rPr>
                          <w:lang w:val="en-US"/>
                        </w:rPr>
                        <w:t>al</w:t>
                      </w:r>
                      <w:r w:rsidRPr="00E62328">
                        <w:rPr>
                          <w:lang w:val="en-US"/>
                        </w:rPr>
                        <w:t xml:space="preserve">though </w:t>
                      </w:r>
                      <w:r>
                        <w:rPr>
                          <w:lang w:val="en-US"/>
                        </w:rPr>
                        <w:t>the</w:t>
                      </w:r>
                      <w:r w:rsidRPr="00E62328">
                        <w:rPr>
                          <w:lang w:val="en-US"/>
                        </w:rPr>
                        <w:t xml:space="preserve"> studies</w:t>
                      </w:r>
                      <w:r>
                        <w:rPr>
                          <w:lang w:val="en-US"/>
                        </w:rPr>
                        <w:t xml:space="preserve"> dealt with different outcomes or variables which made comparison difficult</w:t>
                      </w:r>
                      <w:r w:rsidRPr="00E62328">
                        <w:rPr>
                          <w:lang w:val="en-US"/>
                        </w:rPr>
                        <w:t xml:space="preserve"> </w:t>
                      </w:r>
                      <w:r w:rsidRPr="00221136">
                        <w:rPr>
                          <w:lang w:val="en-US"/>
                        </w:rPr>
                        <w:t>(Appendix 2).</w:t>
                      </w:r>
                      <w:r w:rsidRPr="00E62328">
                        <w:rPr>
                          <w:lang w:val="en-US"/>
                        </w:rPr>
                        <w:t xml:space="preserve"> </w:t>
                      </w:r>
                      <w:r>
                        <w:rPr>
                          <w:lang w:val="en-US"/>
                        </w:rPr>
                        <w:t xml:space="preserve">We concluded that </w:t>
                      </w:r>
                      <w:r w:rsidRPr="00E62328">
                        <w:rPr>
                          <w:lang w:val="en-US"/>
                        </w:rPr>
                        <w:t>interventions through education, training</w:t>
                      </w:r>
                      <w:r>
                        <w:rPr>
                          <w:lang w:val="en-US"/>
                        </w:rPr>
                        <w:t>,</w:t>
                      </w:r>
                      <w:r w:rsidRPr="00E62328">
                        <w:rPr>
                          <w:lang w:val="en-US"/>
                        </w:rPr>
                        <w:t xml:space="preserve"> and counselling </w:t>
                      </w:r>
                      <w:r>
                        <w:rPr>
                          <w:lang w:val="en-US"/>
                        </w:rPr>
                        <w:t>were most</w:t>
                      </w:r>
                      <w:r w:rsidRPr="00E62328">
                        <w:rPr>
                          <w:lang w:val="en-US"/>
                        </w:rPr>
                        <w:t xml:space="preserve"> effective.</w:t>
                      </w:r>
                      <w:r>
                        <w:rPr>
                          <w:lang w:val="en-US"/>
                        </w:rPr>
                        <w:t xml:space="preserve"> These measures were, </w:t>
                      </w:r>
                      <w:proofErr w:type="gramStart"/>
                      <w:r>
                        <w:rPr>
                          <w:lang w:val="en-US"/>
                        </w:rPr>
                        <w:t>on the whole</w:t>
                      </w:r>
                      <w:proofErr w:type="gramEnd"/>
                      <w:r>
                        <w:rPr>
                          <w:lang w:val="en-US"/>
                        </w:rPr>
                        <w:t xml:space="preserve">, directed at ameliorating differences arising from the characteristics particular to women and men. </w:t>
                      </w:r>
                      <w:r w:rsidRPr="00E71D9A">
                        <w:rPr>
                          <w:lang w:val="en-US"/>
                        </w:rPr>
                        <w:t xml:space="preserve">We </w:t>
                      </w:r>
                      <w:r w:rsidRPr="005A643F">
                        <w:rPr>
                          <w:lang w:val="en-US"/>
                        </w:rPr>
                        <w:t>found two</w:t>
                      </w:r>
                      <w:r w:rsidRPr="00E71D9A">
                        <w:rPr>
                          <w:lang w:val="en-US"/>
                        </w:rPr>
                        <w:t xml:space="preserve"> that attempted to modify entrenched discrimination in health services and practice.</w:t>
                      </w:r>
                    </w:p>
                    <w:p w14:paraId="671FFE64" w14:textId="77777777" w:rsidR="009A0F85" w:rsidRPr="003730E0" w:rsidRDefault="009A0F85" w:rsidP="003730E0">
                      <w:pPr>
                        <w:pStyle w:val="ListParagraph"/>
                        <w:numPr>
                          <w:ilvl w:val="0"/>
                          <w:numId w:val="13"/>
                        </w:numPr>
                        <w:ind w:left="426" w:hanging="284"/>
                        <w:jc w:val="both"/>
                      </w:pPr>
                      <w:r w:rsidRPr="003730E0">
                        <w:t>The nine papers reporting interventions to reduce gender bias and inequities dealt with diabetes and glycaemic control (n=2), cardiovascular disease (n=1), cognitive health (n=1), rehabilitation (n=1), smoking cessation (n=1), substance abuse (n=1), pulmonary diseases (n=1) and weight management (n=1).</w:t>
                      </w:r>
                    </w:p>
                    <w:p w14:paraId="516F2D7A" w14:textId="299B283B" w:rsidR="009A0F85" w:rsidRPr="003730E0" w:rsidRDefault="009A0F85" w:rsidP="003730E0">
                      <w:pPr>
                        <w:pStyle w:val="ListParagraph"/>
                        <w:numPr>
                          <w:ilvl w:val="0"/>
                          <w:numId w:val="13"/>
                        </w:numPr>
                        <w:ind w:left="426" w:hanging="284"/>
                        <w:jc w:val="both"/>
                      </w:pPr>
                      <w:r w:rsidRPr="003730E0">
                        <w:t>Interventions were conducted in the United States (n=3), Canada (n=1), Italy (n=1), Germany (n=1), Portugal (n=1), Sweden (n=1) and globally (n=1).</w:t>
                      </w:r>
                    </w:p>
                    <w:p w14:paraId="3130716B" w14:textId="77777777" w:rsidR="009A0F85" w:rsidRPr="003730E0" w:rsidRDefault="009A0F85" w:rsidP="003730E0">
                      <w:pPr>
                        <w:pStyle w:val="ListParagraph"/>
                        <w:numPr>
                          <w:ilvl w:val="0"/>
                          <w:numId w:val="13"/>
                        </w:numPr>
                        <w:ind w:left="426" w:hanging="284"/>
                        <w:jc w:val="both"/>
                      </w:pPr>
                      <w:r w:rsidRPr="003730E0">
                        <w:t xml:space="preserve">Settings were specialised clinics or primary care (n=5), community or home-based programs (n=2), a residential program (n=1), and one study of a hospital and a clinic (n=1). </w:t>
                      </w:r>
                    </w:p>
                    <w:p w14:paraId="2A7BF661" w14:textId="77777777" w:rsidR="009A0F85" w:rsidRPr="003730E0" w:rsidRDefault="009A0F85" w:rsidP="003730E0">
                      <w:pPr>
                        <w:pStyle w:val="ListParagraph"/>
                        <w:numPr>
                          <w:ilvl w:val="0"/>
                          <w:numId w:val="13"/>
                        </w:numPr>
                        <w:ind w:left="426" w:hanging="284"/>
                        <w:jc w:val="both"/>
                      </w:pPr>
                      <w:r w:rsidRPr="003730E0">
                        <w:t>The education, training, and counselling interventions that were effective in narrowing the gender gap included aerobic training for cognitive impairment;</w:t>
                      </w:r>
                      <w:r w:rsidRPr="003730E0">
                        <w:rPr>
                          <w:rFonts w:hint="eastAsia"/>
                        </w:rPr>
                        <w:t xml:space="preserve"> </w:t>
                      </w:r>
                      <w:r w:rsidRPr="003730E0">
                        <w:t xml:space="preserve">a quality of care program for patients with chronic obstructive pulmonary disease; a smoking cessation program delivered through behavioural counselling and pharmacotherapy; substance abuse treatment programs through counselling, group meetings, and medication; and a 12-week weight-management program for adolescents on weight loss and psychosocial well-being. </w:t>
                      </w:r>
                    </w:p>
                    <w:p w14:paraId="70A7BF47" w14:textId="77777777" w:rsidR="009A0F85" w:rsidRPr="003730E0" w:rsidRDefault="009A0F85" w:rsidP="003730E0">
                      <w:pPr>
                        <w:pStyle w:val="ListParagraph"/>
                        <w:numPr>
                          <w:ilvl w:val="0"/>
                          <w:numId w:val="13"/>
                        </w:numPr>
                        <w:ind w:left="426" w:hanging="284"/>
                        <w:jc w:val="both"/>
                      </w:pPr>
                      <w:r w:rsidRPr="003730E0">
                        <w:t>Medical treatment interventions included a system-based approach for women in hospital with heart disease, and use of an approach that combined lifestyle and drug therapies.</w:t>
                      </w:r>
                    </w:p>
                    <w:p w14:paraId="6E61F10A" w14:textId="77777777" w:rsidR="009A0F85" w:rsidRPr="003730E0" w:rsidRDefault="009A0F85" w:rsidP="003730E0">
                      <w:pPr>
                        <w:pStyle w:val="ListParagraph"/>
                        <w:numPr>
                          <w:ilvl w:val="0"/>
                          <w:numId w:val="13"/>
                        </w:numPr>
                        <w:ind w:left="426" w:hanging="284"/>
                        <w:jc w:val="both"/>
                        <w:rPr>
                          <w:rFonts w:cstheme="minorHAnsi"/>
                        </w:rPr>
                      </w:pPr>
                      <w:r w:rsidRPr="003730E0">
                        <w:t xml:space="preserve">One literature review of lifestyle interventions for type 2 diabetes found evidence that women had lower cardiovascular mortality with lifestyle changes than </w:t>
                      </w:r>
                      <w:proofErr w:type="gramStart"/>
                      <w:r w:rsidRPr="003730E0">
                        <w:t>men, and</w:t>
                      </w:r>
                      <w:proofErr w:type="gramEnd"/>
                      <w:r w:rsidRPr="003730E0">
                        <w:t xml:space="preserve"> wer</w:t>
                      </w:r>
                      <w:r w:rsidRPr="003730E0">
                        <w:rPr>
                          <w:rFonts w:cstheme="minorHAnsi"/>
                        </w:rPr>
                        <w:t>e more successful in reducing and maintaining weight with pharmacological approaches than men.</w:t>
                      </w:r>
                    </w:p>
                  </w:txbxContent>
                </v:textbox>
              </v:shape>
            </w:pict>
          </mc:Fallback>
        </mc:AlternateContent>
      </w:r>
    </w:p>
    <w:p w14:paraId="78D2B528" w14:textId="77777777" w:rsidR="00EB2B55" w:rsidRPr="00672DBE" w:rsidRDefault="00EB2B55" w:rsidP="003414BB"/>
    <w:p w14:paraId="467CC175" w14:textId="77777777" w:rsidR="00EB2B55" w:rsidRPr="00672DBE" w:rsidRDefault="00EB2B55" w:rsidP="003414BB"/>
    <w:p w14:paraId="3B167E25" w14:textId="77777777" w:rsidR="00EB2B55" w:rsidRPr="00672DBE" w:rsidRDefault="00EB2B55" w:rsidP="003414BB"/>
    <w:p w14:paraId="68F226B5" w14:textId="77777777" w:rsidR="00EB2B55" w:rsidRPr="00672DBE" w:rsidRDefault="00EB2B55" w:rsidP="003414BB"/>
    <w:p w14:paraId="2CC3E2B8" w14:textId="77777777" w:rsidR="00EB2B55" w:rsidRPr="00672DBE" w:rsidRDefault="00EB2B55" w:rsidP="003414BB"/>
    <w:p w14:paraId="71DD7512" w14:textId="77777777" w:rsidR="00EB2B55" w:rsidRPr="00672DBE" w:rsidRDefault="00EB2B55" w:rsidP="003414BB"/>
    <w:p w14:paraId="57E137A3" w14:textId="77777777" w:rsidR="00EB2B55" w:rsidRPr="00672DBE" w:rsidRDefault="00EB2B55" w:rsidP="003414BB"/>
    <w:p w14:paraId="76204B0B" w14:textId="77777777" w:rsidR="00EB2B55" w:rsidRPr="00672DBE" w:rsidRDefault="00EB2B55" w:rsidP="003414BB"/>
    <w:p w14:paraId="4FEBD53D" w14:textId="77777777" w:rsidR="00EB2B55" w:rsidRPr="00672DBE" w:rsidRDefault="00EB2B55" w:rsidP="003414BB"/>
    <w:p w14:paraId="256062E6" w14:textId="77777777" w:rsidR="00EB2B55" w:rsidRPr="00672DBE" w:rsidRDefault="00EB2B55" w:rsidP="003414BB"/>
    <w:p w14:paraId="7DBECDF2" w14:textId="77777777" w:rsidR="00EB2B55" w:rsidRPr="00672DBE" w:rsidRDefault="00EB2B55" w:rsidP="003414BB"/>
    <w:p w14:paraId="1BEFA631" w14:textId="77777777" w:rsidR="00EB2B55" w:rsidRPr="00672DBE" w:rsidRDefault="00EB2B55" w:rsidP="003414BB"/>
    <w:p w14:paraId="53C76138" w14:textId="77777777" w:rsidR="00EB2B55" w:rsidRPr="00672DBE" w:rsidRDefault="00EB2B55" w:rsidP="003414BB">
      <w:pPr>
        <w:jc w:val="right"/>
      </w:pPr>
    </w:p>
    <w:p w14:paraId="22E97CC2" w14:textId="77777777" w:rsidR="00EB2B55" w:rsidRPr="00672DBE" w:rsidRDefault="00EB2B55" w:rsidP="003414BB">
      <w:pPr>
        <w:jc w:val="right"/>
      </w:pPr>
    </w:p>
    <w:p w14:paraId="7263E907" w14:textId="77777777" w:rsidR="00EB2B55" w:rsidRPr="00672DBE" w:rsidRDefault="00EB2B55" w:rsidP="003414BB"/>
    <w:p w14:paraId="7DEFA77A" w14:textId="77777777" w:rsidR="00EB2B55" w:rsidRPr="00672DBE" w:rsidRDefault="00EB2B55" w:rsidP="003414BB"/>
    <w:p w14:paraId="6DF8EFEC" w14:textId="77777777" w:rsidR="00EB2B55" w:rsidRPr="00672DBE" w:rsidRDefault="00EB2B55" w:rsidP="003414BB"/>
    <w:p w14:paraId="021933A3" w14:textId="77777777" w:rsidR="00EB2B55" w:rsidRPr="00672DBE" w:rsidRDefault="00EB2B55" w:rsidP="003414BB"/>
    <w:p w14:paraId="1BDEB448" w14:textId="77777777" w:rsidR="00EB2B55" w:rsidRPr="00672DBE" w:rsidRDefault="00EB2B55" w:rsidP="003414BB"/>
    <w:p w14:paraId="49B6ED3F" w14:textId="77777777" w:rsidR="00EB2B55" w:rsidRPr="00672DBE" w:rsidRDefault="00EB2B55" w:rsidP="003414BB"/>
    <w:p w14:paraId="09B8787C" w14:textId="77777777" w:rsidR="00EB2B55" w:rsidRPr="00672DBE" w:rsidRDefault="00EB2B55" w:rsidP="003414BB"/>
    <w:p w14:paraId="10914667" w14:textId="77777777" w:rsidR="00EB2B55" w:rsidRPr="00672DBE" w:rsidRDefault="00EB2B55">
      <w:r w:rsidRPr="00672DBE">
        <w:br w:type="page"/>
      </w:r>
    </w:p>
    <w:p w14:paraId="304698D6" w14:textId="05E67546" w:rsidR="00EB2B55" w:rsidRPr="00672DBE" w:rsidRDefault="00EB2B55" w:rsidP="003414BB">
      <w:pPr>
        <w:jc w:val="both"/>
      </w:pPr>
      <w:r w:rsidRPr="00672DBE">
        <w:lastRenderedPageBreak/>
        <w:t xml:space="preserve">This review identified nine studies of interventions to reduce gender inequities in Australia and overseas (Appendix </w:t>
      </w:r>
      <w:r w:rsidR="005253AB">
        <w:t>B, Table B3</w:t>
      </w:r>
      <w:r w:rsidRPr="00672DBE">
        <w:t xml:space="preserve">). </w:t>
      </w:r>
      <w:r w:rsidR="0074505B">
        <w:t>The majority</w:t>
      </w:r>
      <w:r w:rsidRPr="00672DBE">
        <w:t xml:space="preserve"> were directed at modifying care according to the sex or gender of the recipients. With </w:t>
      </w:r>
      <w:r w:rsidR="004E6779">
        <w:t>three</w:t>
      </w:r>
      <w:r w:rsidR="004E6779" w:rsidRPr="00672DBE">
        <w:t xml:space="preserve"> </w:t>
      </w:r>
      <w:r w:rsidRPr="00672DBE">
        <w:t xml:space="preserve">exceptions, no measures or interventions were found that aimed to modify inherent bias or discrimination in the health system, health services, or practice, although the interventions with patients did, by definition, respond to sex or gender inequities. </w:t>
      </w:r>
      <w:r w:rsidR="00276031">
        <w:t>Overall, limited robust evidence was reported. Interventions tended to be short-term, comparing baseline with outcome in a single group.</w:t>
      </w:r>
    </w:p>
    <w:p w14:paraId="1F622528" w14:textId="57506FC4" w:rsidR="00EB2B55" w:rsidRPr="00672DBE" w:rsidRDefault="00EB2B55" w:rsidP="003414BB">
      <w:pPr>
        <w:jc w:val="both"/>
      </w:pPr>
      <w:r w:rsidRPr="00672DBE">
        <w:t>There were two prospective cohort studies, three cross-sectional studies, two observational studies, one randomised controlled trial (RCT), and one review</w:t>
      </w:r>
      <w:r w:rsidR="00AA20FB">
        <w:t xml:space="preserve"> of international literature</w:t>
      </w:r>
      <w:r w:rsidRPr="00672DBE">
        <w:t xml:space="preserve">. The health conditions that were the subject of the investigations were diabetes and glycaemic control </w:t>
      </w:r>
      <w:r w:rsidRPr="002F7A6A">
        <w:t>(</w:t>
      </w:r>
      <w:proofErr w:type="spellStart"/>
      <w:r w:rsidRPr="002F7A6A">
        <w:t>Harreiter</w:t>
      </w:r>
      <w:proofErr w:type="spellEnd"/>
      <w:r w:rsidRPr="002F7A6A">
        <w:t xml:space="preserve"> &amp; Kautzky-Willer, 2018; Schutt et al., 2015)</w:t>
      </w:r>
      <w:r w:rsidRPr="00672DBE">
        <w:t xml:space="preserve">, cardiovascular disease </w:t>
      </w:r>
      <w:r w:rsidRPr="002F7A6A">
        <w:t>(</w:t>
      </w:r>
      <w:proofErr w:type="spellStart"/>
      <w:r w:rsidRPr="002F7A6A">
        <w:t>Huded</w:t>
      </w:r>
      <w:proofErr w:type="spellEnd"/>
      <w:r w:rsidRPr="002F7A6A">
        <w:t xml:space="preserve"> et al., 2018)</w:t>
      </w:r>
      <w:r w:rsidRPr="00672DBE">
        <w:t xml:space="preserve">, cognitive health </w:t>
      </w:r>
      <w:r w:rsidRPr="002F7A6A">
        <w:t>(</w:t>
      </w:r>
      <w:proofErr w:type="spellStart"/>
      <w:r w:rsidRPr="002F7A6A">
        <w:t>Barha</w:t>
      </w:r>
      <w:proofErr w:type="spellEnd"/>
      <w:r w:rsidRPr="002F7A6A">
        <w:t xml:space="preserve"> et al., 2017)</w:t>
      </w:r>
      <w:r w:rsidRPr="00672DBE">
        <w:t xml:space="preserve">, rehabilitation </w:t>
      </w:r>
      <w:r w:rsidRPr="002F7A6A">
        <w:t>(Johansson et al., 2022)</w:t>
      </w:r>
      <w:r w:rsidRPr="00672DBE">
        <w:t xml:space="preserve">, smoking cessation </w:t>
      </w:r>
      <w:r w:rsidRPr="002F7A6A">
        <w:t>(Cropsey et al., 2014)</w:t>
      </w:r>
      <w:r w:rsidRPr="00672DBE">
        <w:t xml:space="preserve">, substance use </w:t>
      </w:r>
      <w:r w:rsidRPr="002F7A6A">
        <w:t>(Guerrero et al., 2014)</w:t>
      </w:r>
      <w:r w:rsidRPr="00672DBE">
        <w:t xml:space="preserve">, pulmonary disease </w:t>
      </w:r>
      <w:r w:rsidRPr="002F7A6A">
        <w:t>(Isgro et al., 2020)</w:t>
      </w:r>
      <w:r w:rsidRPr="00672DBE">
        <w:t xml:space="preserve">, and weight management </w:t>
      </w:r>
      <w:r w:rsidRPr="002F7A6A">
        <w:t>(</w:t>
      </w:r>
      <w:proofErr w:type="spellStart"/>
      <w:r w:rsidRPr="002F7A6A">
        <w:t>Prioste</w:t>
      </w:r>
      <w:proofErr w:type="spellEnd"/>
      <w:r w:rsidRPr="002F7A6A">
        <w:t xml:space="preserve"> et al., 2017)</w:t>
      </w:r>
      <w:r w:rsidRPr="00672DBE">
        <w:t xml:space="preserve">. </w:t>
      </w:r>
    </w:p>
    <w:p w14:paraId="13383A17" w14:textId="4FA058AC" w:rsidR="00EB2B55" w:rsidRPr="00672DBE" w:rsidRDefault="00EB2B55" w:rsidP="003414BB">
      <w:pPr>
        <w:jc w:val="both"/>
      </w:pPr>
      <w:r w:rsidRPr="00672DBE">
        <w:t xml:space="preserve">The interventions were conducted in different countries and settings. Apart from the literature review, three were from the United States and one each from Canada, Italy, Germany, Portugal, </w:t>
      </w:r>
      <w:r w:rsidR="00AA20FB">
        <w:t xml:space="preserve">and </w:t>
      </w:r>
      <w:r w:rsidRPr="00672DBE">
        <w:t>Sweden</w:t>
      </w:r>
      <w:r w:rsidR="00AA20FB">
        <w:t>.</w:t>
      </w:r>
      <w:r w:rsidRPr="002F7A6A">
        <w:t xml:space="preserve"> Five</w:t>
      </w:r>
      <w:r w:rsidRPr="00672DBE">
        <w:t xml:space="preserve"> were conducted in specialised clinics or primary care settings </w:t>
      </w:r>
      <w:r w:rsidRPr="002F7A6A">
        <w:t>(</w:t>
      </w:r>
      <w:proofErr w:type="spellStart"/>
      <w:r w:rsidRPr="002F7A6A">
        <w:t>Barha</w:t>
      </w:r>
      <w:proofErr w:type="spellEnd"/>
      <w:r w:rsidRPr="002F7A6A">
        <w:t xml:space="preserve"> et al., 2017; </w:t>
      </w:r>
      <w:proofErr w:type="spellStart"/>
      <w:r w:rsidRPr="002F7A6A">
        <w:t>Huded</w:t>
      </w:r>
      <w:proofErr w:type="spellEnd"/>
      <w:r w:rsidRPr="002F7A6A">
        <w:t xml:space="preserve"> et al., 2018; Isgro et al., 2020; </w:t>
      </w:r>
      <w:proofErr w:type="spellStart"/>
      <w:r w:rsidRPr="002F7A6A">
        <w:t>Prioste</w:t>
      </w:r>
      <w:proofErr w:type="spellEnd"/>
      <w:r w:rsidRPr="002F7A6A">
        <w:t xml:space="preserve"> et al., 2017; Schutt et al., 2015)</w:t>
      </w:r>
      <w:r w:rsidRPr="00672DBE">
        <w:t xml:space="preserve">, three were in community- or home-based programs </w:t>
      </w:r>
      <w:r w:rsidRPr="002F7A6A">
        <w:t>(Cropsey et al., 2014; Guerrero et al., 2014; Johansson et al., 2022)</w:t>
      </w:r>
      <w:r w:rsidRPr="00672DBE">
        <w:t xml:space="preserve">, and one was both hospital and community </w:t>
      </w:r>
      <w:r w:rsidRPr="002F7A6A">
        <w:t>(</w:t>
      </w:r>
      <w:proofErr w:type="spellStart"/>
      <w:r w:rsidRPr="002F7A6A">
        <w:t>Huded</w:t>
      </w:r>
      <w:proofErr w:type="spellEnd"/>
      <w:r w:rsidRPr="002F7A6A">
        <w:t xml:space="preserve"> et al., 2018)</w:t>
      </w:r>
      <w:r w:rsidRPr="00672DBE">
        <w:t xml:space="preserve">. Interventions included education and counselling </w:t>
      </w:r>
      <w:r w:rsidRPr="002F7A6A">
        <w:t xml:space="preserve">(Cropsey et al., 2014; Guerrero et al., 2014; </w:t>
      </w:r>
      <w:proofErr w:type="spellStart"/>
      <w:r w:rsidRPr="002F7A6A">
        <w:t>Harreiter</w:t>
      </w:r>
      <w:proofErr w:type="spellEnd"/>
      <w:r w:rsidRPr="002F7A6A">
        <w:t xml:space="preserve"> &amp; Kautzky-Willer, 2018; Isgro et al., 2020; </w:t>
      </w:r>
      <w:proofErr w:type="spellStart"/>
      <w:r w:rsidRPr="002F7A6A">
        <w:t>Prioste</w:t>
      </w:r>
      <w:proofErr w:type="spellEnd"/>
      <w:r w:rsidRPr="002F7A6A">
        <w:t xml:space="preserve"> et al., 2017),</w:t>
      </w:r>
      <w:r w:rsidRPr="00672DBE">
        <w:t xml:space="preserve"> exercise and rehabilitation </w:t>
      </w:r>
      <w:r w:rsidRPr="002F7A6A">
        <w:t>(</w:t>
      </w:r>
      <w:proofErr w:type="spellStart"/>
      <w:r w:rsidRPr="002F7A6A">
        <w:t>Barha</w:t>
      </w:r>
      <w:proofErr w:type="spellEnd"/>
      <w:r w:rsidRPr="002F7A6A">
        <w:t xml:space="preserve"> et al., 2017; Johansson et al., 2022), </w:t>
      </w:r>
      <w:r w:rsidRPr="00672DBE">
        <w:t xml:space="preserve">guideline-directed medical therapy </w:t>
      </w:r>
      <w:r w:rsidRPr="002F7A6A">
        <w:t>(</w:t>
      </w:r>
      <w:proofErr w:type="spellStart"/>
      <w:r w:rsidRPr="002F7A6A">
        <w:t>Huded</w:t>
      </w:r>
      <w:proofErr w:type="spellEnd"/>
      <w:r w:rsidRPr="002F7A6A">
        <w:t xml:space="preserve"> et al., 2018</w:t>
      </w:r>
      <w:proofErr w:type="gramStart"/>
      <w:r w:rsidRPr="002F7A6A">
        <w:t>)</w:t>
      </w:r>
      <w:r w:rsidRPr="00672DBE">
        <w:t>, and</w:t>
      </w:r>
      <w:proofErr w:type="gramEnd"/>
      <w:r w:rsidRPr="00672DBE">
        <w:t xml:space="preserve"> combined pharmacological treatment and lifestyle guidance </w:t>
      </w:r>
      <w:r w:rsidRPr="002F7A6A">
        <w:t>(Schutt et al., 2015)</w:t>
      </w:r>
      <w:r w:rsidRPr="00672DBE">
        <w:t xml:space="preserve">. Most interventions were evaluated without a control group but with pre- and post-comparisons (n=7); only two had a comparison group </w:t>
      </w:r>
      <w:r w:rsidRPr="002F7A6A">
        <w:t>(</w:t>
      </w:r>
      <w:proofErr w:type="spellStart"/>
      <w:r w:rsidRPr="002F7A6A">
        <w:t>Barha</w:t>
      </w:r>
      <w:proofErr w:type="spellEnd"/>
      <w:r w:rsidRPr="002F7A6A">
        <w:t xml:space="preserve"> et al., 2017; </w:t>
      </w:r>
      <w:proofErr w:type="spellStart"/>
      <w:r w:rsidRPr="002F7A6A">
        <w:t>Harreiter</w:t>
      </w:r>
      <w:proofErr w:type="spellEnd"/>
      <w:r w:rsidRPr="002F7A6A">
        <w:t xml:space="preserve"> &amp; Kautzky-Willer, 2018)</w:t>
      </w:r>
      <w:r w:rsidRPr="00672DBE">
        <w:t xml:space="preserve">. </w:t>
      </w:r>
    </w:p>
    <w:p w14:paraId="6F192D90" w14:textId="0A30D773" w:rsidR="00EB2B55" w:rsidRPr="00672DBE" w:rsidRDefault="00EB2B55" w:rsidP="003414BB">
      <w:pPr>
        <w:jc w:val="both"/>
        <w:rPr>
          <w:highlight w:val="cyan"/>
        </w:rPr>
      </w:pPr>
      <w:r w:rsidRPr="00672DBE">
        <w:t xml:space="preserve">The interventions, the health conditions they addressed, and the methods of evaluation were too heterogeneous to be adequately compared (Appendix </w:t>
      </w:r>
      <w:r w:rsidR="005253AB">
        <w:t>B, Table B</w:t>
      </w:r>
      <w:r w:rsidR="00692AC4">
        <w:t>3</w:t>
      </w:r>
      <w:r w:rsidRPr="00672DBE">
        <w:t>). Most were reported to have narrowed the sex or gender gap to some extent, although education, training, and counselling adapted to sex or gender needs appear to have been effective components of patient care.</w:t>
      </w:r>
    </w:p>
    <w:p w14:paraId="33F5E9C5" w14:textId="266F8A39" w:rsidR="00EB2B55" w:rsidRPr="00672DBE" w:rsidRDefault="00EB2B55" w:rsidP="003414BB">
      <w:pPr>
        <w:jc w:val="both"/>
      </w:pPr>
      <w:r w:rsidRPr="00672DBE">
        <w:t xml:space="preserve">One of the two education programs for clinicians was directed at identifying sex-biased quality of care in patients with chronic obstructive pulmonary disease (COPD) </w:t>
      </w:r>
      <w:r w:rsidRPr="002F7A6A">
        <w:t>(Isgro et al., 2020)</w:t>
      </w:r>
      <w:r w:rsidRPr="00672DBE">
        <w:t xml:space="preserve">. Using a large database contributed by general practitioners in Sicily, it was found that baseline quality of care was significantly higher for men than for women, but that, after educating doctors </w:t>
      </w:r>
      <w:r w:rsidR="0039119E" w:rsidRPr="00672DBE">
        <w:t xml:space="preserve">about </w:t>
      </w:r>
      <w:r w:rsidRPr="00672DBE">
        <w:t xml:space="preserve">the inherent bias, this discrepancy was no longer significant after two years of care. The goal of this analysis was to contribute to clinician education in overcoming discrimination and bias in quality of care. </w:t>
      </w:r>
    </w:p>
    <w:p w14:paraId="7C15F92A" w14:textId="77777777" w:rsidR="00EB2B55" w:rsidRDefault="00EB2B55" w:rsidP="003414BB">
      <w:pPr>
        <w:jc w:val="both"/>
      </w:pPr>
      <w:r w:rsidRPr="00672DBE">
        <w:t xml:space="preserve">An intervention designed to overcome the suboptimal care given to women with ST-segment elevation myocardial infarction (STEMI) investigated sex differences in care before and after the implementation of a STEMI protocol </w:t>
      </w:r>
      <w:r w:rsidRPr="002F7A6A">
        <w:t>(</w:t>
      </w:r>
      <w:proofErr w:type="spellStart"/>
      <w:r w:rsidRPr="002F7A6A">
        <w:t>Huded</w:t>
      </w:r>
      <w:proofErr w:type="spellEnd"/>
      <w:r w:rsidRPr="002F7A6A">
        <w:t xml:space="preserve"> et al., 2018)</w:t>
      </w:r>
      <w:r w:rsidRPr="00672DBE">
        <w:t xml:space="preserve">. It was concluded that the protocol reduced sex disparities in care and outcomes, offering an example of overcoming entrenched and possibly unconscious bias through formal systems. </w:t>
      </w:r>
    </w:p>
    <w:p w14:paraId="480B62AD" w14:textId="0D97C164" w:rsidR="0074505B" w:rsidRPr="00672DBE" w:rsidRDefault="0074505B" w:rsidP="003414BB">
      <w:pPr>
        <w:jc w:val="both"/>
      </w:pPr>
      <w:r>
        <w:t xml:space="preserve">By comparing standardised tests and self-reported questionnaires, one study demonstrated that the standardised tests failed to take account of gendered differences in roles and social circumstances </w:t>
      </w:r>
      <w:r>
        <w:lastRenderedPageBreak/>
        <w:t>(</w:t>
      </w:r>
      <w:r w:rsidRPr="002F7A6A">
        <w:t>Johansson et al., 2022)</w:t>
      </w:r>
      <w:r>
        <w:t>.</w:t>
      </w:r>
      <w:r w:rsidR="00D044CE">
        <w:t xml:space="preserve"> The authors recommended the development of person-centred, gender-aware instruments to assess home rehabilitation programs. </w:t>
      </w:r>
    </w:p>
    <w:p w14:paraId="7204AED9" w14:textId="4BFBB0D3" w:rsidR="00EB2B55" w:rsidRPr="00672DBE" w:rsidRDefault="00EB2B55" w:rsidP="003414BB">
      <w:pPr>
        <w:jc w:val="both"/>
      </w:pPr>
      <w:r w:rsidRPr="00672DBE">
        <w:t xml:space="preserve">Education, training, and counselling were delivered as group work with women and men from similar backgrounds, usually combining individual counselling with meetings in clinic or community spaces. A randomised controlled trial of aerobic training in adults aged over 70 years with vascular cognitive impairment found that women significantly improved their Trail Making Test performance (an assessment of cognitive functions, principally attention and working memory), an effect that was retained at follow-up; equivalent improvement was not found in men </w:t>
      </w:r>
      <w:r w:rsidRPr="002F7A6A">
        <w:t>(</w:t>
      </w:r>
      <w:proofErr w:type="spellStart"/>
      <w:r w:rsidRPr="002F7A6A">
        <w:t>Barha</w:t>
      </w:r>
      <w:proofErr w:type="spellEnd"/>
      <w:r w:rsidRPr="002F7A6A">
        <w:t xml:space="preserve"> et al., 2017)</w:t>
      </w:r>
      <w:r w:rsidRPr="00672DBE">
        <w:t xml:space="preserve">. On the other hand, aerobic training led to significant gains in functional fitness capacity in men but not in women </w:t>
      </w:r>
      <w:r w:rsidRPr="002F7A6A">
        <w:t>(</w:t>
      </w:r>
      <w:proofErr w:type="spellStart"/>
      <w:r w:rsidRPr="002F7A6A">
        <w:t>Barha</w:t>
      </w:r>
      <w:proofErr w:type="spellEnd"/>
      <w:r w:rsidRPr="002F7A6A">
        <w:t xml:space="preserve"> et al., 2017)</w:t>
      </w:r>
      <w:r w:rsidRPr="00672DBE">
        <w:t>. Such programs and evaluations serve to highlight sex and gender differences that must be considered when providing care.</w:t>
      </w:r>
    </w:p>
    <w:p w14:paraId="38B4BEEE" w14:textId="6F114BCA" w:rsidR="00EB2B55" w:rsidRPr="00672DBE" w:rsidRDefault="00EB2B55" w:rsidP="003414BB">
      <w:pPr>
        <w:jc w:val="both"/>
      </w:pPr>
      <w:r w:rsidRPr="00672DBE">
        <w:t xml:space="preserve">A United States program of smoking cessation through pharmacotherapy and behavioural interventions, conducted with people under criminal justice supervision living in communities, was directed at identifying differences associated with race and sex (called gender) </w:t>
      </w:r>
      <w:r w:rsidRPr="002F7A6A">
        <w:t>(Cropsey et al., 2014)</w:t>
      </w:r>
      <w:r w:rsidRPr="00672DBE">
        <w:t xml:space="preserve">. It was found that women perceived pharmacotherapy and behavioural interventions as being more effective than men perceived </w:t>
      </w:r>
      <w:r w:rsidR="008E4271" w:rsidRPr="00672DBE">
        <w:t xml:space="preserve">them </w:t>
      </w:r>
      <w:r w:rsidRPr="00672DBE">
        <w:t xml:space="preserve">and that this strengthened their motivation to quit, although the authors point out that women are generally found to have poorer cessation rates than men. Results from this very specific group of people may differ from those in the general population. A similar intervention, directed at substance abuse throughout the United States, employed counselling, meetings, and medication; it resulted in reduced post-treatment substance use, especially in women </w:t>
      </w:r>
      <w:r w:rsidRPr="002F7A6A">
        <w:t>(Guerrero et al., 2014). Women were found to need and receive more services than men.</w:t>
      </w:r>
      <w:r w:rsidRPr="00672DBE">
        <w:t xml:space="preserve"> Effects were modified by race. Equity in service provision could be understood as responding to inequality of circumstances. </w:t>
      </w:r>
    </w:p>
    <w:p w14:paraId="090D934C" w14:textId="77777777" w:rsidR="00EB2B55" w:rsidRPr="00672DBE" w:rsidRDefault="00EB2B55" w:rsidP="003414BB">
      <w:pPr>
        <w:jc w:val="both"/>
        <w:rPr>
          <w:rFonts w:cstheme="minorHAnsi"/>
        </w:rPr>
      </w:pPr>
      <w:r w:rsidRPr="00672DBE">
        <w:t xml:space="preserve">An intervention that guided adolescents through a 12-week weight management program assessed the association of weight loss with psychosocial measures </w:t>
      </w:r>
      <w:r w:rsidRPr="002F7A6A">
        <w:t>(</w:t>
      </w:r>
      <w:proofErr w:type="spellStart"/>
      <w:r w:rsidRPr="002F7A6A">
        <w:t>Prioste</w:t>
      </w:r>
      <w:proofErr w:type="spellEnd"/>
      <w:r w:rsidRPr="002F7A6A">
        <w:t xml:space="preserve"> et al., 2017)</w:t>
      </w:r>
      <w:r w:rsidRPr="00672DBE">
        <w:t xml:space="preserve">. It was found that weight loss had a greater effect on the self-esteem of girls than of boys, but that boys reported greater adherence than girls. Sex (called gender) was also found to moderate the effects of drug and counselling on “lifestyle” (diet and </w:t>
      </w:r>
      <w:r w:rsidRPr="00672DBE">
        <w:rPr>
          <w:rFonts w:cstheme="minorHAnsi"/>
        </w:rPr>
        <w:t xml:space="preserve">exercise) treatments for Type 2 diabetes, with women and men responding slightly differently to pharmacology and counselling </w:t>
      </w:r>
      <w:r w:rsidRPr="002F7A6A">
        <w:rPr>
          <w:rFonts w:cstheme="minorHAnsi"/>
        </w:rPr>
        <w:t>(Schutt et al., 2015)</w:t>
      </w:r>
      <w:r w:rsidRPr="00672DBE">
        <w:rPr>
          <w:rFonts w:cstheme="minorHAnsi"/>
        </w:rPr>
        <w:t>. Both sets of authors conclude that gender (meaning sex) should be considered when designing programs, one for weight management and the other for treatment for diabetes.</w:t>
      </w:r>
      <w:r w:rsidRPr="00672DBE">
        <w:t xml:space="preserve"> </w:t>
      </w:r>
    </w:p>
    <w:p w14:paraId="68D86E20" w14:textId="77777777" w:rsidR="00EB2B55" w:rsidRPr="00672DBE" w:rsidRDefault="00EB2B55" w:rsidP="003414BB">
      <w:pPr>
        <w:jc w:val="both"/>
      </w:pPr>
      <w:r w:rsidRPr="00672DBE">
        <w:rPr>
          <w:rFonts w:cstheme="minorHAnsi"/>
        </w:rPr>
        <w:t>A</w:t>
      </w:r>
      <w:r w:rsidRPr="00672DBE">
        <w:t xml:space="preserve"> literature review of sex and gender differences in the prevention of Type 2 diabetes found a variety of differences according to the nature of the condition being addressed (such as polycystic ovarian syndrome, erectile dysfunction), the intervention (such as lifestyle, surgical), and other characteristics of the patient than sex (such as age, ethnicity) </w:t>
      </w:r>
      <w:r w:rsidRPr="002F7A6A">
        <w:t>(</w:t>
      </w:r>
      <w:proofErr w:type="spellStart"/>
      <w:r w:rsidRPr="002F7A6A">
        <w:t>Harreiter</w:t>
      </w:r>
      <w:proofErr w:type="spellEnd"/>
      <w:r w:rsidRPr="002F7A6A">
        <w:t xml:space="preserve"> &amp; Kautzky-Willer, 2018)</w:t>
      </w:r>
      <w:r w:rsidRPr="00672DBE">
        <w:t xml:space="preserve">. Nevertheless, it was clear that both sex and gender played important roles in outcomes and that each needed to be considered when planning programs for prevention and care of diabetes. </w:t>
      </w:r>
    </w:p>
    <w:p w14:paraId="3CB9AF70" w14:textId="77777777" w:rsidR="00EB2B55" w:rsidRPr="00672DBE" w:rsidRDefault="00EB2B55">
      <w:r w:rsidRPr="00672DBE">
        <w:br w:type="page"/>
      </w:r>
    </w:p>
    <w:bookmarkStart w:id="240" w:name="_Toc161756598"/>
    <w:bookmarkStart w:id="241" w:name="_Toc161757522"/>
    <w:bookmarkStart w:id="242" w:name="_Toc161763947"/>
    <w:bookmarkStart w:id="243" w:name="_Toc165205002"/>
    <w:bookmarkStart w:id="244" w:name="_Toc168390510"/>
    <w:bookmarkStart w:id="245" w:name="_Toc168390878"/>
    <w:bookmarkStart w:id="246" w:name="_Toc168390944"/>
    <w:bookmarkStart w:id="247" w:name="_Toc168392076"/>
    <w:bookmarkStart w:id="248" w:name="_Toc168392433"/>
    <w:bookmarkStart w:id="249" w:name="_Toc168393606"/>
    <w:bookmarkStart w:id="250" w:name="_Toc168393648"/>
    <w:bookmarkStart w:id="251" w:name="_Toc168394322"/>
    <w:bookmarkStart w:id="252" w:name="_Toc168394460"/>
    <w:p w14:paraId="3A8C26D7" w14:textId="41DC2FFA" w:rsidR="00EB2B55" w:rsidRPr="00877C53" w:rsidRDefault="00EB2B55" w:rsidP="003F4381">
      <w:pPr>
        <w:pStyle w:val="Heading2"/>
        <w:numPr>
          <w:ilvl w:val="1"/>
          <w:numId w:val="50"/>
        </w:numPr>
        <w:rPr>
          <w:rFonts w:asciiTheme="minorHAnsi" w:hAnsiTheme="minorHAnsi" w:cstheme="minorHAnsi"/>
          <w:b/>
          <w:bCs/>
          <w:color w:val="30785B"/>
          <w:sz w:val="24"/>
          <w:szCs w:val="24"/>
        </w:rPr>
      </w:pPr>
      <w:r w:rsidRPr="00877C53">
        <w:rPr>
          <w:rFonts w:asciiTheme="minorHAnsi" w:hAnsiTheme="minorHAnsi" w:cstheme="minorHAnsi"/>
          <w:b/>
          <w:bCs/>
          <w:noProof/>
          <w:color w:val="30785B"/>
          <w:sz w:val="24"/>
          <w:szCs w:val="24"/>
        </w:rPr>
        <w:lastRenderedPageBreak/>
        <mc:AlternateContent>
          <mc:Choice Requires="wps">
            <w:drawing>
              <wp:anchor distT="0" distB="0" distL="114300" distR="114300" simplePos="0" relativeHeight="251665408" behindDoc="0" locked="0" layoutInCell="1" allowOverlap="1" wp14:anchorId="236CA1F1" wp14:editId="0AC735E6">
                <wp:simplePos x="0" y="0"/>
                <wp:positionH relativeFrom="column">
                  <wp:posOffset>-15240</wp:posOffset>
                </wp:positionH>
                <wp:positionV relativeFrom="paragraph">
                  <wp:posOffset>784860</wp:posOffset>
                </wp:positionV>
                <wp:extent cx="5730240" cy="4785360"/>
                <wp:effectExtent l="19050" t="19050" r="41910" b="3429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730240" cy="4785360"/>
                        </a:xfrm>
                        <a:prstGeom prst="rect">
                          <a:avLst/>
                        </a:prstGeom>
                        <a:solidFill>
                          <a:schemeClr val="lt1"/>
                        </a:solidFill>
                        <a:ln w="57150">
                          <a:solidFill>
                            <a:srgbClr val="4C2863">
                              <a:alpha val="10196"/>
                            </a:srgbClr>
                          </a:solidFill>
                        </a:ln>
                        <a:effectLst/>
                      </wps:spPr>
                      <wps:style>
                        <a:lnRef idx="0">
                          <a:schemeClr val="accent1"/>
                        </a:lnRef>
                        <a:fillRef idx="0">
                          <a:schemeClr val="accent1"/>
                        </a:fillRef>
                        <a:effectRef idx="0">
                          <a:schemeClr val="accent1"/>
                        </a:effectRef>
                        <a:fontRef idx="minor">
                          <a:schemeClr val="dk1"/>
                        </a:fontRef>
                      </wps:style>
                      <wps:txbx>
                        <w:txbxContent>
                          <w:p w14:paraId="5CA5DBF0" w14:textId="77777777" w:rsidR="009A0F85" w:rsidRPr="00877C53" w:rsidRDefault="009A0F85">
                            <w:pPr>
                              <w:rPr>
                                <w:color w:val="4C2863"/>
                                <w:sz w:val="24"/>
                                <w:szCs w:val="24"/>
                              </w:rPr>
                            </w:pPr>
                            <w:r w:rsidRPr="00877C53">
                              <w:rPr>
                                <w:b/>
                                <w:color w:val="4C2863"/>
                                <w:sz w:val="24"/>
                                <w:szCs w:val="24"/>
                              </w:rPr>
                              <w:t>Key Findings</w:t>
                            </w:r>
                            <w:r w:rsidRPr="00877C53">
                              <w:rPr>
                                <w:color w:val="4C2863"/>
                                <w:sz w:val="24"/>
                                <w:szCs w:val="24"/>
                              </w:rPr>
                              <w:t>:</w:t>
                            </w:r>
                          </w:p>
                          <w:p w14:paraId="61F37ED2" w14:textId="77777777" w:rsidR="009A0F85" w:rsidRDefault="009A0F85" w:rsidP="003414BB">
                            <w:pPr>
                              <w:jc w:val="both"/>
                              <w:rPr>
                                <w:lang w:val="en-US"/>
                              </w:rPr>
                            </w:pPr>
                            <w:r w:rsidRPr="00310690">
                              <w:rPr>
                                <w:lang w:val="en-US"/>
                              </w:rPr>
                              <w:t xml:space="preserve">There is </w:t>
                            </w:r>
                            <w:r>
                              <w:rPr>
                                <w:lang w:val="en-US"/>
                              </w:rPr>
                              <w:t>little</w:t>
                            </w:r>
                            <w:r w:rsidRPr="00310690">
                              <w:rPr>
                                <w:lang w:val="en-US"/>
                              </w:rPr>
                              <w:t xml:space="preserve"> evidence </w:t>
                            </w:r>
                            <w:r>
                              <w:rPr>
                                <w:lang w:val="en-US"/>
                              </w:rPr>
                              <w:t>to inform us about</w:t>
                            </w:r>
                            <w:r w:rsidRPr="00310690">
                              <w:rPr>
                                <w:lang w:val="en-US"/>
                              </w:rPr>
                              <w:t xml:space="preserve"> tailored programs or interventions for women in priority population</w:t>
                            </w:r>
                            <w:r>
                              <w:rPr>
                                <w:lang w:val="en-US"/>
                              </w:rPr>
                              <w:t>s</w:t>
                            </w:r>
                            <w:r w:rsidRPr="00310690">
                              <w:rPr>
                                <w:lang w:val="en-US"/>
                              </w:rPr>
                              <w:t>, particularly in Australia</w:t>
                            </w:r>
                            <w:r>
                              <w:rPr>
                                <w:lang w:val="en-US"/>
                              </w:rPr>
                              <w:t xml:space="preserve">. Five papers, including a scoping review and a protocol, </w:t>
                            </w:r>
                            <w:r w:rsidRPr="00BB5007">
                              <w:rPr>
                                <w:lang w:val="en-US"/>
                              </w:rPr>
                              <w:t>were identified</w:t>
                            </w:r>
                            <w:r>
                              <w:rPr>
                                <w:lang w:val="en-US"/>
                              </w:rPr>
                              <w:t>, reporting</w:t>
                            </w:r>
                            <w:r w:rsidRPr="00BB5007">
                              <w:rPr>
                                <w:lang w:val="en-US"/>
                              </w:rPr>
                              <w:t xml:space="preserve"> on</w:t>
                            </w:r>
                            <w:r>
                              <w:rPr>
                                <w:lang w:val="en-US"/>
                              </w:rPr>
                              <w:t xml:space="preserve"> First Nations women, transgender people, regional and remote communities, and refugees and/or asylum seekers. Few showed any strong evidence of the effects of programs or interventions, instead demonstrating the factors or designs that can promote health equity and knowledge.</w:t>
                            </w:r>
                          </w:p>
                          <w:p w14:paraId="55552910" w14:textId="77777777" w:rsidR="009A0F85" w:rsidRPr="00C3230F" w:rsidRDefault="009A0F85" w:rsidP="003730E0">
                            <w:pPr>
                              <w:pStyle w:val="ListParagraph"/>
                              <w:numPr>
                                <w:ilvl w:val="0"/>
                                <w:numId w:val="13"/>
                              </w:numPr>
                              <w:ind w:left="426" w:hanging="284"/>
                              <w:jc w:val="both"/>
                            </w:pPr>
                            <w:r>
                              <w:t>C</w:t>
                            </w:r>
                            <w:r w:rsidRPr="00C3230F">
                              <w:t xml:space="preserve">ountries </w:t>
                            </w:r>
                            <w:r>
                              <w:t>represented in the five studies</w:t>
                            </w:r>
                            <w:r w:rsidRPr="00C3230F">
                              <w:t xml:space="preserve"> were Australia (n=4) and the United States (n=1)</w:t>
                            </w:r>
                            <w:r>
                              <w:t>.</w:t>
                            </w:r>
                            <w:r w:rsidRPr="00C3230F">
                              <w:t xml:space="preserve"> </w:t>
                            </w:r>
                          </w:p>
                          <w:p w14:paraId="3F151E6F" w14:textId="77777777" w:rsidR="009A0F85" w:rsidRDefault="009A0F85" w:rsidP="003730E0">
                            <w:pPr>
                              <w:pStyle w:val="ListParagraph"/>
                              <w:numPr>
                                <w:ilvl w:val="0"/>
                                <w:numId w:val="13"/>
                              </w:numPr>
                              <w:ind w:left="426" w:hanging="284"/>
                              <w:jc w:val="both"/>
                            </w:pPr>
                            <w:r w:rsidRPr="00C3230F">
                              <w:t xml:space="preserve">Three </w:t>
                            </w:r>
                            <w:r>
                              <w:t>of the five</w:t>
                            </w:r>
                            <w:r w:rsidRPr="00C3230F">
                              <w:t xml:space="preserve"> studies </w:t>
                            </w:r>
                            <w:r>
                              <w:t>used</w:t>
                            </w:r>
                            <w:r w:rsidRPr="00C3230F">
                              <w:t xml:space="preserve"> qualitative </w:t>
                            </w:r>
                            <w:r>
                              <w:t>methods.</w:t>
                            </w:r>
                          </w:p>
                          <w:p w14:paraId="283D5713" w14:textId="77777777" w:rsidR="009A0F85" w:rsidRPr="00B023D6" w:rsidRDefault="009A0F85" w:rsidP="003730E0">
                            <w:pPr>
                              <w:pStyle w:val="ListParagraph"/>
                              <w:numPr>
                                <w:ilvl w:val="0"/>
                                <w:numId w:val="13"/>
                              </w:numPr>
                              <w:ind w:left="426" w:hanging="284"/>
                              <w:jc w:val="both"/>
                            </w:pPr>
                            <w:r>
                              <w:t>The h</w:t>
                            </w:r>
                            <w:r w:rsidRPr="00B023D6">
                              <w:t>ealth</w:t>
                            </w:r>
                            <w:r>
                              <w:t xml:space="preserve"> knowledge or</w:t>
                            </w:r>
                            <w:r w:rsidRPr="00B023D6">
                              <w:t xml:space="preserve"> literacy </w:t>
                            </w:r>
                            <w:r>
                              <w:t>demonstrated by</w:t>
                            </w:r>
                            <w:r w:rsidRPr="00B023D6">
                              <w:t xml:space="preserve"> transgender and non-binary people w</w:t>
                            </w:r>
                            <w:r>
                              <w:t>as</w:t>
                            </w:r>
                            <w:r w:rsidRPr="00B023D6">
                              <w:t xml:space="preserve"> </w:t>
                            </w:r>
                            <w:r>
                              <w:t>adversely affected by</w:t>
                            </w:r>
                            <w:r w:rsidRPr="00B023D6">
                              <w:t xml:space="preserve"> healthcare providers’ </w:t>
                            </w:r>
                            <w:r>
                              <w:t>in</w:t>
                            </w:r>
                            <w:r w:rsidRPr="00B023D6">
                              <w:t xml:space="preserve">adequate knowledge </w:t>
                            </w:r>
                            <w:r>
                              <w:t>of the ways in which</w:t>
                            </w:r>
                            <w:r w:rsidRPr="00B023D6">
                              <w:t xml:space="preserve"> gender-affirming treatments and medications interact with other medical</w:t>
                            </w:r>
                            <w:r>
                              <w:t xml:space="preserve"> interventions.</w:t>
                            </w:r>
                          </w:p>
                          <w:p w14:paraId="54424A12" w14:textId="77777777" w:rsidR="009A0F85" w:rsidRPr="00B023D6" w:rsidRDefault="009A0F85" w:rsidP="003730E0">
                            <w:pPr>
                              <w:pStyle w:val="ListParagraph"/>
                              <w:numPr>
                                <w:ilvl w:val="0"/>
                                <w:numId w:val="13"/>
                              </w:numPr>
                              <w:ind w:left="426" w:hanging="284"/>
                              <w:jc w:val="both"/>
                            </w:pPr>
                            <w:r w:rsidRPr="00B023D6">
                              <w:t>A reproductive health literacy framework for First Nation</w:t>
                            </w:r>
                            <w:r>
                              <w:t>s</w:t>
                            </w:r>
                            <w:r w:rsidRPr="00B023D6">
                              <w:t xml:space="preserve"> women that </w:t>
                            </w:r>
                            <w:r>
                              <w:t>i</w:t>
                            </w:r>
                            <w:r w:rsidRPr="00B023D6">
                              <w:t xml:space="preserve">s culturally responsive </w:t>
                            </w:r>
                            <w:r>
                              <w:t>to their</w:t>
                            </w:r>
                            <w:r w:rsidRPr="00B023D6">
                              <w:t xml:space="preserve"> complex and multilingual </w:t>
                            </w:r>
                            <w:r>
                              <w:t>circumstances</w:t>
                            </w:r>
                            <w:r w:rsidRPr="00B023D6">
                              <w:t xml:space="preserve"> </w:t>
                            </w:r>
                            <w:r>
                              <w:t>was found</w:t>
                            </w:r>
                            <w:r w:rsidRPr="00B023D6">
                              <w:t xml:space="preserve"> </w:t>
                            </w:r>
                            <w:r>
                              <w:t>to</w:t>
                            </w:r>
                            <w:r w:rsidRPr="00B023D6">
                              <w:t xml:space="preserve"> </w:t>
                            </w:r>
                            <w:r>
                              <w:t>improve</w:t>
                            </w:r>
                            <w:r w:rsidRPr="00B023D6">
                              <w:t xml:space="preserve"> women’s health </w:t>
                            </w:r>
                            <w:r>
                              <w:t>knowledge</w:t>
                            </w:r>
                            <w:r w:rsidRPr="00B023D6">
                              <w:t xml:space="preserve"> and their reproductive health</w:t>
                            </w:r>
                            <w:r>
                              <w:t>.</w:t>
                            </w:r>
                          </w:p>
                          <w:p w14:paraId="0E206A09" w14:textId="77777777" w:rsidR="009A0F85" w:rsidRPr="00B023D6" w:rsidRDefault="009A0F85" w:rsidP="003730E0">
                            <w:pPr>
                              <w:pStyle w:val="ListParagraph"/>
                              <w:numPr>
                                <w:ilvl w:val="0"/>
                                <w:numId w:val="13"/>
                              </w:numPr>
                              <w:ind w:left="426" w:hanging="284"/>
                              <w:jc w:val="both"/>
                            </w:pPr>
                            <w:r>
                              <w:t>Women in</w:t>
                            </w:r>
                            <w:r w:rsidRPr="00B023D6">
                              <w:t xml:space="preserve"> Australian rural and remote communities</w:t>
                            </w:r>
                            <w:r>
                              <w:t xml:space="preserve"> need a </w:t>
                            </w:r>
                            <w:r w:rsidRPr="00B023D6">
                              <w:t>women</w:t>
                            </w:r>
                            <w:r>
                              <w:t>’</w:t>
                            </w:r>
                            <w:r w:rsidRPr="00B023D6">
                              <w:t xml:space="preserve">s health service that </w:t>
                            </w:r>
                            <w:r>
                              <w:t xml:space="preserve">is </w:t>
                            </w:r>
                            <w:r w:rsidRPr="00B023D6">
                              <w:t>respon</w:t>
                            </w:r>
                            <w:r>
                              <w:t>sive</w:t>
                            </w:r>
                            <w:r w:rsidRPr="00B023D6">
                              <w:t xml:space="preserve"> to the needs of women individual</w:t>
                            </w:r>
                            <w:r>
                              <w:t>ly</w:t>
                            </w:r>
                            <w:r w:rsidRPr="00B023D6">
                              <w:t xml:space="preserve"> a</w:t>
                            </w:r>
                            <w:r>
                              <w:t>s well as</w:t>
                            </w:r>
                            <w:r w:rsidRPr="00B023D6">
                              <w:t xml:space="preserve"> collective</w:t>
                            </w:r>
                            <w:r>
                              <w:t xml:space="preserve">ly. Women confront </w:t>
                            </w:r>
                            <w:r w:rsidRPr="00B023D6">
                              <w:t xml:space="preserve">barriers to </w:t>
                            </w:r>
                            <w:proofErr w:type="gramStart"/>
                            <w:r w:rsidRPr="00B023D6">
                              <w:t>access</w:t>
                            </w:r>
                            <w:proofErr w:type="gramEnd"/>
                            <w:r w:rsidRPr="00B023D6">
                              <w:t xml:space="preserve"> and </w:t>
                            </w:r>
                            <w:r>
                              <w:t xml:space="preserve">high </w:t>
                            </w:r>
                            <w:r w:rsidRPr="00B023D6">
                              <w:t>cost</w:t>
                            </w:r>
                            <w:r>
                              <w:t>s occasioned by isolation and</w:t>
                            </w:r>
                            <w:r w:rsidRPr="00B023D6">
                              <w:t xml:space="preserve"> distance</w:t>
                            </w:r>
                            <w:r>
                              <w:t>.</w:t>
                            </w:r>
                          </w:p>
                          <w:p w14:paraId="0C90986A" w14:textId="4FE34E23" w:rsidR="009A0F85" w:rsidRPr="00B023D6" w:rsidRDefault="009A0F85" w:rsidP="003730E0">
                            <w:pPr>
                              <w:pStyle w:val="ListParagraph"/>
                              <w:numPr>
                                <w:ilvl w:val="0"/>
                                <w:numId w:val="13"/>
                              </w:numPr>
                              <w:ind w:left="426" w:hanging="284"/>
                              <w:jc w:val="both"/>
                            </w:pPr>
                            <w:r>
                              <w:t>T</w:t>
                            </w:r>
                            <w:r w:rsidRPr="00B023D6">
                              <w:t xml:space="preserve">he socio-economic model </w:t>
                            </w:r>
                            <w:r>
                              <w:t xml:space="preserve">of health </w:t>
                            </w:r>
                            <w:r w:rsidRPr="00B023D6">
                              <w:t>(</w:t>
                            </w:r>
                            <w:r>
                              <w:t xml:space="preserve">at the levels of the </w:t>
                            </w:r>
                            <w:r w:rsidRPr="00B023D6">
                              <w:t>individual, organisation</w:t>
                            </w:r>
                            <w:r>
                              <w:t>,</w:t>
                            </w:r>
                            <w:r w:rsidRPr="00B023D6">
                              <w:t xml:space="preserve"> and community) </w:t>
                            </w:r>
                            <w:r>
                              <w:t>has been found to be</w:t>
                            </w:r>
                            <w:r w:rsidRPr="00B023D6">
                              <w:t xml:space="preserve"> a useful tool to understand how to prevent adverse health outcomes and intervene at </w:t>
                            </w:r>
                            <w:r>
                              <w:t>several</w:t>
                            </w:r>
                            <w:r w:rsidRPr="00B023D6">
                              <w:t xml:space="preserve"> levels to improve the health</w:t>
                            </w:r>
                            <w:r>
                              <w:t xml:space="preserve"> of</w:t>
                            </w:r>
                            <w:r w:rsidRPr="00B023D6">
                              <w:t xml:space="preserve"> refugee and asylum seeker women. Another framework, Ophelia (Optimizing Health Literacy and Access)</w:t>
                            </w:r>
                            <w:r>
                              <w:t>, when</w:t>
                            </w:r>
                            <w:r w:rsidRPr="00B023D6">
                              <w:t xml:space="preserve"> modified for refugee and asylum seeker women</w:t>
                            </w:r>
                            <w:r>
                              <w:t>,</w:t>
                            </w:r>
                            <w:r w:rsidRPr="00B023D6">
                              <w:t xml:space="preserve"> </w:t>
                            </w:r>
                            <w:r>
                              <w:t xml:space="preserve">appears to be a </w:t>
                            </w:r>
                            <w:r w:rsidRPr="00B023D6">
                              <w:t xml:space="preserve">promising tool for </w:t>
                            </w:r>
                            <w:r>
                              <w:t xml:space="preserve">promoting </w:t>
                            </w:r>
                            <w:r w:rsidRPr="00B023D6">
                              <w:t>culturally sensitive practice</w:t>
                            </w:r>
                            <w:r>
                              <w:t>s that could have implications for women</w:t>
                            </w:r>
                            <w:r w:rsidRPr="00B023D6">
                              <w:t xml:space="preserve">. </w:t>
                            </w:r>
                          </w:p>
                          <w:p w14:paraId="2233D661" w14:textId="77777777" w:rsidR="009A0F85" w:rsidRPr="00C3230F" w:rsidRDefault="009A0F85" w:rsidP="003414BB">
                            <w:pPr>
                              <w:pStyle w:val="ListParagraph"/>
                              <w:ind w:left="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CA1F1" id="Text Box 8" o:spid="_x0000_s1051" type="#_x0000_t202" alt="&quot;&quot;" style="position:absolute;left:0;text-align:left;margin-left:-1.2pt;margin-top:61.8pt;width:451.2pt;height:37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" fillcolor="white [3201]" strokecolor="#4c2863" strokeweight="4.5pt">
                <v:stroke opacity="6682f"/>
                <v:textbox>
                  <w:txbxContent>
                    <w:p w14:paraId="5CA5DBF0" w14:textId="77777777" w:rsidR="009A0F85" w:rsidRPr="00877C53" w:rsidRDefault="009A0F85">
                      <w:pPr>
                        <w:rPr>
                          <w:color w:val="4C2863"/>
                          <w:sz w:val="24"/>
                          <w:szCs w:val="24"/>
                        </w:rPr>
                      </w:pPr>
                      <w:r w:rsidRPr="00877C53">
                        <w:rPr>
                          <w:b/>
                          <w:color w:val="4C2863"/>
                          <w:sz w:val="24"/>
                          <w:szCs w:val="24"/>
                        </w:rPr>
                        <w:t>Key Findings</w:t>
                      </w:r>
                      <w:r w:rsidRPr="00877C53">
                        <w:rPr>
                          <w:color w:val="4C2863"/>
                          <w:sz w:val="24"/>
                          <w:szCs w:val="24"/>
                        </w:rPr>
                        <w:t>:</w:t>
                      </w:r>
                    </w:p>
                    <w:p w14:paraId="61F37ED2" w14:textId="77777777" w:rsidR="009A0F85" w:rsidRDefault="009A0F85" w:rsidP="003414BB">
                      <w:pPr>
                        <w:jc w:val="both"/>
                        <w:rPr>
                          <w:lang w:val="en-US"/>
                        </w:rPr>
                      </w:pPr>
                      <w:r w:rsidRPr="00310690">
                        <w:rPr>
                          <w:lang w:val="en-US"/>
                        </w:rPr>
                        <w:t xml:space="preserve">There is </w:t>
                      </w:r>
                      <w:r>
                        <w:rPr>
                          <w:lang w:val="en-US"/>
                        </w:rPr>
                        <w:t>little</w:t>
                      </w:r>
                      <w:r w:rsidRPr="00310690">
                        <w:rPr>
                          <w:lang w:val="en-US"/>
                        </w:rPr>
                        <w:t xml:space="preserve"> evidence </w:t>
                      </w:r>
                      <w:r>
                        <w:rPr>
                          <w:lang w:val="en-US"/>
                        </w:rPr>
                        <w:t>to inform us about</w:t>
                      </w:r>
                      <w:r w:rsidRPr="00310690">
                        <w:rPr>
                          <w:lang w:val="en-US"/>
                        </w:rPr>
                        <w:t xml:space="preserve"> tailored programs or interventions for women in priority population</w:t>
                      </w:r>
                      <w:r>
                        <w:rPr>
                          <w:lang w:val="en-US"/>
                        </w:rPr>
                        <w:t>s</w:t>
                      </w:r>
                      <w:r w:rsidRPr="00310690">
                        <w:rPr>
                          <w:lang w:val="en-US"/>
                        </w:rPr>
                        <w:t>, particularly in Australia</w:t>
                      </w:r>
                      <w:r>
                        <w:rPr>
                          <w:lang w:val="en-US"/>
                        </w:rPr>
                        <w:t xml:space="preserve">. Five papers, including a scoping review and a protocol, </w:t>
                      </w:r>
                      <w:r w:rsidRPr="00BB5007">
                        <w:rPr>
                          <w:lang w:val="en-US"/>
                        </w:rPr>
                        <w:t>were identified</w:t>
                      </w:r>
                      <w:r>
                        <w:rPr>
                          <w:lang w:val="en-US"/>
                        </w:rPr>
                        <w:t>, reporting</w:t>
                      </w:r>
                      <w:r w:rsidRPr="00BB5007">
                        <w:rPr>
                          <w:lang w:val="en-US"/>
                        </w:rPr>
                        <w:t xml:space="preserve"> on</w:t>
                      </w:r>
                      <w:r>
                        <w:rPr>
                          <w:lang w:val="en-US"/>
                        </w:rPr>
                        <w:t xml:space="preserve"> First Nations women, transgender people, regional and remote communities, and refugees and/or asylum seekers. Few showed any strong evidence of the effects of programs or interventions, instead demonstrating the factors or designs that can promote health equity and knowledge.</w:t>
                      </w:r>
                    </w:p>
                    <w:p w14:paraId="55552910" w14:textId="77777777" w:rsidR="009A0F85" w:rsidRPr="00C3230F" w:rsidRDefault="009A0F85" w:rsidP="003730E0">
                      <w:pPr>
                        <w:pStyle w:val="ListParagraph"/>
                        <w:numPr>
                          <w:ilvl w:val="0"/>
                          <w:numId w:val="13"/>
                        </w:numPr>
                        <w:ind w:left="426" w:hanging="284"/>
                        <w:jc w:val="both"/>
                      </w:pPr>
                      <w:r>
                        <w:t>C</w:t>
                      </w:r>
                      <w:r w:rsidRPr="00C3230F">
                        <w:t xml:space="preserve">ountries </w:t>
                      </w:r>
                      <w:r>
                        <w:t>represented in the five studies</w:t>
                      </w:r>
                      <w:r w:rsidRPr="00C3230F">
                        <w:t xml:space="preserve"> were Australia (n=4) and the United States (n=1)</w:t>
                      </w:r>
                      <w:r>
                        <w:t>.</w:t>
                      </w:r>
                      <w:r w:rsidRPr="00C3230F">
                        <w:t xml:space="preserve"> </w:t>
                      </w:r>
                    </w:p>
                    <w:p w14:paraId="3F151E6F" w14:textId="77777777" w:rsidR="009A0F85" w:rsidRDefault="009A0F85" w:rsidP="003730E0">
                      <w:pPr>
                        <w:pStyle w:val="ListParagraph"/>
                        <w:numPr>
                          <w:ilvl w:val="0"/>
                          <w:numId w:val="13"/>
                        </w:numPr>
                        <w:ind w:left="426" w:hanging="284"/>
                        <w:jc w:val="both"/>
                      </w:pPr>
                      <w:r w:rsidRPr="00C3230F">
                        <w:t xml:space="preserve">Three </w:t>
                      </w:r>
                      <w:r>
                        <w:t>of the five</w:t>
                      </w:r>
                      <w:r w:rsidRPr="00C3230F">
                        <w:t xml:space="preserve"> studies </w:t>
                      </w:r>
                      <w:r>
                        <w:t>used</w:t>
                      </w:r>
                      <w:r w:rsidRPr="00C3230F">
                        <w:t xml:space="preserve"> qualitative </w:t>
                      </w:r>
                      <w:r>
                        <w:t>methods.</w:t>
                      </w:r>
                    </w:p>
                    <w:p w14:paraId="283D5713" w14:textId="77777777" w:rsidR="009A0F85" w:rsidRPr="00B023D6" w:rsidRDefault="009A0F85" w:rsidP="003730E0">
                      <w:pPr>
                        <w:pStyle w:val="ListParagraph"/>
                        <w:numPr>
                          <w:ilvl w:val="0"/>
                          <w:numId w:val="13"/>
                        </w:numPr>
                        <w:ind w:left="426" w:hanging="284"/>
                        <w:jc w:val="both"/>
                      </w:pPr>
                      <w:r>
                        <w:t>The h</w:t>
                      </w:r>
                      <w:r w:rsidRPr="00B023D6">
                        <w:t>ealth</w:t>
                      </w:r>
                      <w:r>
                        <w:t xml:space="preserve"> knowledge or</w:t>
                      </w:r>
                      <w:r w:rsidRPr="00B023D6">
                        <w:t xml:space="preserve"> literacy </w:t>
                      </w:r>
                      <w:r>
                        <w:t>demonstrated by</w:t>
                      </w:r>
                      <w:r w:rsidRPr="00B023D6">
                        <w:t xml:space="preserve"> transgender and non-binary people w</w:t>
                      </w:r>
                      <w:r>
                        <w:t>as</w:t>
                      </w:r>
                      <w:r w:rsidRPr="00B023D6">
                        <w:t xml:space="preserve"> </w:t>
                      </w:r>
                      <w:r>
                        <w:t>adversely affected by</w:t>
                      </w:r>
                      <w:r w:rsidRPr="00B023D6">
                        <w:t xml:space="preserve"> healthcare providers’ </w:t>
                      </w:r>
                      <w:r>
                        <w:t>in</w:t>
                      </w:r>
                      <w:r w:rsidRPr="00B023D6">
                        <w:t xml:space="preserve">adequate knowledge </w:t>
                      </w:r>
                      <w:r>
                        <w:t>of the ways in which</w:t>
                      </w:r>
                      <w:r w:rsidRPr="00B023D6">
                        <w:t xml:space="preserve"> gender-affirming treatments and medications interact with other medical</w:t>
                      </w:r>
                      <w:r>
                        <w:t xml:space="preserve"> interventions.</w:t>
                      </w:r>
                    </w:p>
                    <w:p w14:paraId="54424A12" w14:textId="77777777" w:rsidR="009A0F85" w:rsidRPr="00B023D6" w:rsidRDefault="009A0F85" w:rsidP="003730E0">
                      <w:pPr>
                        <w:pStyle w:val="ListParagraph"/>
                        <w:numPr>
                          <w:ilvl w:val="0"/>
                          <w:numId w:val="13"/>
                        </w:numPr>
                        <w:ind w:left="426" w:hanging="284"/>
                        <w:jc w:val="both"/>
                      </w:pPr>
                      <w:r w:rsidRPr="00B023D6">
                        <w:t>A reproductive health literacy framework for First Nation</w:t>
                      </w:r>
                      <w:r>
                        <w:t>s</w:t>
                      </w:r>
                      <w:r w:rsidRPr="00B023D6">
                        <w:t xml:space="preserve"> women that </w:t>
                      </w:r>
                      <w:r>
                        <w:t>i</w:t>
                      </w:r>
                      <w:r w:rsidRPr="00B023D6">
                        <w:t xml:space="preserve">s culturally responsive </w:t>
                      </w:r>
                      <w:r>
                        <w:t>to their</w:t>
                      </w:r>
                      <w:r w:rsidRPr="00B023D6">
                        <w:t xml:space="preserve"> complex and multilingual </w:t>
                      </w:r>
                      <w:r>
                        <w:t>circumstances</w:t>
                      </w:r>
                      <w:r w:rsidRPr="00B023D6">
                        <w:t xml:space="preserve"> </w:t>
                      </w:r>
                      <w:r>
                        <w:t>was found</w:t>
                      </w:r>
                      <w:r w:rsidRPr="00B023D6">
                        <w:t xml:space="preserve"> </w:t>
                      </w:r>
                      <w:r>
                        <w:t>to</w:t>
                      </w:r>
                      <w:r w:rsidRPr="00B023D6">
                        <w:t xml:space="preserve"> </w:t>
                      </w:r>
                      <w:r>
                        <w:t>improve</w:t>
                      </w:r>
                      <w:r w:rsidRPr="00B023D6">
                        <w:t xml:space="preserve"> women’s health </w:t>
                      </w:r>
                      <w:r>
                        <w:t>knowledge</w:t>
                      </w:r>
                      <w:r w:rsidRPr="00B023D6">
                        <w:t xml:space="preserve"> and their reproductive health</w:t>
                      </w:r>
                      <w:r>
                        <w:t>.</w:t>
                      </w:r>
                    </w:p>
                    <w:p w14:paraId="0E206A09" w14:textId="77777777" w:rsidR="009A0F85" w:rsidRPr="00B023D6" w:rsidRDefault="009A0F85" w:rsidP="003730E0">
                      <w:pPr>
                        <w:pStyle w:val="ListParagraph"/>
                        <w:numPr>
                          <w:ilvl w:val="0"/>
                          <w:numId w:val="13"/>
                        </w:numPr>
                        <w:ind w:left="426" w:hanging="284"/>
                        <w:jc w:val="both"/>
                      </w:pPr>
                      <w:r>
                        <w:t>Women in</w:t>
                      </w:r>
                      <w:r w:rsidRPr="00B023D6">
                        <w:t xml:space="preserve"> Australian rural and remote communities</w:t>
                      </w:r>
                      <w:r>
                        <w:t xml:space="preserve"> need a </w:t>
                      </w:r>
                      <w:r w:rsidRPr="00B023D6">
                        <w:t>women</w:t>
                      </w:r>
                      <w:r>
                        <w:t>’</w:t>
                      </w:r>
                      <w:r w:rsidRPr="00B023D6">
                        <w:t xml:space="preserve">s health service that </w:t>
                      </w:r>
                      <w:r>
                        <w:t xml:space="preserve">is </w:t>
                      </w:r>
                      <w:r w:rsidRPr="00B023D6">
                        <w:t>respon</w:t>
                      </w:r>
                      <w:r>
                        <w:t>sive</w:t>
                      </w:r>
                      <w:r w:rsidRPr="00B023D6">
                        <w:t xml:space="preserve"> to the needs of women individual</w:t>
                      </w:r>
                      <w:r>
                        <w:t>ly</w:t>
                      </w:r>
                      <w:r w:rsidRPr="00B023D6">
                        <w:t xml:space="preserve"> a</w:t>
                      </w:r>
                      <w:r>
                        <w:t>s well as</w:t>
                      </w:r>
                      <w:r w:rsidRPr="00B023D6">
                        <w:t xml:space="preserve"> collective</w:t>
                      </w:r>
                      <w:r>
                        <w:t xml:space="preserve">ly. Women confront </w:t>
                      </w:r>
                      <w:r w:rsidRPr="00B023D6">
                        <w:t xml:space="preserve">barriers to </w:t>
                      </w:r>
                      <w:proofErr w:type="gramStart"/>
                      <w:r w:rsidRPr="00B023D6">
                        <w:t>access</w:t>
                      </w:r>
                      <w:proofErr w:type="gramEnd"/>
                      <w:r w:rsidRPr="00B023D6">
                        <w:t xml:space="preserve"> and </w:t>
                      </w:r>
                      <w:r>
                        <w:t xml:space="preserve">high </w:t>
                      </w:r>
                      <w:r w:rsidRPr="00B023D6">
                        <w:t>cost</w:t>
                      </w:r>
                      <w:r>
                        <w:t>s occasioned by isolation and</w:t>
                      </w:r>
                      <w:r w:rsidRPr="00B023D6">
                        <w:t xml:space="preserve"> distance</w:t>
                      </w:r>
                      <w:r>
                        <w:t>.</w:t>
                      </w:r>
                    </w:p>
                    <w:p w14:paraId="0C90986A" w14:textId="4FE34E23" w:rsidR="009A0F85" w:rsidRPr="00B023D6" w:rsidRDefault="009A0F85" w:rsidP="003730E0">
                      <w:pPr>
                        <w:pStyle w:val="ListParagraph"/>
                        <w:numPr>
                          <w:ilvl w:val="0"/>
                          <w:numId w:val="13"/>
                        </w:numPr>
                        <w:ind w:left="426" w:hanging="284"/>
                        <w:jc w:val="both"/>
                      </w:pPr>
                      <w:r>
                        <w:t>T</w:t>
                      </w:r>
                      <w:r w:rsidRPr="00B023D6">
                        <w:t xml:space="preserve">he socio-economic model </w:t>
                      </w:r>
                      <w:r>
                        <w:t xml:space="preserve">of health </w:t>
                      </w:r>
                      <w:r w:rsidRPr="00B023D6">
                        <w:t>(</w:t>
                      </w:r>
                      <w:r>
                        <w:t xml:space="preserve">at the levels of the </w:t>
                      </w:r>
                      <w:r w:rsidRPr="00B023D6">
                        <w:t>individual, organisation</w:t>
                      </w:r>
                      <w:r>
                        <w:t>,</w:t>
                      </w:r>
                      <w:r w:rsidRPr="00B023D6">
                        <w:t xml:space="preserve"> and community) </w:t>
                      </w:r>
                      <w:r>
                        <w:t>has been found to be</w:t>
                      </w:r>
                      <w:r w:rsidRPr="00B023D6">
                        <w:t xml:space="preserve"> a useful tool to understand how to prevent adverse health outcomes and intervene at </w:t>
                      </w:r>
                      <w:r>
                        <w:t>several</w:t>
                      </w:r>
                      <w:r w:rsidRPr="00B023D6">
                        <w:t xml:space="preserve"> levels to improve the health</w:t>
                      </w:r>
                      <w:r>
                        <w:t xml:space="preserve"> of</w:t>
                      </w:r>
                      <w:r w:rsidRPr="00B023D6">
                        <w:t xml:space="preserve"> refugee and asylum seeker women. Another framework, Ophelia (Optimizing Health Literacy and Access)</w:t>
                      </w:r>
                      <w:r>
                        <w:t>, when</w:t>
                      </w:r>
                      <w:r w:rsidRPr="00B023D6">
                        <w:t xml:space="preserve"> modified for refugee and asylum seeker women</w:t>
                      </w:r>
                      <w:r>
                        <w:t>,</w:t>
                      </w:r>
                      <w:r w:rsidRPr="00B023D6">
                        <w:t xml:space="preserve"> </w:t>
                      </w:r>
                      <w:r>
                        <w:t xml:space="preserve">appears to be a </w:t>
                      </w:r>
                      <w:r w:rsidRPr="00B023D6">
                        <w:t xml:space="preserve">promising tool for </w:t>
                      </w:r>
                      <w:r>
                        <w:t xml:space="preserve">promoting </w:t>
                      </w:r>
                      <w:r w:rsidRPr="00B023D6">
                        <w:t>culturally sensitive practice</w:t>
                      </w:r>
                      <w:r>
                        <w:t>s that could have implications for women</w:t>
                      </w:r>
                      <w:r w:rsidRPr="00B023D6">
                        <w:t xml:space="preserve">. </w:t>
                      </w:r>
                    </w:p>
                    <w:p w14:paraId="2233D661" w14:textId="77777777" w:rsidR="009A0F85" w:rsidRPr="00C3230F" w:rsidRDefault="009A0F85" w:rsidP="003414BB">
                      <w:pPr>
                        <w:pStyle w:val="ListParagraph"/>
                        <w:ind w:left="426"/>
                      </w:pPr>
                    </w:p>
                  </w:txbxContent>
                </v:textbox>
                <w10:wrap type="square"/>
              </v:shape>
            </w:pict>
          </mc:Fallback>
        </mc:AlternateContent>
      </w:r>
      <w:r w:rsidR="00877C53" w:rsidRPr="00877C53">
        <w:rPr>
          <w:rFonts w:asciiTheme="minorHAnsi" w:hAnsiTheme="minorHAnsi" w:cstheme="minorHAnsi"/>
          <w:b/>
          <w:bCs/>
          <w:color w:val="30785B"/>
          <w:sz w:val="24"/>
          <w:szCs w:val="24"/>
        </w:rPr>
        <w:t>Qu</w:t>
      </w:r>
      <w:r w:rsidRPr="00877C53">
        <w:rPr>
          <w:rFonts w:asciiTheme="minorHAnsi" w:hAnsiTheme="minorHAnsi" w:cstheme="minorHAnsi"/>
          <w:b/>
          <w:bCs/>
          <w:color w:val="30785B"/>
          <w:sz w:val="24"/>
          <w:szCs w:val="24"/>
        </w:rPr>
        <w:t>estion 4: Are there any existing measures, health promotion tools, interventions, or programs that could be tailored and piloted nationally to improve health equity and health literacy for women in priority populations?</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2DBAE710" w14:textId="77777777" w:rsidR="00EB2B55" w:rsidRPr="00672DBE" w:rsidRDefault="00EB2B55" w:rsidP="003414BB"/>
    <w:p w14:paraId="763F2C4C" w14:textId="2F66F098" w:rsidR="00EB2B55" w:rsidRPr="00672DBE" w:rsidRDefault="00EB2B55" w:rsidP="00047493">
      <w:r w:rsidRPr="00672DBE">
        <w:t xml:space="preserve">There is little evidence about interventions or tailored programs that could contribute to achieving equity for women in priority populations, although there are examples of research focusing on situation analyses, existing gaps, risk factors, and the development of support frameworks or strategic planning (Appendix </w:t>
      </w:r>
      <w:r w:rsidR="005253AB">
        <w:t>B, Table B4</w:t>
      </w:r>
      <w:r w:rsidRPr="00672DBE">
        <w:t xml:space="preserve">). </w:t>
      </w:r>
    </w:p>
    <w:p w14:paraId="7093577E" w14:textId="77777777" w:rsidR="00EB2B55" w:rsidRPr="00672DBE" w:rsidRDefault="00EB2B55" w:rsidP="003414BB">
      <w:pPr>
        <w:jc w:val="both"/>
      </w:pPr>
      <w:r w:rsidRPr="00672DBE">
        <w:t xml:space="preserve">Four papers reported on priority populations: First Nations women in Australia, transgender people in the United States, regional and remote communities in Australia, and refugees and asylum seekers in Australia and elsewhere. Three research projects used qualitative methods </w:t>
      </w:r>
      <w:r w:rsidRPr="002F7A6A">
        <w:t xml:space="preserve">(Hostetter et al., 2022; Ireland &amp; </w:t>
      </w:r>
      <w:proofErr w:type="spellStart"/>
      <w:r w:rsidRPr="002F7A6A">
        <w:t>Maypilama</w:t>
      </w:r>
      <w:proofErr w:type="spellEnd"/>
      <w:r w:rsidRPr="002F7A6A">
        <w:t>, 2021; Sivertsen et al., 2022)</w:t>
      </w:r>
      <w:r w:rsidRPr="00672DBE">
        <w:t xml:space="preserve">, one was a literature review </w:t>
      </w:r>
      <w:r w:rsidRPr="002F7A6A">
        <w:t>(Hawkins et al., 2021)</w:t>
      </w:r>
      <w:r w:rsidRPr="00672DBE">
        <w:t xml:space="preserve">, and one was a research protocol </w:t>
      </w:r>
      <w:r w:rsidRPr="002F7A6A">
        <w:t>(Jawahar et al., 2023)</w:t>
      </w:r>
      <w:r w:rsidRPr="00672DBE">
        <w:t>. These papers demonstrated the factors or designs that can promote health equity and literacy rather than providing strong evidence of the effectiveness of programs or interventions.</w:t>
      </w:r>
    </w:p>
    <w:p w14:paraId="5F906E97" w14:textId="3E24EB5A" w:rsidR="00EB2B55" w:rsidRPr="00672DBE" w:rsidRDefault="00EB2B55" w:rsidP="003414BB">
      <w:pPr>
        <w:jc w:val="both"/>
      </w:pPr>
      <w:r w:rsidRPr="00672DBE">
        <w:t xml:space="preserve">An investigation of access to health care by transgender and non-binary people in the United States found that poor provider literacy, provider incompetence, and discriminatory attitudes limited the capacity of transgender and non-binary people to understand and use healthcare information as well as their access to appropriate care </w:t>
      </w:r>
      <w:r w:rsidRPr="002F7A6A">
        <w:t>(Hostetter et al., 2022)</w:t>
      </w:r>
      <w:r w:rsidRPr="00672DBE">
        <w:t xml:space="preserve">. Problems with achieving insurance </w:t>
      </w:r>
      <w:r w:rsidRPr="00672DBE">
        <w:lastRenderedPageBreak/>
        <w:t xml:space="preserve">coverage and the difficulties of finding health care were exacerbated by poor provider knowledge. For example, many providers appeared to be ignorant of potential interactions of gender-affirming treatments and medications with other medical needs, such as diabetes care or </w:t>
      </w:r>
      <w:r w:rsidR="004A41F3">
        <w:t>contraception</w:t>
      </w:r>
      <w:r w:rsidRPr="00672DBE">
        <w:t xml:space="preserve">. The need to educate healthcare providers was an added burden on patients. In contrast, respectful and knowledgeable providers contributed not only to good care and trust but also to transgender people’s own knowledge and confidence. </w:t>
      </w:r>
    </w:p>
    <w:p w14:paraId="42EF6D66" w14:textId="4FCDB120" w:rsidR="00EB2B55" w:rsidRPr="00672DBE" w:rsidRDefault="00EB2B55" w:rsidP="003414BB">
      <w:pPr>
        <w:jc w:val="both"/>
        <w:rPr>
          <w:rFonts w:cstheme="minorHAnsi"/>
        </w:rPr>
      </w:pPr>
      <w:r w:rsidRPr="00672DBE">
        <w:t xml:space="preserve">First Nations women of the </w:t>
      </w:r>
      <w:proofErr w:type="spellStart"/>
      <w:r w:rsidRPr="00672DBE">
        <w:t>Yolŋu</w:t>
      </w:r>
      <w:proofErr w:type="spellEnd"/>
      <w:r w:rsidRPr="00672DBE">
        <w:t xml:space="preserve"> people in remote Northern Australia were central to participatory action research as a means of developing a framework, in their own language, for reproductive health literacy </w:t>
      </w:r>
      <w:r w:rsidRPr="002F7A6A">
        <w:t xml:space="preserve">(Ireland &amp; </w:t>
      </w:r>
      <w:proofErr w:type="spellStart"/>
      <w:r w:rsidRPr="002F7A6A">
        <w:t>Maypilama</w:t>
      </w:r>
      <w:proofErr w:type="spellEnd"/>
      <w:r w:rsidRPr="002F7A6A">
        <w:t xml:space="preserve">, 2021). The co-designed framework was offered as an example of culturally sensitive health care designed to challenge inequities experienced by Indigenous women. Its success was attributed to respectful “Two Way” learning that incorporated </w:t>
      </w:r>
      <w:r w:rsidRPr="00672DBE">
        <w:t xml:space="preserve">both </w:t>
      </w:r>
      <w:proofErr w:type="spellStart"/>
      <w:r w:rsidRPr="00672DBE">
        <w:t>Yolŋu</w:t>
      </w:r>
      <w:proofErr w:type="spellEnd"/>
      <w:r w:rsidRPr="00672DBE">
        <w:t xml:space="preserve"> and Western </w:t>
      </w:r>
      <w:r w:rsidRPr="00672DBE">
        <w:rPr>
          <w:rFonts w:cstheme="minorHAnsi"/>
        </w:rPr>
        <w:t>medical knowledge. The process and the resulting framework were said to contribute to enhancing women’s reproductive health literacy and improving their reproductive health outcomes.</w:t>
      </w:r>
    </w:p>
    <w:p w14:paraId="7644B406" w14:textId="77777777" w:rsidR="00EB2B55" w:rsidRPr="002F7A6A" w:rsidRDefault="00EB2B55" w:rsidP="003414BB">
      <w:pPr>
        <w:jc w:val="both"/>
        <w:rPr>
          <w:rFonts w:cstheme="minorHAnsi"/>
        </w:rPr>
      </w:pPr>
      <w:r w:rsidRPr="00672DBE">
        <w:rPr>
          <w:rFonts w:cstheme="minorHAnsi"/>
        </w:rPr>
        <w:t xml:space="preserve">A research project in rural and regional New South Wales had wide-ranging aims that included identifying </w:t>
      </w:r>
      <w:r w:rsidRPr="00672DBE">
        <w:rPr>
          <w:rFonts w:cstheme="minorHAnsi"/>
          <w:color w:val="000000"/>
          <w:shd w:val="clear" w:color="auto" w:fill="FFFFFF"/>
        </w:rPr>
        <w:t xml:space="preserve">gaps in community women’s health programs and contributing to service provision and strategic planning </w:t>
      </w:r>
      <w:r w:rsidRPr="002F7A6A">
        <w:rPr>
          <w:rFonts w:cstheme="minorHAnsi"/>
          <w:color w:val="000000"/>
          <w:shd w:val="clear" w:color="auto" w:fill="FFFFFF"/>
        </w:rPr>
        <w:t>(Sivertsen et al., 2022)</w:t>
      </w:r>
      <w:r w:rsidRPr="002F7A6A">
        <w:rPr>
          <w:rFonts w:cstheme="minorHAnsi"/>
        </w:rPr>
        <w:t xml:space="preserve">. It was found that women </w:t>
      </w:r>
      <w:r w:rsidRPr="00672DBE">
        <w:rPr>
          <w:rFonts w:cstheme="minorHAnsi"/>
          <w:color w:val="000000"/>
          <w:shd w:val="clear" w:color="auto" w:fill="FFFFFF"/>
        </w:rPr>
        <w:t xml:space="preserve">experienced deficits in and poor access to services as well as lengthy wait times. There appeared to be an </w:t>
      </w:r>
      <w:r w:rsidRPr="00672DBE">
        <w:rPr>
          <w:rFonts w:cstheme="minorHAnsi"/>
        </w:rPr>
        <w:t>inadequate understanding by providers of the differences between common health problems and personalised, women-centred care.</w:t>
      </w:r>
      <w:r w:rsidRPr="00672DBE">
        <w:rPr>
          <w:rFonts w:cstheme="minorHAnsi"/>
          <w:color w:val="000000"/>
          <w:shd w:val="clear" w:color="auto" w:fill="FFFFFF"/>
        </w:rPr>
        <w:t xml:space="preserve"> The researchers concluded that additional funding for community women’s health services for mental health, drug and alcohol treatment, domestic violence, housing/shelter, Aboriginal clinics, additional nurses in rural health, and subsidies for transportation is essential if outcomes for women are to be improved in these rural and remote locations.</w:t>
      </w:r>
    </w:p>
    <w:p w14:paraId="44BB3F71" w14:textId="0234C39E" w:rsidR="00EB2B55" w:rsidRPr="002F7357" w:rsidRDefault="00EB2B55" w:rsidP="003414BB">
      <w:pPr>
        <w:jc w:val="both"/>
      </w:pPr>
      <w:r w:rsidRPr="002F7357">
        <w:rPr>
          <w:rFonts w:cstheme="minorHAnsi"/>
        </w:rPr>
        <w:t xml:space="preserve">Hawkins et al. (2021) conducted a literature review to assess the ways in which </w:t>
      </w:r>
      <w:r w:rsidRPr="002F7357">
        <w:rPr>
          <w:rFonts w:cstheme="minorHAnsi"/>
          <w:shd w:val="clear" w:color="auto" w:fill="FFFFFF"/>
        </w:rPr>
        <w:t>individual, interpersonal, community, and organisational factors interact to influence the health of refugee women after resettlement. Applying a social-ecological model, the researchers identified various levels at which interventions could not only prevent secondary victimisation but contribute constructively to improved health. They concluded that,</w:t>
      </w:r>
      <w:r w:rsidRPr="002F7357">
        <w:t xml:space="preserve"> at the individual and interpersonal levels, addressing language barriers, improving provider-patient communication, and providing appropriate medical and mental health screenings would be of benefit to the women. At the organisational level, it is essential to have good inter-organisational communication and awareness so that gains can be optimised rather than forcing women to begin at the beginning again with every organisation. This multi-level approach needs to take place with the strong support of the communities within which women are settled (Hawkins et al., 2021).</w:t>
      </w:r>
    </w:p>
    <w:p w14:paraId="5E7DB63A" w14:textId="77777777" w:rsidR="00EB2B55" w:rsidRPr="00672DBE" w:rsidRDefault="00EB2B55" w:rsidP="003414BB">
      <w:pPr>
        <w:jc w:val="both"/>
      </w:pPr>
      <w:r w:rsidRPr="00672DBE">
        <w:t xml:space="preserve">A research protocol for a project to be based in Melbourne was designed to challenge the recognised difficulties and barriers experienced by refugees and devise the means to overcome them </w:t>
      </w:r>
      <w:r w:rsidRPr="00B43929">
        <w:t>(Jawahar et al., 2023)</w:t>
      </w:r>
      <w:r w:rsidRPr="00672DBE">
        <w:t>. Working on co-design with Karen people, former refugees from Myanmar, the researchers plan to employ the Ophelia (Optimizing Health Literacy and Access) process</w:t>
      </w:r>
      <w:r w:rsidRPr="00672DBE">
        <w:rPr>
          <w:vertAlign w:val="superscript"/>
        </w:rPr>
        <w:footnoteReference w:id="10"/>
      </w:r>
      <w:r w:rsidRPr="00672DBE">
        <w:t xml:space="preserve"> to assess the community’s needs, with an emphasis on cultural sensitivity. Although the concept is not developed in the protocol, gender (possibly meaning sex and gender) is stated as one of the demographic differences to be considered in the research. This project might provide useful information by its completion.</w:t>
      </w:r>
    </w:p>
    <w:bookmarkStart w:id="253" w:name="_Toc161756600"/>
    <w:bookmarkStart w:id="254" w:name="_Toc161757524"/>
    <w:bookmarkStart w:id="255" w:name="_Toc161763949"/>
    <w:bookmarkStart w:id="256" w:name="_Toc165205004"/>
    <w:bookmarkStart w:id="257" w:name="_Toc168390512"/>
    <w:bookmarkStart w:id="258" w:name="_Toc168390880"/>
    <w:bookmarkStart w:id="259" w:name="_Toc168390946"/>
    <w:bookmarkStart w:id="260" w:name="_Toc168392078"/>
    <w:bookmarkStart w:id="261" w:name="_Toc168392435"/>
    <w:bookmarkStart w:id="262" w:name="_Toc168393608"/>
    <w:bookmarkStart w:id="263" w:name="_Toc168393650"/>
    <w:bookmarkStart w:id="264" w:name="_Toc168394324"/>
    <w:bookmarkStart w:id="265" w:name="_Toc168394462"/>
    <w:bookmarkStart w:id="266" w:name="_Toc161756599"/>
    <w:bookmarkStart w:id="267" w:name="_Toc161757523"/>
    <w:bookmarkStart w:id="268" w:name="_Toc161763948"/>
    <w:bookmarkStart w:id="269" w:name="_Toc165205003"/>
    <w:bookmarkStart w:id="270" w:name="_Toc168390511"/>
    <w:bookmarkStart w:id="271" w:name="_Toc168390879"/>
    <w:bookmarkStart w:id="272" w:name="_Toc168390945"/>
    <w:bookmarkStart w:id="273" w:name="_Toc168392077"/>
    <w:bookmarkStart w:id="274" w:name="_Toc168392434"/>
    <w:bookmarkStart w:id="275" w:name="_Toc168393607"/>
    <w:bookmarkStart w:id="276" w:name="_Toc168393649"/>
    <w:bookmarkStart w:id="277" w:name="_Toc168394323"/>
    <w:bookmarkStart w:id="278" w:name="_Toc168394461"/>
    <w:p w14:paraId="17C4C9A8" w14:textId="2ED38A2B" w:rsidR="00EB2B55" w:rsidRPr="00877C53" w:rsidRDefault="00877C53" w:rsidP="00877C53">
      <w:pPr>
        <w:pStyle w:val="Heading2"/>
        <w:spacing w:before="0" w:after="160"/>
        <w:rPr>
          <w:rFonts w:asciiTheme="minorHAnsi" w:hAnsiTheme="minorHAnsi" w:cstheme="minorHAnsi"/>
          <w:b/>
          <w:bCs/>
          <w:color w:val="30785B"/>
        </w:rPr>
      </w:pPr>
      <w:r w:rsidRPr="005B2562">
        <w:rPr>
          <w:noProof/>
        </w:rPr>
        <w:lastRenderedPageBreak/>
        <mc:AlternateContent>
          <mc:Choice Requires="wps">
            <w:drawing>
              <wp:anchor distT="0" distB="0" distL="114300" distR="114300" simplePos="0" relativeHeight="251666432" behindDoc="0" locked="0" layoutInCell="1" allowOverlap="1" wp14:anchorId="6274D4F9" wp14:editId="3BC8E576">
                <wp:simplePos x="0" y="0"/>
                <wp:positionH relativeFrom="margin">
                  <wp:posOffset>52705</wp:posOffset>
                </wp:positionH>
                <wp:positionV relativeFrom="paragraph">
                  <wp:posOffset>813435</wp:posOffset>
                </wp:positionV>
                <wp:extent cx="5692140" cy="6142355"/>
                <wp:effectExtent l="19050" t="19050" r="41910" b="29845"/>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92140" cy="6142355"/>
                        </a:xfrm>
                        <a:prstGeom prst="rect">
                          <a:avLst/>
                        </a:prstGeom>
                        <a:solidFill>
                          <a:schemeClr val="lt1"/>
                        </a:solidFill>
                        <a:ln w="57150">
                          <a:solidFill>
                            <a:srgbClr val="4C2863">
                              <a:alpha val="10196"/>
                            </a:srgbClr>
                          </a:solidFill>
                        </a:ln>
                        <a:effectLst/>
                      </wps:spPr>
                      <wps:style>
                        <a:lnRef idx="0">
                          <a:schemeClr val="accent1"/>
                        </a:lnRef>
                        <a:fillRef idx="0">
                          <a:schemeClr val="accent1"/>
                        </a:fillRef>
                        <a:effectRef idx="0">
                          <a:schemeClr val="accent1"/>
                        </a:effectRef>
                        <a:fontRef idx="minor">
                          <a:schemeClr val="dk1"/>
                        </a:fontRef>
                      </wps:style>
                      <wps:txbx>
                        <w:txbxContent>
                          <w:p w14:paraId="4966A77D" w14:textId="77777777" w:rsidR="009A0F85" w:rsidRDefault="009A0F85">
                            <w:pPr>
                              <w:rPr>
                                <w:b/>
                                <w:sz w:val="24"/>
                                <w:szCs w:val="24"/>
                              </w:rPr>
                            </w:pPr>
                            <w:r w:rsidRPr="006D0129">
                              <w:rPr>
                                <w:b/>
                                <w:sz w:val="24"/>
                                <w:szCs w:val="24"/>
                              </w:rPr>
                              <w:t>Key findings:</w:t>
                            </w:r>
                          </w:p>
                          <w:p w14:paraId="0234383C" w14:textId="0A2E392A" w:rsidR="009A0F85" w:rsidRDefault="009A0F85" w:rsidP="003414BB">
                            <w:pPr>
                              <w:jc w:val="both"/>
                            </w:pPr>
                            <w:r>
                              <w:t>Fifteen papers were identified</w:t>
                            </w:r>
                            <w:r w:rsidRPr="00B023D6">
                              <w:t xml:space="preserve"> </w:t>
                            </w:r>
                            <w:r>
                              <w:t>that revealed sex and gender gaps</w:t>
                            </w:r>
                            <w:r w:rsidRPr="00B023D6">
                              <w:t xml:space="preserve"> </w:t>
                            </w:r>
                            <w:r>
                              <w:t>in data collection</w:t>
                            </w:r>
                            <w:r w:rsidRPr="00B023D6">
                              <w:t xml:space="preserve">. Despite </w:t>
                            </w:r>
                            <w:r>
                              <w:t xml:space="preserve">widespread </w:t>
                            </w:r>
                            <w:r w:rsidRPr="00B023D6">
                              <w:t xml:space="preserve">policy </w:t>
                            </w:r>
                            <w:r>
                              <w:t xml:space="preserve">requirements (and </w:t>
                            </w:r>
                            <w:r w:rsidRPr="00B023D6">
                              <w:t>institutional support</w:t>
                            </w:r>
                            <w:r>
                              <w:t xml:space="preserve">) for </w:t>
                            </w:r>
                            <w:r w:rsidRPr="00B023D6">
                              <w:t xml:space="preserve">sex and gender equity in research, sex bias and women’s underrepresentation </w:t>
                            </w:r>
                            <w:r>
                              <w:t xml:space="preserve">are </w:t>
                            </w:r>
                            <w:r w:rsidRPr="00B023D6">
                              <w:t xml:space="preserve">still </w:t>
                            </w:r>
                            <w:r>
                              <w:t>evident</w:t>
                            </w:r>
                            <w:r w:rsidRPr="00B023D6">
                              <w:t xml:space="preserve">. </w:t>
                            </w:r>
                            <w:r>
                              <w:t xml:space="preserve">The </w:t>
                            </w:r>
                            <w:r w:rsidRPr="00B023D6">
                              <w:t xml:space="preserve">dominant </w:t>
                            </w:r>
                            <w:r>
                              <w:t>explanation for the failure to remedy the sex and gender data gaps</w:t>
                            </w:r>
                            <w:r w:rsidRPr="00B023D6">
                              <w:t xml:space="preserve"> is </w:t>
                            </w:r>
                            <w:r>
                              <w:t xml:space="preserve">the </w:t>
                            </w:r>
                            <w:r w:rsidRPr="00B023D6">
                              <w:t xml:space="preserve">historical tendency to consider </w:t>
                            </w:r>
                            <w:r>
                              <w:t xml:space="preserve">the </w:t>
                            </w:r>
                            <w:r w:rsidRPr="00B023D6">
                              <w:t>(usually Caucasian)</w:t>
                            </w:r>
                            <w:r>
                              <w:t xml:space="preserve"> </w:t>
                            </w:r>
                            <w:r w:rsidRPr="00B023D6">
                              <w:t xml:space="preserve">male </w:t>
                            </w:r>
                            <w:r>
                              <w:t>body as</w:t>
                            </w:r>
                            <w:r w:rsidRPr="00B023D6">
                              <w:t xml:space="preserve"> the standard and </w:t>
                            </w:r>
                            <w:r>
                              <w:t xml:space="preserve">the </w:t>
                            </w:r>
                            <w:r w:rsidRPr="00B023D6">
                              <w:t xml:space="preserve">female </w:t>
                            </w:r>
                            <w:r>
                              <w:t xml:space="preserve">body </w:t>
                            </w:r>
                            <w:r w:rsidRPr="00B023D6">
                              <w:t>a</w:t>
                            </w:r>
                            <w:r>
                              <w:t xml:space="preserve">s </w:t>
                            </w:r>
                            <w:r w:rsidRPr="00B023D6">
                              <w:t xml:space="preserve">deviant. </w:t>
                            </w:r>
                          </w:p>
                          <w:p w14:paraId="3C9BFCD3" w14:textId="5AC2C8C0" w:rsidR="009A0F85" w:rsidRPr="00520B12" w:rsidRDefault="009A0F85" w:rsidP="00520B12">
                            <w:pPr>
                              <w:jc w:val="both"/>
                            </w:pPr>
                            <w:r w:rsidRPr="00B023D6">
                              <w:t xml:space="preserve">Most of the </w:t>
                            </w:r>
                            <w:r>
                              <w:t>papers</w:t>
                            </w:r>
                            <w:r w:rsidRPr="00B023D6">
                              <w:t xml:space="preserve"> </w:t>
                            </w:r>
                            <w:r>
                              <w:t xml:space="preserve">included in this review </w:t>
                            </w:r>
                            <w:r w:rsidRPr="00B023D6">
                              <w:t xml:space="preserve">addressed </w:t>
                            </w:r>
                            <w:r>
                              <w:t>the ways in which sex- and/or</w:t>
                            </w:r>
                            <w:r w:rsidRPr="00B023D6">
                              <w:t xml:space="preserve"> gender-sensitive and </w:t>
                            </w:r>
                            <w:r>
                              <w:t>sex-</w:t>
                            </w:r>
                            <w:r w:rsidRPr="00B023D6">
                              <w:t>disaggregated reporting was</w:t>
                            </w:r>
                            <w:r>
                              <w:t xml:space="preserve"> (or was not)</w:t>
                            </w:r>
                            <w:r w:rsidRPr="00B023D6">
                              <w:t xml:space="preserve"> presented in </w:t>
                            </w:r>
                            <w:r>
                              <w:t>peer-reviewed publications,</w:t>
                            </w:r>
                            <w:r w:rsidRPr="00B023D6">
                              <w:t xml:space="preserve"> without specifying the health conditions. </w:t>
                            </w:r>
                          </w:p>
                          <w:p w14:paraId="473F0E28" w14:textId="7F4D76C1" w:rsidR="009A0F85" w:rsidRDefault="009A0F85" w:rsidP="003730E0">
                            <w:pPr>
                              <w:pStyle w:val="ListParagraph"/>
                              <w:numPr>
                                <w:ilvl w:val="0"/>
                                <w:numId w:val="13"/>
                              </w:numPr>
                              <w:ind w:left="426" w:hanging="284"/>
                              <w:jc w:val="both"/>
                            </w:pPr>
                            <w:r>
                              <w:t xml:space="preserve">Of the 15 papers, </w:t>
                            </w:r>
                            <w:r w:rsidRPr="00F44E2E">
                              <w:t xml:space="preserve">seven </w:t>
                            </w:r>
                            <w:r>
                              <w:t>reported</w:t>
                            </w:r>
                            <w:r w:rsidRPr="00F44E2E">
                              <w:t xml:space="preserve"> literature reviews</w:t>
                            </w:r>
                            <w:r>
                              <w:t>, f</w:t>
                            </w:r>
                            <w:r w:rsidRPr="00F44E2E">
                              <w:t xml:space="preserve">our </w:t>
                            </w:r>
                            <w:r>
                              <w:t>reported</w:t>
                            </w:r>
                            <w:r w:rsidRPr="00F44E2E">
                              <w:t xml:space="preserve"> systematic reviews, </w:t>
                            </w:r>
                            <w:r>
                              <w:t xml:space="preserve">and </w:t>
                            </w:r>
                            <w:r w:rsidRPr="00F44E2E">
                              <w:t>one was a scoping review</w:t>
                            </w:r>
                            <w:r>
                              <w:t>. The remaining three papers reported</w:t>
                            </w:r>
                            <w:r w:rsidRPr="00F44E2E">
                              <w:t xml:space="preserve"> an observational study, a cross-sectional </w:t>
                            </w:r>
                            <w:r>
                              <w:t>study, and a bibliometric study. Eleven papers had a global focus. There was one each reporting research</w:t>
                            </w:r>
                            <w:r w:rsidRPr="00F44E2E">
                              <w:t xml:space="preserve"> from Australia, Canada, North America</w:t>
                            </w:r>
                            <w:r>
                              <w:t>,</w:t>
                            </w:r>
                            <w:r w:rsidRPr="00F44E2E">
                              <w:t xml:space="preserve"> and Europe</w:t>
                            </w:r>
                            <w:r>
                              <w:t xml:space="preserve">. </w:t>
                            </w:r>
                          </w:p>
                          <w:p w14:paraId="590EF6C3" w14:textId="77777777" w:rsidR="009A0F85" w:rsidRDefault="009A0F85" w:rsidP="003730E0">
                            <w:pPr>
                              <w:pStyle w:val="ListParagraph"/>
                              <w:numPr>
                                <w:ilvl w:val="0"/>
                                <w:numId w:val="13"/>
                              </w:numPr>
                              <w:ind w:left="426" w:hanging="284"/>
                              <w:jc w:val="both"/>
                            </w:pPr>
                            <w:r w:rsidRPr="00E559E2">
                              <w:t xml:space="preserve">10 </w:t>
                            </w:r>
                            <w:r>
                              <w:t xml:space="preserve">leading </w:t>
                            </w:r>
                            <w:r w:rsidRPr="00E559E2">
                              <w:t>Australian journals in medical research</w:t>
                            </w:r>
                            <w:r>
                              <w:t xml:space="preserve"> were found not to incorporate sex and gender adequately in their published papers.</w:t>
                            </w:r>
                          </w:p>
                          <w:p w14:paraId="2E1D75B3" w14:textId="77777777" w:rsidR="009A0F85" w:rsidRDefault="009A0F85" w:rsidP="003730E0">
                            <w:pPr>
                              <w:pStyle w:val="ListParagraph"/>
                              <w:numPr>
                                <w:ilvl w:val="0"/>
                                <w:numId w:val="13"/>
                              </w:numPr>
                              <w:ind w:left="426" w:hanging="284"/>
                              <w:jc w:val="both"/>
                            </w:pPr>
                            <w:r>
                              <w:t>An investigation of funding agencies’ policies about</w:t>
                            </w:r>
                            <w:r w:rsidRPr="00E559E2">
                              <w:t xml:space="preserve"> sex and gender in research revealed that eight of the ten funding agencies </w:t>
                            </w:r>
                            <w:r>
                              <w:t>had no such policy.</w:t>
                            </w:r>
                          </w:p>
                          <w:p w14:paraId="3B392C38" w14:textId="77777777" w:rsidR="009A0F85" w:rsidRDefault="009A0F85" w:rsidP="003730E0">
                            <w:pPr>
                              <w:pStyle w:val="ListParagraph"/>
                              <w:numPr>
                                <w:ilvl w:val="0"/>
                                <w:numId w:val="13"/>
                              </w:numPr>
                              <w:ind w:left="426" w:hanging="284"/>
                              <w:jc w:val="both"/>
                            </w:pPr>
                            <w:r>
                              <w:t>In t</w:t>
                            </w:r>
                            <w:r w:rsidRPr="003C6EB7">
                              <w:t xml:space="preserve">hree </w:t>
                            </w:r>
                            <w:r>
                              <w:t>United States high-impact biomedical journals</w:t>
                            </w:r>
                            <w:r w:rsidRPr="003C6EB7">
                              <w:t xml:space="preserve">, </w:t>
                            </w:r>
                            <w:r>
                              <w:t xml:space="preserve">significantly </w:t>
                            </w:r>
                            <w:r w:rsidRPr="003C6EB7">
                              <w:t xml:space="preserve">more </w:t>
                            </w:r>
                            <w:r>
                              <w:t xml:space="preserve">men </w:t>
                            </w:r>
                            <w:r w:rsidRPr="003C6EB7">
                              <w:t xml:space="preserve">than </w:t>
                            </w:r>
                            <w:r>
                              <w:t>women</w:t>
                            </w:r>
                            <w:r w:rsidRPr="003C6EB7">
                              <w:t xml:space="preserve"> were enrolled in clinical research</w:t>
                            </w:r>
                            <w:r>
                              <w:t>.</w:t>
                            </w:r>
                          </w:p>
                          <w:p w14:paraId="1B62322B" w14:textId="72CC0E0F" w:rsidR="009A0F85" w:rsidRPr="003730E0" w:rsidRDefault="009A0F85" w:rsidP="003730E0">
                            <w:pPr>
                              <w:pStyle w:val="ListParagraph"/>
                              <w:numPr>
                                <w:ilvl w:val="0"/>
                                <w:numId w:val="13"/>
                              </w:numPr>
                              <w:ind w:left="426" w:hanging="284"/>
                              <w:jc w:val="both"/>
                            </w:pPr>
                            <w:r>
                              <w:t xml:space="preserve">An investigation of </w:t>
                            </w:r>
                            <w:r w:rsidRPr="00DC3EA2">
                              <w:t>Cochrane systematic reviews</w:t>
                            </w:r>
                            <w:r>
                              <w:t xml:space="preserve"> </w:t>
                            </w:r>
                            <w:r w:rsidRPr="00DC3EA2">
                              <w:t>of interventions revealed</w:t>
                            </w:r>
                            <w:r>
                              <w:t xml:space="preserve"> that, while more than 70% of reviews </w:t>
                            </w:r>
                            <w:r w:rsidRPr="00BB7602">
                              <w:t>provided sex-disaggregated descriptive data,</w:t>
                            </w:r>
                            <w:r>
                              <w:t xml:space="preserve"> only 27.5% reported </w:t>
                            </w:r>
                            <w:r w:rsidRPr="003D400E">
                              <w:t>main outcomes</w:t>
                            </w:r>
                            <w:r>
                              <w:t xml:space="preserve"> by sex, and less than 20% included sex-related reporting in the abstract, design and discussion.</w:t>
                            </w:r>
                          </w:p>
                          <w:p w14:paraId="212B5C96" w14:textId="77777777" w:rsidR="009A0F85" w:rsidRDefault="009A0F85" w:rsidP="003730E0">
                            <w:pPr>
                              <w:pStyle w:val="ListParagraph"/>
                              <w:numPr>
                                <w:ilvl w:val="0"/>
                                <w:numId w:val="13"/>
                              </w:numPr>
                              <w:ind w:left="426" w:hanging="284"/>
                              <w:jc w:val="both"/>
                            </w:pPr>
                            <w:r>
                              <w:t>Sex bias is present in the enrolment</w:t>
                            </w:r>
                            <w:r>
                              <w:rPr>
                                <w:rFonts w:hint="eastAsia"/>
                              </w:rPr>
                              <w:t xml:space="preserve"> </w:t>
                            </w:r>
                            <w:r>
                              <w:t xml:space="preserve">of interventional clinical trials listed in the UK registry; while almost all </w:t>
                            </w:r>
                            <w:r w:rsidRPr="007E3728">
                              <w:t xml:space="preserve">studies described the demographic </w:t>
                            </w:r>
                            <w:r>
                              <w:t>data of</w:t>
                            </w:r>
                            <w:r w:rsidRPr="007E3728">
                              <w:t xml:space="preserve"> participants by sex</w:t>
                            </w:r>
                            <w:r>
                              <w:t xml:space="preserve"> in Canadian RCTs, no article defined s</w:t>
                            </w:r>
                            <w:r w:rsidRPr="00BC0949">
                              <w:t>ex</w:t>
                            </w:r>
                            <w:r>
                              <w:t xml:space="preserve"> and/or </w:t>
                            </w:r>
                            <w:proofErr w:type="gramStart"/>
                            <w:r w:rsidRPr="00BC0949">
                              <w:t>gender</w:t>
                            </w:r>
                            <w:r>
                              <w:t>;</w:t>
                            </w:r>
                            <w:proofErr w:type="gramEnd"/>
                            <w:r>
                              <w:t xml:space="preserve">  </w:t>
                            </w:r>
                          </w:p>
                          <w:p w14:paraId="178BAC7A" w14:textId="59D1C49F" w:rsidR="009A0F85" w:rsidRPr="0052695F" w:rsidRDefault="009A0F85" w:rsidP="003730E0">
                            <w:pPr>
                              <w:pStyle w:val="ListParagraph"/>
                              <w:numPr>
                                <w:ilvl w:val="0"/>
                                <w:numId w:val="13"/>
                              </w:numPr>
                              <w:ind w:left="426" w:hanging="284"/>
                              <w:jc w:val="both"/>
                            </w:pPr>
                            <w:r>
                              <w:t>T</w:t>
                            </w:r>
                            <w:r w:rsidRPr="00ED3003">
                              <w:t>he sex bias and underrepresentation of women</w:t>
                            </w:r>
                            <w:r w:rsidDel="00BD5EAA">
                              <w:t xml:space="preserve"> </w:t>
                            </w:r>
                            <w:r>
                              <w:t>in clinical trials for specific h</w:t>
                            </w:r>
                            <w:r w:rsidRPr="00ED3003">
                              <w:t>ealth condition</w:t>
                            </w:r>
                            <w:r>
                              <w:t>s</w:t>
                            </w:r>
                            <w:r w:rsidRPr="00ED3003">
                              <w:t xml:space="preserve"> and treatment</w:t>
                            </w:r>
                            <w:r>
                              <w:t>s</w:t>
                            </w:r>
                            <w:r w:rsidRPr="00ED3003">
                              <w:t xml:space="preserve"> </w:t>
                            </w:r>
                            <w:r>
                              <w:t xml:space="preserve">(sepsis, diabetes, COVID-19 vaccine, surgery, </w:t>
                            </w:r>
                            <w:r w:rsidRPr="00ED3003">
                              <w:t>tendinopathy</w:t>
                            </w:r>
                            <w:r>
                              <w:t>, and atrial fibrillation)</w:t>
                            </w:r>
                            <w:r w:rsidRPr="00ED3003">
                              <w:t xml:space="preserve"> resulted in significant gaps</w:t>
                            </w:r>
                            <w:r>
                              <w:t xml:space="preserve"> in sex and </w:t>
                            </w:r>
                            <w:r w:rsidRPr="00ED3003">
                              <w:t xml:space="preserve">gender </w:t>
                            </w:r>
                            <w:r w:rsidRPr="00421680">
                              <w:t>data with potential resultant harm to women.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D4F9" id="Text Box 9" o:spid="_x0000_s1052" type="#_x0000_t202" alt="&quot;&quot;" style="position:absolute;margin-left:4.15pt;margin-top:64.05pt;width:448.2pt;height:48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" fillcolor="white [3201]" strokecolor="#4c2863" strokeweight="4.5pt">
                <v:stroke opacity="6682f"/>
                <v:textbox>
                  <w:txbxContent>
                    <w:p w14:paraId="4966A77D" w14:textId="77777777" w:rsidR="009A0F85" w:rsidRDefault="009A0F85">
                      <w:pPr>
                        <w:rPr>
                          <w:b/>
                          <w:sz w:val="24"/>
                          <w:szCs w:val="24"/>
                        </w:rPr>
                      </w:pPr>
                      <w:r w:rsidRPr="006D0129">
                        <w:rPr>
                          <w:b/>
                          <w:sz w:val="24"/>
                          <w:szCs w:val="24"/>
                        </w:rPr>
                        <w:t>Key findings:</w:t>
                      </w:r>
                    </w:p>
                    <w:p w14:paraId="0234383C" w14:textId="0A2E392A" w:rsidR="009A0F85" w:rsidRDefault="009A0F85" w:rsidP="003414BB">
                      <w:pPr>
                        <w:jc w:val="both"/>
                      </w:pPr>
                      <w:r>
                        <w:t>Fifteen papers were identified</w:t>
                      </w:r>
                      <w:r w:rsidRPr="00B023D6">
                        <w:t xml:space="preserve"> </w:t>
                      </w:r>
                      <w:r>
                        <w:t>that revealed sex and gender gaps</w:t>
                      </w:r>
                      <w:r w:rsidRPr="00B023D6">
                        <w:t xml:space="preserve"> </w:t>
                      </w:r>
                      <w:r>
                        <w:t>in data collection</w:t>
                      </w:r>
                      <w:r w:rsidRPr="00B023D6">
                        <w:t xml:space="preserve">. Despite </w:t>
                      </w:r>
                      <w:r>
                        <w:t xml:space="preserve">widespread </w:t>
                      </w:r>
                      <w:r w:rsidRPr="00B023D6">
                        <w:t xml:space="preserve">policy </w:t>
                      </w:r>
                      <w:r>
                        <w:t xml:space="preserve">requirements (and </w:t>
                      </w:r>
                      <w:r w:rsidRPr="00B023D6">
                        <w:t>institutional support</w:t>
                      </w:r>
                      <w:r>
                        <w:t xml:space="preserve">) for </w:t>
                      </w:r>
                      <w:r w:rsidRPr="00B023D6">
                        <w:t xml:space="preserve">sex and gender equity in research, sex bias and women’s underrepresentation </w:t>
                      </w:r>
                      <w:r>
                        <w:t xml:space="preserve">are </w:t>
                      </w:r>
                      <w:r w:rsidRPr="00B023D6">
                        <w:t xml:space="preserve">still </w:t>
                      </w:r>
                      <w:r>
                        <w:t>evident</w:t>
                      </w:r>
                      <w:r w:rsidRPr="00B023D6">
                        <w:t xml:space="preserve">. </w:t>
                      </w:r>
                      <w:r>
                        <w:t xml:space="preserve">The </w:t>
                      </w:r>
                      <w:r w:rsidRPr="00B023D6">
                        <w:t xml:space="preserve">dominant </w:t>
                      </w:r>
                      <w:r>
                        <w:t>explanation for the failure to remedy the sex and gender data gaps</w:t>
                      </w:r>
                      <w:r w:rsidRPr="00B023D6">
                        <w:t xml:space="preserve"> is </w:t>
                      </w:r>
                      <w:r>
                        <w:t xml:space="preserve">the </w:t>
                      </w:r>
                      <w:r w:rsidRPr="00B023D6">
                        <w:t xml:space="preserve">historical tendency to consider </w:t>
                      </w:r>
                      <w:r>
                        <w:t xml:space="preserve">the </w:t>
                      </w:r>
                      <w:r w:rsidRPr="00B023D6">
                        <w:t>(usually Caucasian)</w:t>
                      </w:r>
                      <w:r>
                        <w:t xml:space="preserve"> </w:t>
                      </w:r>
                      <w:r w:rsidRPr="00B023D6">
                        <w:t xml:space="preserve">male </w:t>
                      </w:r>
                      <w:r>
                        <w:t>body as</w:t>
                      </w:r>
                      <w:r w:rsidRPr="00B023D6">
                        <w:t xml:space="preserve"> the standard and </w:t>
                      </w:r>
                      <w:r>
                        <w:t xml:space="preserve">the </w:t>
                      </w:r>
                      <w:r w:rsidRPr="00B023D6">
                        <w:t xml:space="preserve">female </w:t>
                      </w:r>
                      <w:r>
                        <w:t xml:space="preserve">body </w:t>
                      </w:r>
                      <w:r w:rsidRPr="00B023D6">
                        <w:t>a</w:t>
                      </w:r>
                      <w:r>
                        <w:t xml:space="preserve">s </w:t>
                      </w:r>
                      <w:r w:rsidRPr="00B023D6">
                        <w:t xml:space="preserve">deviant. </w:t>
                      </w:r>
                    </w:p>
                    <w:p w14:paraId="3C9BFCD3" w14:textId="5AC2C8C0" w:rsidR="009A0F85" w:rsidRPr="00520B12" w:rsidRDefault="009A0F85" w:rsidP="00520B12">
                      <w:pPr>
                        <w:jc w:val="both"/>
                      </w:pPr>
                      <w:r w:rsidRPr="00B023D6">
                        <w:t xml:space="preserve">Most of the </w:t>
                      </w:r>
                      <w:r>
                        <w:t>papers</w:t>
                      </w:r>
                      <w:r w:rsidRPr="00B023D6">
                        <w:t xml:space="preserve"> </w:t>
                      </w:r>
                      <w:r>
                        <w:t xml:space="preserve">included in this review </w:t>
                      </w:r>
                      <w:r w:rsidRPr="00B023D6">
                        <w:t xml:space="preserve">addressed </w:t>
                      </w:r>
                      <w:r>
                        <w:t>the ways in which sex- and/or</w:t>
                      </w:r>
                      <w:r w:rsidRPr="00B023D6">
                        <w:t xml:space="preserve"> gender-sensitive and </w:t>
                      </w:r>
                      <w:r>
                        <w:t>sex-</w:t>
                      </w:r>
                      <w:r w:rsidRPr="00B023D6">
                        <w:t>disaggregated reporting was</w:t>
                      </w:r>
                      <w:r>
                        <w:t xml:space="preserve"> (or was not)</w:t>
                      </w:r>
                      <w:r w:rsidRPr="00B023D6">
                        <w:t xml:space="preserve"> presented in </w:t>
                      </w:r>
                      <w:r>
                        <w:t>peer-reviewed publications,</w:t>
                      </w:r>
                      <w:r w:rsidRPr="00B023D6">
                        <w:t xml:space="preserve"> without specifying the health conditions. </w:t>
                      </w:r>
                    </w:p>
                    <w:p w14:paraId="473F0E28" w14:textId="7F4D76C1" w:rsidR="009A0F85" w:rsidRDefault="009A0F85" w:rsidP="003730E0">
                      <w:pPr>
                        <w:pStyle w:val="ListParagraph"/>
                        <w:numPr>
                          <w:ilvl w:val="0"/>
                          <w:numId w:val="13"/>
                        </w:numPr>
                        <w:ind w:left="426" w:hanging="284"/>
                        <w:jc w:val="both"/>
                      </w:pPr>
                      <w:r>
                        <w:t xml:space="preserve">Of the 15 papers, </w:t>
                      </w:r>
                      <w:r w:rsidRPr="00F44E2E">
                        <w:t xml:space="preserve">seven </w:t>
                      </w:r>
                      <w:r>
                        <w:t>reported</w:t>
                      </w:r>
                      <w:r w:rsidRPr="00F44E2E">
                        <w:t xml:space="preserve"> literature reviews</w:t>
                      </w:r>
                      <w:r>
                        <w:t>, f</w:t>
                      </w:r>
                      <w:r w:rsidRPr="00F44E2E">
                        <w:t xml:space="preserve">our </w:t>
                      </w:r>
                      <w:r>
                        <w:t>reported</w:t>
                      </w:r>
                      <w:r w:rsidRPr="00F44E2E">
                        <w:t xml:space="preserve"> systematic reviews, </w:t>
                      </w:r>
                      <w:r>
                        <w:t xml:space="preserve">and </w:t>
                      </w:r>
                      <w:r w:rsidRPr="00F44E2E">
                        <w:t>one was a scoping review</w:t>
                      </w:r>
                      <w:r>
                        <w:t>. The remaining three papers reported</w:t>
                      </w:r>
                      <w:r w:rsidRPr="00F44E2E">
                        <w:t xml:space="preserve"> an observational study, a cross-sectional </w:t>
                      </w:r>
                      <w:r>
                        <w:t>study, and a bibliometric study. Eleven papers had a global focus. There was one each reporting research</w:t>
                      </w:r>
                      <w:r w:rsidRPr="00F44E2E">
                        <w:t xml:space="preserve"> from Australia, Canada, North America</w:t>
                      </w:r>
                      <w:r>
                        <w:t>,</w:t>
                      </w:r>
                      <w:r w:rsidRPr="00F44E2E">
                        <w:t xml:space="preserve"> and Europe</w:t>
                      </w:r>
                      <w:r>
                        <w:t xml:space="preserve">. </w:t>
                      </w:r>
                    </w:p>
                    <w:p w14:paraId="590EF6C3" w14:textId="77777777" w:rsidR="009A0F85" w:rsidRDefault="009A0F85" w:rsidP="003730E0">
                      <w:pPr>
                        <w:pStyle w:val="ListParagraph"/>
                        <w:numPr>
                          <w:ilvl w:val="0"/>
                          <w:numId w:val="13"/>
                        </w:numPr>
                        <w:ind w:left="426" w:hanging="284"/>
                        <w:jc w:val="both"/>
                      </w:pPr>
                      <w:r w:rsidRPr="00E559E2">
                        <w:t xml:space="preserve">10 </w:t>
                      </w:r>
                      <w:r>
                        <w:t xml:space="preserve">leading </w:t>
                      </w:r>
                      <w:r w:rsidRPr="00E559E2">
                        <w:t>Australian journals in medical research</w:t>
                      </w:r>
                      <w:r>
                        <w:t xml:space="preserve"> were found not to incorporate sex and gender adequately in their published papers.</w:t>
                      </w:r>
                    </w:p>
                    <w:p w14:paraId="2E1D75B3" w14:textId="77777777" w:rsidR="009A0F85" w:rsidRDefault="009A0F85" w:rsidP="003730E0">
                      <w:pPr>
                        <w:pStyle w:val="ListParagraph"/>
                        <w:numPr>
                          <w:ilvl w:val="0"/>
                          <w:numId w:val="13"/>
                        </w:numPr>
                        <w:ind w:left="426" w:hanging="284"/>
                        <w:jc w:val="both"/>
                      </w:pPr>
                      <w:r>
                        <w:t>An investigation of funding agencies’ policies about</w:t>
                      </w:r>
                      <w:r w:rsidRPr="00E559E2">
                        <w:t xml:space="preserve"> sex and gender in research revealed that eight of the ten funding agencies </w:t>
                      </w:r>
                      <w:r>
                        <w:t>had no such policy.</w:t>
                      </w:r>
                    </w:p>
                    <w:p w14:paraId="3B392C38" w14:textId="77777777" w:rsidR="009A0F85" w:rsidRDefault="009A0F85" w:rsidP="003730E0">
                      <w:pPr>
                        <w:pStyle w:val="ListParagraph"/>
                        <w:numPr>
                          <w:ilvl w:val="0"/>
                          <w:numId w:val="13"/>
                        </w:numPr>
                        <w:ind w:left="426" w:hanging="284"/>
                        <w:jc w:val="both"/>
                      </w:pPr>
                      <w:r>
                        <w:t>In t</w:t>
                      </w:r>
                      <w:r w:rsidRPr="003C6EB7">
                        <w:t xml:space="preserve">hree </w:t>
                      </w:r>
                      <w:r>
                        <w:t>United States high-impact biomedical journals</w:t>
                      </w:r>
                      <w:r w:rsidRPr="003C6EB7">
                        <w:t xml:space="preserve">, </w:t>
                      </w:r>
                      <w:r>
                        <w:t xml:space="preserve">significantly </w:t>
                      </w:r>
                      <w:r w:rsidRPr="003C6EB7">
                        <w:t xml:space="preserve">more </w:t>
                      </w:r>
                      <w:r>
                        <w:t xml:space="preserve">men </w:t>
                      </w:r>
                      <w:r w:rsidRPr="003C6EB7">
                        <w:t xml:space="preserve">than </w:t>
                      </w:r>
                      <w:r>
                        <w:t>women</w:t>
                      </w:r>
                      <w:r w:rsidRPr="003C6EB7">
                        <w:t xml:space="preserve"> were enrolled in clinical research</w:t>
                      </w:r>
                      <w:r>
                        <w:t>.</w:t>
                      </w:r>
                    </w:p>
                    <w:p w14:paraId="1B62322B" w14:textId="72CC0E0F" w:rsidR="009A0F85" w:rsidRPr="003730E0" w:rsidRDefault="009A0F85" w:rsidP="003730E0">
                      <w:pPr>
                        <w:pStyle w:val="ListParagraph"/>
                        <w:numPr>
                          <w:ilvl w:val="0"/>
                          <w:numId w:val="13"/>
                        </w:numPr>
                        <w:ind w:left="426" w:hanging="284"/>
                        <w:jc w:val="both"/>
                      </w:pPr>
                      <w:r>
                        <w:t xml:space="preserve">An investigation of </w:t>
                      </w:r>
                      <w:r w:rsidRPr="00DC3EA2">
                        <w:t>Cochrane systematic reviews</w:t>
                      </w:r>
                      <w:r>
                        <w:t xml:space="preserve"> </w:t>
                      </w:r>
                      <w:r w:rsidRPr="00DC3EA2">
                        <w:t>of interventions revealed</w:t>
                      </w:r>
                      <w:r>
                        <w:t xml:space="preserve"> that, while more than 70% of reviews </w:t>
                      </w:r>
                      <w:r w:rsidRPr="00BB7602">
                        <w:t>provided sex-disaggregated descriptive data,</w:t>
                      </w:r>
                      <w:r>
                        <w:t xml:space="preserve"> only 27.5% reported </w:t>
                      </w:r>
                      <w:r w:rsidRPr="003D400E">
                        <w:t>main outcomes</w:t>
                      </w:r>
                      <w:r>
                        <w:t xml:space="preserve"> by sex, and less than 20% included sex-related reporting in the abstract, design and discussion.</w:t>
                      </w:r>
                    </w:p>
                    <w:p w14:paraId="212B5C96" w14:textId="77777777" w:rsidR="009A0F85" w:rsidRDefault="009A0F85" w:rsidP="003730E0">
                      <w:pPr>
                        <w:pStyle w:val="ListParagraph"/>
                        <w:numPr>
                          <w:ilvl w:val="0"/>
                          <w:numId w:val="13"/>
                        </w:numPr>
                        <w:ind w:left="426" w:hanging="284"/>
                        <w:jc w:val="both"/>
                      </w:pPr>
                      <w:r>
                        <w:t>Sex bias is present in the enrolment</w:t>
                      </w:r>
                      <w:r>
                        <w:rPr>
                          <w:rFonts w:hint="eastAsia"/>
                        </w:rPr>
                        <w:t xml:space="preserve"> </w:t>
                      </w:r>
                      <w:r>
                        <w:t xml:space="preserve">of interventional clinical trials listed in the UK registry; while almost all </w:t>
                      </w:r>
                      <w:r w:rsidRPr="007E3728">
                        <w:t xml:space="preserve">studies described the demographic </w:t>
                      </w:r>
                      <w:r>
                        <w:t>data of</w:t>
                      </w:r>
                      <w:r w:rsidRPr="007E3728">
                        <w:t xml:space="preserve"> participants by sex</w:t>
                      </w:r>
                      <w:r>
                        <w:t xml:space="preserve"> in Canadian </w:t>
                      </w:r>
                      <w:proofErr w:type="spellStart"/>
                      <w:r>
                        <w:t>RCTs</w:t>
                      </w:r>
                      <w:proofErr w:type="spellEnd"/>
                      <w:r>
                        <w:t>, no article defined s</w:t>
                      </w:r>
                      <w:r w:rsidRPr="00BC0949">
                        <w:t>ex</w:t>
                      </w:r>
                      <w:r>
                        <w:t xml:space="preserve"> and/or </w:t>
                      </w:r>
                      <w:proofErr w:type="gramStart"/>
                      <w:r w:rsidRPr="00BC0949">
                        <w:t>gender</w:t>
                      </w:r>
                      <w:r>
                        <w:t>;</w:t>
                      </w:r>
                      <w:proofErr w:type="gramEnd"/>
                      <w:r>
                        <w:t xml:space="preserve">  </w:t>
                      </w:r>
                    </w:p>
                    <w:p w14:paraId="178BAC7A" w14:textId="59D1C49F" w:rsidR="009A0F85" w:rsidRPr="0052695F" w:rsidRDefault="009A0F85" w:rsidP="003730E0">
                      <w:pPr>
                        <w:pStyle w:val="ListParagraph"/>
                        <w:numPr>
                          <w:ilvl w:val="0"/>
                          <w:numId w:val="13"/>
                        </w:numPr>
                        <w:ind w:left="426" w:hanging="284"/>
                        <w:jc w:val="both"/>
                      </w:pPr>
                      <w:r>
                        <w:t>T</w:t>
                      </w:r>
                      <w:r w:rsidRPr="00ED3003">
                        <w:t>he sex bias and underrepresentation of women</w:t>
                      </w:r>
                      <w:r w:rsidDel="00BD5EAA">
                        <w:t xml:space="preserve"> </w:t>
                      </w:r>
                      <w:r>
                        <w:t>in clinical trials for specific h</w:t>
                      </w:r>
                      <w:r w:rsidRPr="00ED3003">
                        <w:t>ealth condition</w:t>
                      </w:r>
                      <w:r>
                        <w:t>s</w:t>
                      </w:r>
                      <w:r w:rsidRPr="00ED3003">
                        <w:t xml:space="preserve"> and treatment</w:t>
                      </w:r>
                      <w:r>
                        <w:t>s</w:t>
                      </w:r>
                      <w:r w:rsidRPr="00ED3003">
                        <w:t xml:space="preserve"> </w:t>
                      </w:r>
                      <w:r>
                        <w:t xml:space="preserve">(sepsis, diabetes, COVID-19 vaccine, surgery, </w:t>
                      </w:r>
                      <w:r w:rsidRPr="00ED3003">
                        <w:t>tendinopathy</w:t>
                      </w:r>
                      <w:r>
                        <w:t>, and atrial fibrillation)</w:t>
                      </w:r>
                      <w:r w:rsidRPr="00ED3003">
                        <w:t xml:space="preserve"> resulted in significant gaps</w:t>
                      </w:r>
                      <w:r>
                        <w:t xml:space="preserve"> in sex and </w:t>
                      </w:r>
                      <w:r w:rsidRPr="00ED3003">
                        <w:t xml:space="preserve">gender </w:t>
                      </w:r>
                      <w:r w:rsidRPr="00421680">
                        <w:t>data with potential resultant harm to women.</w:t>
                      </w:r>
                      <w:r>
                        <w:t xml:space="preserve"> </w:t>
                      </w:r>
                    </w:p>
                  </w:txbxContent>
                </v:textbox>
                <w10:wrap type="square" anchorx="margin"/>
              </v:shape>
            </w:pict>
          </mc:Fallback>
        </mc:AlternateContent>
      </w:r>
      <w:bookmarkEnd w:id="253"/>
      <w:bookmarkEnd w:id="254"/>
      <w:bookmarkEnd w:id="255"/>
      <w:bookmarkEnd w:id="256"/>
      <w:bookmarkEnd w:id="257"/>
      <w:bookmarkEnd w:id="258"/>
      <w:bookmarkEnd w:id="259"/>
      <w:bookmarkEnd w:id="260"/>
      <w:bookmarkEnd w:id="261"/>
      <w:bookmarkEnd w:id="262"/>
      <w:bookmarkEnd w:id="263"/>
      <w:bookmarkEnd w:id="264"/>
      <w:bookmarkEnd w:id="265"/>
      <w:r w:rsidRPr="00877C53">
        <w:rPr>
          <w:rStyle w:val="Heading2Char"/>
          <w:rFonts w:asciiTheme="minorHAnsi" w:hAnsiTheme="minorHAnsi" w:cstheme="minorHAnsi"/>
          <w:b/>
          <w:bCs/>
          <w:color w:val="30785B"/>
        </w:rPr>
        <w:t xml:space="preserve">3.7. </w:t>
      </w:r>
      <w:r w:rsidR="00EB2B55" w:rsidRPr="00877C53">
        <w:rPr>
          <w:rStyle w:val="Heading2Char"/>
          <w:rFonts w:asciiTheme="minorHAnsi" w:hAnsiTheme="minorHAnsi" w:cstheme="minorHAnsi"/>
          <w:b/>
          <w:bCs/>
          <w:color w:val="30785B"/>
        </w:rPr>
        <w:t>Question 5: What are the gaps in data collection? (E.g., instances where</w:t>
      </w:r>
      <w:r w:rsidR="00EB2B55" w:rsidRPr="00877C53">
        <w:rPr>
          <w:rFonts w:asciiTheme="minorHAnsi" w:hAnsiTheme="minorHAnsi" w:cstheme="minorHAnsi"/>
          <w:b/>
          <w:bCs/>
          <w:color w:val="30785B"/>
        </w:rPr>
        <w:t xml:space="preserve"> standard reporting does not include disaggregation by sex and/or gender and identify disparities in health outcomes </w:t>
      </w:r>
      <w:proofErr w:type="gramStart"/>
      <w:r w:rsidR="00EB2B55" w:rsidRPr="00877C53">
        <w:rPr>
          <w:rFonts w:asciiTheme="minorHAnsi" w:hAnsiTheme="minorHAnsi" w:cstheme="minorHAnsi"/>
          <w:b/>
          <w:bCs/>
          <w:color w:val="30785B"/>
        </w:rPr>
        <w:t>on the basis of</w:t>
      </w:r>
      <w:proofErr w:type="gramEnd"/>
      <w:r w:rsidR="00EB2B55" w:rsidRPr="00877C53">
        <w:rPr>
          <w:rFonts w:asciiTheme="minorHAnsi" w:hAnsiTheme="minorHAnsi" w:cstheme="minorHAnsi"/>
          <w:b/>
          <w:bCs/>
          <w:color w:val="30785B"/>
        </w:rPr>
        <w:t xml:space="preserve"> sex.)</w:t>
      </w:r>
      <w:bookmarkEnd w:id="266"/>
      <w:bookmarkEnd w:id="267"/>
      <w:bookmarkEnd w:id="268"/>
      <w:bookmarkEnd w:id="269"/>
      <w:bookmarkEnd w:id="270"/>
      <w:bookmarkEnd w:id="271"/>
      <w:bookmarkEnd w:id="272"/>
      <w:bookmarkEnd w:id="273"/>
      <w:bookmarkEnd w:id="274"/>
      <w:bookmarkEnd w:id="275"/>
      <w:bookmarkEnd w:id="276"/>
      <w:bookmarkEnd w:id="277"/>
      <w:bookmarkEnd w:id="278"/>
      <w:r w:rsidR="00EB2B55" w:rsidRPr="00877C53">
        <w:rPr>
          <w:rFonts w:asciiTheme="minorHAnsi" w:hAnsiTheme="minorHAnsi" w:cstheme="minorHAnsi"/>
          <w:b/>
          <w:bCs/>
          <w:color w:val="30785B"/>
        </w:rPr>
        <w:t xml:space="preserve"> </w:t>
      </w:r>
    </w:p>
    <w:p w14:paraId="570E471D" w14:textId="5EAF4F58" w:rsidR="00EB2B55" w:rsidRPr="00672DBE" w:rsidRDefault="00EB2B55" w:rsidP="003F4381">
      <w:pPr>
        <w:spacing w:before="120" w:after="0"/>
        <w:jc w:val="both"/>
      </w:pPr>
      <w:r w:rsidRPr="00672DBE">
        <w:t xml:space="preserve">Fifteen papers were identified that reviewed sex and/or gender disparities and underrepresentation of women in clinical research and reporting (Appendix </w:t>
      </w:r>
      <w:r w:rsidR="005253AB">
        <w:t>B, Table B5</w:t>
      </w:r>
      <w:r w:rsidRPr="00672DBE">
        <w:t xml:space="preserve">). Most of the studies addressed how gender-sensitive and gender-disaggregated reporting was presented in journals without specifying the health conditions. Some of the studies did analyse sex and/or gender reporting by focusing on </w:t>
      </w:r>
      <w:proofErr w:type="gramStart"/>
      <w:r w:rsidRPr="00672DBE">
        <w:t>particular health</w:t>
      </w:r>
      <w:proofErr w:type="gramEnd"/>
      <w:r w:rsidRPr="00672DBE">
        <w:t xml:space="preserve"> conditions</w:t>
      </w:r>
      <w:r w:rsidR="008716ED">
        <w:t>, preventions, or</w:t>
      </w:r>
      <w:r w:rsidRPr="00672DBE">
        <w:t xml:space="preserve"> treatments such as sepsis, diabetes, </w:t>
      </w:r>
      <w:r w:rsidR="00A76BBA">
        <w:t>COVID</w:t>
      </w:r>
      <w:r w:rsidRPr="00672DBE">
        <w:t xml:space="preserve">-19 vaccination, surgery, smoking, patellar tendinopathy, atrial fibrillation, and physical activity. Four studies were reported from Australia, Canada, and North America and Europe, and the others were global. Four papers reported systematic reviews, one was a scoping review, seven were literature reviews, and the rest </w:t>
      </w:r>
      <w:r w:rsidR="008F3142">
        <w:t>reported</w:t>
      </w:r>
      <w:r w:rsidR="008F3142" w:rsidRPr="00672DBE">
        <w:t xml:space="preserve"> </w:t>
      </w:r>
      <w:r w:rsidRPr="00672DBE">
        <w:t xml:space="preserve">an observational study, a cross-sectional study, and a bibliometric study. </w:t>
      </w:r>
    </w:p>
    <w:p w14:paraId="59CB16EC" w14:textId="32C058A2" w:rsidR="00EB2B55" w:rsidRPr="00672DBE" w:rsidRDefault="00EB2B55" w:rsidP="003414BB">
      <w:pPr>
        <w:jc w:val="both"/>
        <w:rPr>
          <w:rFonts w:cstheme="minorHAnsi"/>
        </w:rPr>
      </w:pPr>
      <w:r w:rsidRPr="00672DBE">
        <w:rPr>
          <w:rFonts w:cstheme="minorHAnsi"/>
        </w:rPr>
        <w:lastRenderedPageBreak/>
        <w:t>An analysis of all papers (n = 1136) published in 2020 in the 10 leading Australian medical research journals</w:t>
      </w:r>
      <w:r w:rsidRPr="00672DBE">
        <w:rPr>
          <w:rStyle w:val="FootnoteReference"/>
          <w:rFonts w:cstheme="minorHAnsi"/>
        </w:rPr>
        <w:footnoteReference w:id="11"/>
      </w:r>
      <w:r w:rsidRPr="00672DBE">
        <w:rPr>
          <w:rFonts w:cstheme="minorHAnsi"/>
        </w:rPr>
        <w:t xml:space="preserve"> led the authors to conclude that sex and gender are poorly incorporated </w:t>
      </w:r>
      <w:r w:rsidRPr="00B43929">
        <w:rPr>
          <w:rFonts w:cstheme="minorHAnsi"/>
        </w:rPr>
        <w:t>(Hallam et al., 2023)</w:t>
      </w:r>
      <w:r w:rsidRPr="00672DBE">
        <w:rPr>
          <w:rFonts w:cstheme="minorHAnsi"/>
        </w:rPr>
        <w:t>. Just over 88% (n=873) reported sex and/or gender, but</w:t>
      </w:r>
      <w:r w:rsidRPr="00672DBE">
        <w:rPr>
          <w:rFonts w:cstheme="minorHAnsi"/>
          <w:color w:val="1F1F1F"/>
        </w:rPr>
        <w:t xml:space="preserve"> 480 of them used conflicting terminology. Only 14 (1.6%) described how sex and gender were determined. The primary outcome or key aim was stratified by sex and/or gender for 249 (29.2%) participant groups and the influence of sex and/or gender on the results was discussed in only 171 (17.3%) of the papers. </w:t>
      </w:r>
      <w:r w:rsidRPr="00672DBE">
        <w:rPr>
          <w:rFonts w:cstheme="minorHAnsi"/>
        </w:rPr>
        <w:t>There was no difference between journals that did and those that did not</w:t>
      </w:r>
      <w:r w:rsidRPr="00672DBE">
        <w:rPr>
          <w:rFonts w:cstheme="minorHAnsi"/>
          <w:color w:val="1F1F1F"/>
        </w:rPr>
        <w:t xml:space="preserve"> endorse the International Committee of Medical Journal Editors (ICMJE) guidelines, which contain criteria for sex and gender reporting</w:t>
      </w:r>
      <w:r w:rsidRPr="00672DBE">
        <w:rPr>
          <w:rFonts w:ascii="Calibri" w:hAnsi="Calibri" w:cs="Calibri"/>
        </w:rPr>
        <w:t xml:space="preserve">. A similar analysis of 1442 manuscripts, from three American </w:t>
      </w:r>
      <w:r w:rsidRPr="00672DBE">
        <w:t>high-impact biomedical journals,</w:t>
      </w:r>
      <w:r w:rsidRPr="00672DBE">
        <w:rPr>
          <w:rFonts w:ascii="Calibri" w:hAnsi="Calibri" w:cs="Calibri"/>
        </w:rPr>
        <w:t xml:space="preserve"> reporting registered clinical trials (with more than four million participants) conducted in North America and Europe</w:t>
      </w:r>
      <w:r w:rsidR="00285846">
        <w:rPr>
          <w:rFonts w:ascii="Calibri" w:hAnsi="Calibri" w:cs="Calibri"/>
        </w:rPr>
        <w:t>,</w:t>
      </w:r>
      <w:r w:rsidRPr="00672DBE">
        <w:rPr>
          <w:rFonts w:ascii="Calibri" w:hAnsi="Calibri" w:cs="Calibri"/>
        </w:rPr>
        <w:t xml:space="preserve"> revealed that significantly more men than women</w:t>
      </w:r>
      <w:r w:rsidRPr="00672DBE">
        <w:t xml:space="preserve"> were enrolled in clinical research </w:t>
      </w:r>
      <w:r w:rsidRPr="00B43929">
        <w:t>(</w:t>
      </w:r>
      <w:proofErr w:type="spellStart"/>
      <w:r w:rsidRPr="00B43929">
        <w:t>Barlek</w:t>
      </w:r>
      <w:proofErr w:type="spellEnd"/>
      <w:r w:rsidRPr="00B43929">
        <w:t xml:space="preserve"> et al., 2022)</w:t>
      </w:r>
      <w:r w:rsidRPr="00672DBE">
        <w:t xml:space="preserve">. </w:t>
      </w:r>
    </w:p>
    <w:p w14:paraId="5F3B5172" w14:textId="2110E9D9" w:rsidR="00EB2B55" w:rsidRPr="00672DBE" w:rsidRDefault="00EB2B55" w:rsidP="003414BB">
      <w:pPr>
        <w:jc w:val="both"/>
        <w:rPr>
          <w:rFonts w:ascii="Calibri" w:hAnsi="Calibri" w:cs="Calibri"/>
        </w:rPr>
      </w:pPr>
      <w:r w:rsidRPr="00672DBE">
        <w:t>An investigation of</w:t>
      </w:r>
      <w:r w:rsidRPr="00672DBE">
        <w:rPr>
          <w:rFonts w:ascii="Calibri" w:hAnsi="Calibri" w:cs="Calibri"/>
        </w:rPr>
        <w:t xml:space="preserve"> sex and gender in research in the policies of funding agencies in Australia revealed that eight of the ten had no relevant policy. The National Health and Medical Research Council (NHMRC) and Diabetes Australia did have policies on the collection, analysis, or reporting of sex- and gender-specific health data. However, only the NHMRC explicitly recommended the analysis and reporting of sex- and gender-specific data </w:t>
      </w:r>
      <w:r w:rsidRPr="00B43929">
        <w:rPr>
          <w:rFonts w:ascii="Calibri" w:hAnsi="Calibri" w:cs="Calibri"/>
        </w:rPr>
        <w:t>(</w:t>
      </w:r>
      <w:r w:rsidR="00F559A5" w:rsidRPr="00B43929">
        <w:rPr>
          <w:rFonts w:ascii="Calibri" w:hAnsi="Calibri" w:cs="Calibri"/>
        </w:rPr>
        <w:t>Wainer</w:t>
      </w:r>
      <w:r w:rsidRPr="00B43929">
        <w:rPr>
          <w:rFonts w:ascii="Calibri" w:hAnsi="Calibri" w:cs="Calibri"/>
        </w:rPr>
        <w:t xml:space="preserve"> et al., 2020)</w:t>
      </w:r>
      <w:r w:rsidRPr="00672DBE">
        <w:rPr>
          <w:rFonts w:ascii="Calibri" w:hAnsi="Calibri" w:cs="Calibri"/>
        </w:rPr>
        <w:t>.</w:t>
      </w:r>
      <w:r w:rsidRPr="00672DBE">
        <w:t xml:space="preserve"> </w:t>
      </w:r>
    </w:p>
    <w:p w14:paraId="01B069F8" w14:textId="77777777" w:rsidR="00EB2B55" w:rsidRPr="00672DBE" w:rsidRDefault="00EB2B55" w:rsidP="003414BB">
      <w:pPr>
        <w:jc w:val="both"/>
      </w:pPr>
      <w:r w:rsidRPr="00672DBE">
        <w:t xml:space="preserve">At the global level, Antequera et al. (2022) investigated the extent to which sex is analysed and reported in Cochrane systematic reviews of interventions, </w:t>
      </w:r>
      <w:proofErr w:type="gramStart"/>
      <w:r w:rsidRPr="00672DBE">
        <w:t>and also</w:t>
      </w:r>
      <w:proofErr w:type="gramEnd"/>
      <w:r w:rsidRPr="00672DBE">
        <w:t xml:space="preserve"> how that was associated with the sex (which they called gender) of the first and last authors. They found that, of 516 eligible reviews published in 2018, 56 (10.8%) included sex-related reporting in the abstract, 90 (17.4%) considered sex in their design, 380 (73.6%) provided sex-disaggregated descriptive data, 142 (27.5%) reported main outcomes or performed subgroup analyses by sex, and 76 (14.7%) discussed the potential impact of sex or the lack of such an impact on the interpretations of results. Sex was more likely to be reported when there were senior women authors </w:t>
      </w:r>
      <w:r w:rsidRPr="00B43929">
        <w:t>(Antequera et al., 2022)</w:t>
      </w:r>
      <w:r w:rsidRPr="00672DBE">
        <w:t xml:space="preserve">. </w:t>
      </w:r>
    </w:p>
    <w:p w14:paraId="67DE039E" w14:textId="751A5302" w:rsidR="00EB2B55" w:rsidRPr="00672DBE" w:rsidRDefault="00EB2B55" w:rsidP="003414BB">
      <w:pPr>
        <w:jc w:val="both"/>
      </w:pPr>
      <w:r w:rsidRPr="00672DBE">
        <w:t xml:space="preserve">An analysis of medical research literature published in the 10 years to 2019 found both a gender gap and misogyny </w:t>
      </w:r>
      <w:r w:rsidRPr="00B43929">
        <w:t>(Merone et al., 2022)</w:t>
      </w:r>
      <w:r w:rsidRPr="00672DBE">
        <w:t xml:space="preserve">. </w:t>
      </w:r>
      <w:r w:rsidR="008716ED">
        <w:t xml:space="preserve">Misogyny, identified </w:t>
      </w:r>
      <w:r w:rsidR="008716ED" w:rsidRPr="00672DBE">
        <w:t>in 5 of 17 included papers</w:t>
      </w:r>
      <w:r w:rsidR="008716ED">
        <w:t>, was exemplified</w:t>
      </w:r>
      <w:r w:rsidR="008716ED" w:rsidRPr="00672DBE">
        <w:t xml:space="preserve"> by the assessment of female attractiveness for alleged medical reasons</w:t>
      </w:r>
      <w:r w:rsidR="0058643D">
        <w:t>,</w:t>
      </w:r>
      <w:r w:rsidR="008716ED">
        <w:t xml:space="preserve"> such as claiming that attractiveness is a marker of health</w:t>
      </w:r>
      <w:r w:rsidR="0058643D">
        <w:t>, or that severe endometriosis tends to occur in women rated as attractive by men</w:t>
      </w:r>
      <w:r w:rsidR="008716ED">
        <w:t xml:space="preserve">. </w:t>
      </w:r>
      <w:r w:rsidR="0058643D">
        <w:t>Women could be evaluated for general attractiveness or for the eye-catching quality of their breasts. No papers were reported by Merone et al. (2022) that assessed male attractiveness in relation to health.</w:t>
      </w:r>
    </w:p>
    <w:p w14:paraId="4B3DAAE7" w14:textId="77777777" w:rsidR="00EB2B55" w:rsidRPr="00672DBE" w:rsidRDefault="00EB2B55" w:rsidP="003414BB">
      <w:pPr>
        <w:jc w:val="both"/>
      </w:pPr>
      <w:r w:rsidRPr="00672DBE">
        <w:t xml:space="preserve">As part of an exercise in developing the SAGER guidelines in 2016, it was found that only 7% of 716 journals had a policy for reporting sex and/or gender and that, of 100 journals, 75% of editors were unsure or unwilling to introduce sex and gender considerations as a requirement in the instructions for authors </w:t>
      </w:r>
      <w:r w:rsidRPr="00B43929">
        <w:t>(Heidari et al., 2016)</w:t>
      </w:r>
      <w:r w:rsidRPr="00672DBE">
        <w:t>. Countries in which women and men are more equal were more likely to have sex and gender policies than countries where the sexes were less equal, and female survey respondents were more likely to support sex and gender policies than male respondents.</w:t>
      </w:r>
    </w:p>
    <w:p w14:paraId="17D23CFB" w14:textId="23B851E8" w:rsidR="00EB2B55" w:rsidRPr="00672DBE" w:rsidRDefault="00EB2B55" w:rsidP="003414BB">
      <w:pPr>
        <w:jc w:val="both"/>
      </w:pPr>
      <w:r w:rsidRPr="00672DBE">
        <w:t xml:space="preserve">In the field of clinical trials, Prakash et al. (2018) found that sex bias was still evident in </w:t>
      </w:r>
      <w:r w:rsidR="00E11D5C">
        <w:t>participant</w:t>
      </w:r>
      <w:r w:rsidR="00E11D5C" w:rsidRPr="00672DBE">
        <w:t xml:space="preserve"> </w:t>
      </w:r>
      <w:r w:rsidRPr="00672DBE">
        <w:t xml:space="preserve">selection despite US legislation requiring the inclusion of women. The database ClinicalTrials.gov revealed that, in Phase I trials (64.1% male/35.9% female), Phase II trials (48.4% male/51.6% female), and Phase III trials (51.0% male/49.1% female) women were significantly under-represented (p &lt; 0.05) </w:t>
      </w:r>
      <w:r w:rsidRPr="002F7A6A">
        <w:lastRenderedPageBreak/>
        <w:t>(Prakash et al., 2018)</w:t>
      </w:r>
      <w:r w:rsidRPr="00672DBE">
        <w:t xml:space="preserve">. Similarly, in Canadian randomised controlled trials (RCTs), although 98% of papers described the demographic composition of study participants by sex, in only 6% of studies was a subgroup analysis by sex conducted and only 4% reported sex-disaggregated data </w:t>
      </w:r>
      <w:r w:rsidRPr="002F7A6A">
        <w:t>(Welch et al., 2017)</w:t>
      </w:r>
      <w:r w:rsidRPr="00672DBE">
        <w:t xml:space="preserve">. No article defined sex and/or gender, and no publication reported a comprehensive sex and gender analysis. </w:t>
      </w:r>
    </w:p>
    <w:p w14:paraId="777A3396" w14:textId="7A767DD5" w:rsidR="00EB2B55" w:rsidRPr="00672DBE" w:rsidRDefault="00EB2B55" w:rsidP="003414BB">
      <w:pPr>
        <w:jc w:val="both"/>
      </w:pPr>
      <w:r w:rsidRPr="00672DBE">
        <w:t>Analyses of health condition-specific and treatment-specific studies found that the sex bias and underrepresentation of women in clinical trials resulted in significant sex and gender data gaps. From the clinical guidelines and systematic reviews for sepsis treatment, Antequera et al. (2020) found that female participation was 40% in 246 studies, and that women were underrepresented in proportion to their share of the sepsis population (participation-to-prevalence ratio: PPR 0.78). Papers reporting non-RCT research published since 1995 were likely to state the sex of subjects, although those reporting RCTs were unlikely to do. Day et al. (2019) found inadequate accounting of sex and gender in papers reporting research on diabetes. Although almost all of 151 papers gave the sex of research participants, only 10 (6.5%) reported all study outcomes separately by sex and/or gender, sex-related matters were discussed in only 21 (13.5%) papers, and the role of gender was discussed in only one paper</w:t>
      </w:r>
      <w:r w:rsidRPr="00C94040">
        <w:t xml:space="preserve">. </w:t>
      </w:r>
      <w:r w:rsidR="00C94040" w:rsidRPr="00C94040">
        <w:t xml:space="preserve">A scoping review </w:t>
      </w:r>
      <w:r w:rsidR="00C94040">
        <w:t>of sex an</w:t>
      </w:r>
      <w:r w:rsidR="00204B50">
        <w:t>d</w:t>
      </w:r>
      <w:r w:rsidR="00C94040">
        <w:t xml:space="preserve"> gender sensitivity in</w:t>
      </w:r>
      <w:r w:rsidR="00C94040" w:rsidRPr="00C94040">
        <w:t xml:space="preserve"> intersectionality-based </w:t>
      </w:r>
      <w:r w:rsidR="009F57B0">
        <w:t xml:space="preserve">epidemiological </w:t>
      </w:r>
      <w:r w:rsidR="00C94040" w:rsidRPr="00C94040">
        <w:t>analyses (</w:t>
      </w:r>
      <w:r w:rsidR="00C94040">
        <w:t>broadly considering the intersection of sex/gender and race/ethnicity</w:t>
      </w:r>
      <w:r w:rsidR="00C94040" w:rsidRPr="00C94040">
        <w:t>) in three health</w:t>
      </w:r>
      <w:r w:rsidR="00C94040">
        <w:t>-</w:t>
      </w:r>
      <w:r w:rsidR="00C94040" w:rsidRPr="00C94040">
        <w:t>related f</w:t>
      </w:r>
      <w:r w:rsidR="009F57B0">
        <w:t>ields</w:t>
      </w:r>
      <w:r w:rsidR="00C94040" w:rsidRPr="00C94040">
        <w:t xml:space="preserve"> (diabetes, smoking</w:t>
      </w:r>
      <w:r w:rsidR="00C94040">
        <w:t>,</w:t>
      </w:r>
      <w:r w:rsidR="00C94040" w:rsidRPr="00C94040">
        <w:t xml:space="preserve"> and physical activity) </w:t>
      </w:r>
      <w:r w:rsidR="00C94040">
        <w:t>found</w:t>
      </w:r>
      <w:r w:rsidR="00C94040" w:rsidRPr="00C94040">
        <w:t xml:space="preserve"> that</w:t>
      </w:r>
      <w:r w:rsidR="00C94040">
        <w:t>,</w:t>
      </w:r>
      <w:r w:rsidR="00C94040" w:rsidRPr="00DE0DB9">
        <w:t xml:space="preserve"> </w:t>
      </w:r>
      <w:r w:rsidR="009F57B0">
        <w:t xml:space="preserve">although </w:t>
      </w:r>
      <w:r w:rsidR="00C94040" w:rsidRPr="00C94040">
        <w:t xml:space="preserve">sex or gender was considered in every </w:t>
      </w:r>
      <w:r w:rsidR="00C94040">
        <w:t>paper</w:t>
      </w:r>
      <w:r w:rsidR="00C94040" w:rsidRPr="00C94040">
        <w:t xml:space="preserve">, </w:t>
      </w:r>
      <w:r w:rsidR="009F57B0">
        <w:t>the</w:t>
      </w:r>
      <w:r w:rsidR="00204B50">
        <w:t xml:space="preserve"> categories were treated as</w:t>
      </w:r>
      <w:r w:rsidR="009F57B0">
        <w:t xml:space="preserve"> exclusively</w:t>
      </w:r>
      <w:r w:rsidR="00C94040" w:rsidRPr="00C94040">
        <w:t xml:space="preserve"> binary</w:t>
      </w:r>
      <w:r w:rsidR="009F57B0">
        <w:t xml:space="preserve"> and rarely considered as contributing to health-related solutions</w:t>
      </w:r>
      <w:r w:rsidR="00C94040" w:rsidRPr="00C94040">
        <w:t xml:space="preserve"> (Mena &amp; Bolte, 2019).</w:t>
      </w:r>
    </w:p>
    <w:p w14:paraId="482096D1" w14:textId="77777777" w:rsidR="003300B8" w:rsidRDefault="00EB2B55" w:rsidP="003300B8">
      <w:pPr>
        <w:jc w:val="both"/>
        <w:sectPr w:rsidR="003300B8" w:rsidSect="00E23ABF">
          <w:footerReference w:type="even" r:id="rId16"/>
          <w:pgSz w:w="11906" w:h="16838"/>
          <w:pgMar w:top="1440" w:right="1440" w:bottom="1440" w:left="1440" w:header="708" w:footer="708" w:gutter="0"/>
          <w:pgNumType w:start="10"/>
          <w:cols w:space="708"/>
          <w:docGrid w:linePitch="360"/>
        </w:sectPr>
      </w:pPr>
      <w:r w:rsidRPr="00672DBE">
        <w:t xml:space="preserve">In other examples, of 75 clinical trials testing COVID-19 vaccines, only 24% presented their main outcome data disaggregated by sex and only 13% included any discussion of the implication of their study for women and men </w:t>
      </w:r>
      <w:r w:rsidRPr="00B43929">
        <w:t>(Heidari et al., 2021)</w:t>
      </w:r>
      <w:r w:rsidRPr="00672DBE">
        <w:t xml:space="preserve">. A review of sex bias in human surgical clinical research reported in five surgery journals found wide variation in sex-based inclusion, matching, and data reporting in various surgical specialties </w:t>
      </w:r>
      <w:r w:rsidRPr="00B43929">
        <w:t>(Mansukhani et al., 2016)</w:t>
      </w:r>
      <w:r w:rsidRPr="00672DBE">
        <w:t xml:space="preserve">. Colorectal surgery had the best matching of male and female participants and cardiac surgery had the worst. Few studies included equal numbers of women and men, and less than one-third performed data analysis by sex. A systematic review of papers reporting research on patellar tendinopathy revealed that, of 3894 patients whose sex was specified, there were far more men (3022; 78%) than women (250; 25%) </w:t>
      </w:r>
      <w:r w:rsidRPr="00B43929">
        <w:t xml:space="preserve">(Mondini </w:t>
      </w:r>
      <w:proofErr w:type="spellStart"/>
      <w:r w:rsidRPr="00B43929">
        <w:t>Trissino</w:t>
      </w:r>
      <w:proofErr w:type="spellEnd"/>
      <w:r w:rsidRPr="00B43929">
        <w:t xml:space="preserve"> da Lodi et al., 2022)</w:t>
      </w:r>
      <w:r w:rsidRPr="00672DBE">
        <w:t xml:space="preserve">. This percentage did not change when the evaluation was limited to high level studies; 41 RCTs enrolled a total of 310 women (22%) and 1121 men (78%). A review of research on atrial fibrillation found that women remain substantially less represented in RCTs than men, and that sex-stratified reporting of primary outcomes is infrequent in 12 top-tier journals </w:t>
      </w:r>
      <w:r w:rsidRPr="00B43929">
        <w:t>(</w:t>
      </w:r>
      <w:proofErr w:type="spellStart"/>
      <w:r w:rsidRPr="00B43929">
        <w:t>Noubiap</w:t>
      </w:r>
      <w:proofErr w:type="spellEnd"/>
      <w:r w:rsidRPr="00B43929">
        <w:t xml:space="preserve"> et al., 2022)</w:t>
      </w:r>
      <w:r w:rsidRPr="00672DBE">
        <w:t xml:space="preserve">. Women were under-enrolled by 12.5%, although female enrolment was higher in trials with larger sample sizes. </w:t>
      </w:r>
    </w:p>
    <w:p w14:paraId="3CA3D404" w14:textId="29B12F3C" w:rsidR="00EB2B55" w:rsidRPr="003300B8" w:rsidRDefault="00EB2B55" w:rsidP="003300B8">
      <w:pPr>
        <w:pStyle w:val="Heading1"/>
        <w:spacing w:before="0" w:after="160"/>
        <w:rPr>
          <w:rFonts w:asciiTheme="minorHAnsi" w:hAnsiTheme="minorHAnsi" w:cstheme="minorHAnsi"/>
          <w:b/>
          <w:bCs/>
          <w:color w:val="4C2863"/>
        </w:rPr>
      </w:pPr>
      <w:bookmarkStart w:id="279" w:name="_Toc161756601"/>
      <w:bookmarkStart w:id="280" w:name="_Toc161757525"/>
      <w:bookmarkStart w:id="281" w:name="_Toc161763950"/>
      <w:bookmarkStart w:id="282" w:name="_Toc165205005"/>
      <w:bookmarkStart w:id="283" w:name="_Toc168390513"/>
      <w:bookmarkStart w:id="284" w:name="_Toc168390881"/>
      <w:bookmarkStart w:id="285" w:name="_Toc168390947"/>
      <w:bookmarkStart w:id="286" w:name="_Toc168392079"/>
      <w:bookmarkStart w:id="287" w:name="_Toc168392436"/>
      <w:bookmarkStart w:id="288" w:name="_Toc168393609"/>
      <w:bookmarkStart w:id="289" w:name="_Toc168393651"/>
      <w:bookmarkStart w:id="290" w:name="_Toc168394325"/>
      <w:bookmarkStart w:id="291" w:name="_Toc168394463"/>
      <w:r w:rsidRPr="003300B8">
        <w:rPr>
          <w:rFonts w:asciiTheme="minorHAnsi" w:hAnsiTheme="minorHAnsi" w:cstheme="minorHAnsi"/>
          <w:b/>
          <w:bCs/>
          <w:color w:val="4C2863"/>
        </w:rPr>
        <w:lastRenderedPageBreak/>
        <w:t>Conclusion</w:t>
      </w:r>
      <w:bookmarkEnd w:id="279"/>
      <w:bookmarkEnd w:id="280"/>
      <w:bookmarkEnd w:id="281"/>
      <w:bookmarkEnd w:id="282"/>
      <w:bookmarkEnd w:id="283"/>
      <w:bookmarkEnd w:id="284"/>
      <w:bookmarkEnd w:id="285"/>
      <w:bookmarkEnd w:id="286"/>
      <w:bookmarkEnd w:id="287"/>
      <w:bookmarkEnd w:id="288"/>
      <w:bookmarkEnd w:id="289"/>
      <w:bookmarkEnd w:id="290"/>
      <w:bookmarkEnd w:id="291"/>
      <w:r w:rsidRPr="003300B8">
        <w:rPr>
          <w:rFonts w:asciiTheme="minorHAnsi" w:hAnsiTheme="minorHAnsi" w:cstheme="minorHAnsi"/>
          <w:b/>
          <w:bCs/>
          <w:color w:val="4C2863"/>
        </w:rPr>
        <w:t xml:space="preserve"> </w:t>
      </w:r>
    </w:p>
    <w:p w14:paraId="740960BC" w14:textId="11A837A6" w:rsidR="00EB2B55" w:rsidRPr="00672DBE" w:rsidRDefault="00EB2B55" w:rsidP="003414BB">
      <w:pPr>
        <w:jc w:val="both"/>
        <w:rPr>
          <w:highlight w:val="yellow"/>
        </w:rPr>
      </w:pPr>
      <w:r w:rsidRPr="00672DBE">
        <w:t>The questions asked and answered in this literature review covered diverse aspects of health. Despite this heterogeneity, the general and unavoidable conclusion is that there are unjust, unnecessary, and preventable inequities between women and men in their health, experience of healthcare practice, research, and health systems in Australia and globally. Most papers reviewed did not define the terms “sex” and “gender</w:t>
      </w:r>
      <w:proofErr w:type="gramStart"/>
      <w:r w:rsidRPr="00672DBE">
        <w:t>”, and</w:t>
      </w:r>
      <w:proofErr w:type="gramEnd"/>
      <w:r w:rsidRPr="00672DBE">
        <w:t xml:space="preserve"> tended to categorise research participants by binary biological sex, </w:t>
      </w:r>
      <w:r w:rsidR="002B1573">
        <w:t>often</w:t>
      </w:r>
      <w:r w:rsidR="002B1573" w:rsidRPr="00672DBE">
        <w:t xml:space="preserve"> </w:t>
      </w:r>
      <w:r w:rsidRPr="00672DBE">
        <w:t>called gender.</w:t>
      </w:r>
    </w:p>
    <w:p w14:paraId="26D110D9" w14:textId="544BB6D5" w:rsidR="00EB2B55" w:rsidRPr="00672DBE" w:rsidRDefault="00EB2B55" w:rsidP="003414BB">
      <w:pPr>
        <w:jc w:val="both"/>
      </w:pPr>
      <w:r w:rsidRPr="00672DBE">
        <w:t xml:space="preserve">We found sex and gender differences in the risk, presentation, treatment, and research of various health conditions in Australia, including cardiovascular disease, mental health, organ transplantation, transgender health, and polypharmacy. Women and girls in Australia experience unique challenges in healthcare systems and practice, resulting in problems such as delayed diagnosis and treatment, </w:t>
      </w:r>
      <w:r w:rsidR="00BB2A1F">
        <w:t>polypharmacy</w:t>
      </w:r>
      <w:r w:rsidRPr="00672DBE">
        <w:t xml:space="preserve">, and failure to have their symptoms properly investigated. </w:t>
      </w:r>
    </w:p>
    <w:p w14:paraId="3D8014BF" w14:textId="575F36CE" w:rsidR="00EB2B55" w:rsidRPr="00672DBE" w:rsidRDefault="00EB2B55" w:rsidP="003414BB">
      <w:pPr>
        <w:jc w:val="both"/>
      </w:pPr>
      <w:r w:rsidRPr="00672DBE">
        <w:t xml:space="preserve">While some differences can be attributed to biological differences between women and men, many arise from the explicit and implicit biases of healthcare professionals, who inevitably reflect the rigid </w:t>
      </w:r>
      <w:r w:rsidR="006915F8">
        <w:t xml:space="preserve">sex and </w:t>
      </w:r>
      <w:r w:rsidRPr="00672DBE">
        <w:t xml:space="preserve">gender norms of the general population of which they are a part. Our findings highlight the need for the healthcare professions to recognise and address the adverse effects of implicit biases and disparities in health care. </w:t>
      </w:r>
    </w:p>
    <w:p w14:paraId="75A8BAE6" w14:textId="7A523775" w:rsidR="00EB2B55" w:rsidRPr="00672DBE" w:rsidRDefault="00EB2B55" w:rsidP="003414BB">
      <w:pPr>
        <w:jc w:val="both"/>
      </w:pPr>
      <w:r w:rsidRPr="00672DBE">
        <w:t xml:space="preserve">We found variations in the extent to which evidence on sex and gender is incorporated in Australian clinical practice guidelines. The terms “sex” and “gender” tended to be used interchangeably or </w:t>
      </w:r>
      <w:proofErr w:type="gramStart"/>
      <w:r w:rsidRPr="00672DBE">
        <w:t>conflated, and</w:t>
      </w:r>
      <w:proofErr w:type="gramEnd"/>
      <w:r w:rsidRPr="00672DBE">
        <w:t xml:space="preserve"> were rarely defined. Of </w:t>
      </w:r>
      <w:r w:rsidR="001D1B35">
        <w:t>80</w:t>
      </w:r>
      <w:r w:rsidRPr="00672DBE">
        <w:t xml:space="preserve"> guidelines, </w:t>
      </w:r>
      <w:r w:rsidR="001D1B35">
        <w:t>20</w:t>
      </w:r>
      <w:r w:rsidRPr="00672DBE">
        <w:t xml:space="preserve"> used none of these terms and only </w:t>
      </w:r>
      <w:r w:rsidR="001D1B35" w:rsidRPr="00672DBE">
        <w:t>1</w:t>
      </w:r>
      <w:r w:rsidR="001D1B35">
        <w:t>2</w:t>
      </w:r>
      <w:r w:rsidR="001D1B35" w:rsidRPr="00672DBE">
        <w:t xml:space="preserve"> </w:t>
      </w:r>
      <w:r w:rsidRPr="00672DBE">
        <w:t>referred substantively to gender disparities and considerations.</w:t>
      </w:r>
      <w:r w:rsidR="00C16565">
        <w:t xml:space="preserve"> Only one guideline noted a lack of gender-based evidence.</w:t>
      </w:r>
      <w:r w:rsidRPr="00672DBE">
        <w:t xml:space="preserve"> Of course, guidelines are based on existing work, but we are confident that guidelines now being prepared can be gateways to greater awareness of sex and gender. Although it is apparent that local interventions are likely to have only local effects, guidelines can have more diffuse influence in an area of practice.</w:t>
      </w:r>
    </w:p>
    <w:p w14:paraId="65170FC0" w14:textId="557CA525" w:rsidR="00EB2B55" w:rsidRPr="00672DBE" w:rsidRDefault="00EB2B55" w:rsidP="003414BB">
      <w:pPr>
        <w:jc w:val="both"/>
      </w:pPr>
      <w:r w:rsidRPr="00672DBE">
        <w:t xml:space="preserve">There was limited evidence of interventions to reduce gender bias and inequity in health care globally. </w:t>
      </w:r>
      <w:proofErr w:type="gramStart"/>
      <w:r w:rsidRPr="00672DBE">
        <w:t>The majority of</w:t>
      </w:r>
      <w:proofErr w:type="gramEnd"/>
      <w:r w:rsidRPr="00672DBE">
        <w:t xml:space="preserve"> interventions achieved some narrowing of the sex or gender gap, although the very heterogen</w:t>
      </w:r>
      <w:r w:rsidR="002E5B8B">
        <w:t>e</w:t>
      </w:r>
      <w:r w:rsidRPr="00672DBE">
        <w:t>ous interventions, research, and evaluation made comparison difficult. Nevertheless, it appeared that education, training, and counselling tended to be effective, particularly in alcohol and substance use, cardiac rehabilitation, and weight management. We found only two interventions directly addressing bias in practitioners; both were assessed as successful.</w:t>
      </w:r>
      <w:r w:rsidR="002B1573">
        <w:t xml:space="preserve"> One intervention addressed gendered bias in </w:t>
      </w:r>
      <w:r w:rsidR="00DB5208">
        <w:t>instruments</w:t>
      </w:r>
      <w:r w:rsidR="002B1573">
        <w:t xml:space="preserve"> </w:t>
      </w:r>
      <w:r w:rsidR="00DB5208">
        <w:t xml:space="preserve">used </w:t>
      </w:r>
      <w:r w:rsidR="002B1573">
        <w:t xml:space="preserve">for assessment. </w:t>
      </w:r>
    </w:p>
    <w:p w14:paraId="40C41EE1" w14:textId="5FD8800B" w:rsidR="00EB2B55" w:rsidRPr="00672DBE" w:rsidRDefault="00EB2B55" w:rsidP="003414BB">
      <w:pPr>
        <w:jc w:val="both"/>
      </w:pPr>
      <w:r w:rsidRPr="00672DBE">
        <w:t>Women who are Indigenous, immigrants, or refugees and those from low-income</w:t>
      </w:r>
      <w:r w:rsidR="00402146">
        <w:t>, rural and remote,</w:t>
      </w:r>
      <w:r w:rsidRPr="00672DBE">
        <w:t xml:space="preserve"> or marginal backgrounds are more likely to face additional health inequities because of the lack of accessible and culturally safe healthcare services, entrenched institutional discrimination, and language barriers. These obstacles result in a higher prevalence of diagnosed chronic diseases and poor mental health. This review has led us to conclude that it is of vital importance to introduce and continue </w:t>
      </w:r>
      <w:proofErr w:type="gramStart"/>
      <w:r w:rsidRPr="00672DBE">
        <w:t>culturally-sensitive</w:t>
      </w:r>
      <w:proofErr w:type="gramEnd"/>
      <w:r w:rsidRPr="00672DBE">
        <w:t xml:space="preserve"> training for healthcare professionals and to adopt a multilingual approach. These are steps towards ensuring health equity and to the promotion and enhancement of health knowledge and literacy for women who are culturally and linguistically diverse and socioeconomically disadvantaged. </w:t>
      </w:r>
    </w:p>
    <w:p w14:paraId="3EE16751" w14:textId="1DA1A673" w:rsidR="00EB2B55" w:rsidRDefault="00EB2B55" w:rsidP="003414BB">
      <w:pPr>
        <w:jc w:val="both"/>
      </w:pPr>
      <w:r w:rsidRPr="00672DBE">
        <w:t xml:space="preserve">Despite recognition of the importance of sex inclusiveness in clinical research or randomised controlled trials, sex bias is </w:t>
      </w:r>
      <w:proofErr w:type="gramStart"/>
      <w:r w:rsidRPr="00672DBE">
        <w:t>prevalent</w:t>
      </w:r>
      <w:proofErr w:type="gramEnd"/>
      <w:r w:rsidRPr="00672DBE">
        <w:t xml:space="preserve"> and sex and gender data are poorly reported in many leading </w:t>
      </w:r>
      <w:r w:rsidRPr="00672DBE">
        <w:lastRenderedPageBreak/>
        <w:t xml:space="preserve">medical journals. Even Australia’s top medical journals do not always adhere to the sex and gender criteria and recommendations of the International Committee of Medical Journal Editors guidelines. These findings cast doubt on the generalisability of research results and the validity of applying these results to the treatment </w:t>
      </w:r>
      <w:r w:rsidR="00664983">
        <w:t xml:space="preserve">of </w:t>
      </w:r>
      <w:r w:rsidRPr="00672DBE">
        <w:t>women and sex- and gender-diverse people. Further efforts are needed to improve measures and policies, train and educate researchers, and support changes in research practices across the health and medical research sector.</w:t>
      </w:r>
    </w:p>
    <w:p w14:paraId="62413299" w14:textId="04EEA9B1" w:rsidR="002B1573" w:rsidRDefault="002B1573" w:rsidP="005253AB">
      <w:pPr>
        <w:jc w:val="both"/>
      </w:pPr>
      <w:r w:rsidRPr="003300B8">
        <w:t xml:space="preserve">The limitations of this review </w:t>
      </w:r>
      <w:r>
        <w:t xml:space="preserve">are, first, that only papers published in the English language have been included. The second limitation arises from the fact that it was necessary to develop search terms for concepts that are not well defined in the databases. Therefore, despite our attempts to be comprehensive (as Appendix </w:t>
      </w:r>
      <w:r w:rsidR="005253AB">
        <w:t>A</w:t>
      </w:r>
      <w:r>
        <w:t xml:space="preserve"> demonstrates), it is possible that we have missed relevant papers not accommodated within the search strategy.</w:t>
      </w:r>
      <w:r w:rsidR="00DD759C">
        <w:t xml:space="preserve"> </w:t>
      </w:r>
      <w:r w:rsidR="00713470">
        <w:t xml:space="preserve">The review was not designed to identify sex and gender differences in the prevalence, nature, and determinants of health conditions; there is an extensive literature on these topics. </w:t>
      </w:r>
      <w:r w:rsidR="008F6BC8">
        <w:t>With exceptions depending on the question being answered, papers were included only if they compared women and men; papers reporting research on women, without comparisons, are not in general represented here</w:t>
      </w:r>
      <w:r w:rsidR="00CF6147">
        <w:t xml:space="preserve"> because they could not </w:t>
      </w:r>
      <w:r w:rsidR="007C05B6">
        <w:t xml:space="preserve">contribute to the understanding of sex and gender </w:t>
      </w:r>
      <w:proofErr w:type="spellStart"/>
      <w:r w:rsidR="007C05B6">
        <w:t>imequity</w:t>
      </w:r>
      <w:proofErr w:type="spellEnd"/>
      <w:r w:rsidR="00713470">
        <w:t>. Finally, a</w:t>
      </w:r>
      <w:r w:rsidR="007D699F">
        <w:t>lthough we made extensive, repeated searches for clinical</w:t>
      </w:r>
      <w:r w:rsidR="005253AB">
        <w:t xml:space="preserve"> guidelines, we can</w:t>
      </w:r>
      <w:r w:rsidR="007D699F">
        <w:t xml:space="preserve">not be sure that we found them all. The NHMRC guidelines database is no longer available and there is no other central database in which guidelines are recorded. </w:t>
      </w:r>
    </w:p>
    <w:p w14:paraId="68457680" w14:textId="31681D22" w:rsidR="00EB2B55" w:rsidRDefault="00EB2B55" w:rsidP="003414BB">
      <w:pPr>
        <w:jc w:val="both"/>
      </w:pPr>
      <w:r w:rsidRPr="00672DBE">
        <w:t>One f</w:t>
      </w:r>
      <w:r w:rsidR="00713470">
        <w:t>urther</w:t>
      </w:r>
      <w:r w:rsidRPr="00672DBE">
        <w:t xml:space="preserve"> conclusion to be drawn from this literature is that women’s health and women’s bodies are over-medicalised. Sociocultural influences on women’s health and their experiences of care are too often missing from research and practice. Even when “gender” is the term applied, the reference tends to be “sex”. A fully sex- and gender-aware health system is essential if we are to bring about equity in health care.</w:t>
      </w:r>
    </w:p>
    <w:p w14:paraId="0A3FBFD9" w14:textId="5A4651A2" w:rsidR="00667A98" w:rsidRDefault="00667A98">
      <w:r>
        <w:br w:type="page"/>
      </w:r>
    </w:p>
    <w:p w14:paraId="56B68A65" w14:textId="23F66ACE" w:rsidR="00667A98" w:rsidRPr="003300B8" w:rsidRDefault="00667A98" w:rsidP="009651F1">
      <w:pPr>
        <w:pStyle w:val="Heading1"/>
        <w:spacing w:before="0" w:after="160"/>
        <w:rPr>
          <w:rFonts w:asciiTheme="minorHAnsi" w:hAnsiTheme="minorHAnsi" w:cstheme="minorHAnsi"/>
          <w:b/>
          <w:bCs/>
          <w:color w:val="4C2863"/>
          <w:sz w:val="40"/>
          <w:szCs w:val="40"/>
        </w:rPr>
      </w:pPr>
      <w:bookmarkStart w:id="292" w:name="_Toc165205006"/>
      <w:bookmarkStart w:id="293" w:name="_Toc168390514"/>
      <w:bookmarkStart w:id="294" w:name="_Toc168390882"/>
      <w:bookmarkStart w:id="295" w:name="_Toc168390948"/>
      <w:bookmarkStart w:id="296" w:name="_Toc168392080"/>
      <w:bookmarkStart w:id="297" w:name="_Toc168392437"/>
      <w:bookmarkStart w:id="298" w:name="_Toc168393610"/>
      <w:bookmarkStart w:id="299" w:name="_Toc168393652"/>
      <w:bookmarkStart w:id="300" w:name="_Toc168394326"/>
      <w:bookmarkStart w:id="301" w:name="_Toc168394464"/>
      <w:r w:rsidRPr="003300B8">
        <w:rPr>
          <w:rFonts w:asciiTheme="minorHAnsi" w:hAnsiTheme="minorHAnsi" w:cstheme="minorHAnsi"/>
          <w:b/>
          <w:bCs/>
          <w:color w:val="4C2863"/>
          <w:sz w:val="40"/>
          <w:szCs w:val="40"/>
        </w:rPr>
        <w:lastRenderedPageBreak/>
        <w:t>Recommendations</w:t>
      </w:r>
      <w:bookmarkEnd w:id="292"/>
      <w:bookmarkEnd w:id="293"/>
      <w:bookmarkEnd w:id="294"/>
      <w:bookmarkEnd w:id="295"/>
      <w:bookmarkEnd w:id="296"/>
      <w:bookmarkEnd w:id="297"/>
      <w:bookmarkEnd w:id="298"/>
      <w:bookmarkEnd w:id="299"/>
      <w:bookmarkEnd w:id="300"/>
      <w:bookmarkEnd w:id="301"/>
    </w:p>
    <w:p w14:paraId="0B0FDC2F" w14:textId="77777777" w:rsidR="00EF0C90" w:rsidRPr="003300B8" w:rsidRDefault="00EF0C90" w:rsidP="00EF0C90">
      <w:pPr>
        <w:jc w:val="both"/>
        <w:rPr>
          <w:rFonts w:cstheme="minorHAnsi"/>
          <w:b/>
          <w:bCs/>
          <w:color w:val="4C2863"/>
          <w:sz w:val="24"/>
          <w:szCs w:val="24"/>
        </w:rPr>
      </w:pPr>
      <w:r w:rsidRPr="003300B8">
        <w:rPr>
          <w:rFonts w:cstheme="minorHAnsi"/>
          <w:b/>
          <w:bCs/>
          <w:color w:val="4C2863"/>
          <w:sz w:val="24"/>
          <w:szCs w:val="24"/>
        </w:rPr>
        <w:t>Recommendations (Summary)</w:t>
      </w:r>
    </w:p>
    <w:p w14:paraId="319BE734" w14:textId="77777777" w:rsidR="007930DD" w:rsidRPr="007E1040" w:rsidRDefault="007930DD" w:rsidP="007930DD">
      <w:pPr>
        <w:pStyle w:val="ListParagraph"/>
        <w:numPr>
          <w:ilvl w:val="0"/>
          <w:numId w:val="34"/>
        </w:numPr>
        <w:contextualSpacing w:val="0"/>
        <w:rPr>
          <w:rFonts w:cstheme="minorHAnsi"/>
        </w:rPr>
      </w:pPr>
      <w:r w:rsidRPr="007E1040">
        <w:rPr>
          <w:rFonts w:cstheme="minorHAnsi"/>
        </w:rPr>
        <w:t>Ensure that the terms and concepts of “sex” and “gender” are defined and used accurately in relation to health care.</w:t>
      </w:r>
    </w:p>
    <w:p w14:paraId="45017F78" w14:textId="77777777" w:rsidR="007930DD" w:rsidRPr="007E1040" w:rsidRDefault="007930DD" w:rsidP="007930DD">
      <w:pPr>
        <w:pStyle w:val="ListParagraph"/>
        <w:numPr>
          <w:ilvl w:val="0"/>
          <w:numId w:val="34"/>
        </w:numPr>
        <w:contextualSpacing w:val="0"/>
        <w:rPr>
          <w:rFonts w:cstheme="minorHAnsi"/>
        </w:rPr>
      </w:pPr>
      <w:r w:rsidRPr="007E1040">
        <w:t xml:space="preserve">Introduce and continue culturally sensitive training for healthcare professionals that </w:t>
      </w:r>
      <w:r w:rsidRPr="00AF2B89">
        <w:t xml:space="preserve">includes </w:t>
      </w:r>
      <w:r w:rsidRPr="00AF2B89">
        <w:rPr>
          <w:bCs/>
        </w:rPr>
        <w:t>an intersectional and</w:t>
      </w:r>
      <w:r w:rsidRPr="007E1040">
        <w:t xml:space="preserve"> multilingual approach.</w:t>
      </w:r>
    </w:p>
    <w:p w14:paraId="658406AB" w14:textId="77777777" w:rsidR="007930DD" w:rsidRPr="007E1040" w:rsidRDefault="007930DD" w:rsidP="007930DD">
      <w:pPr>
        <w:pStyle w:val="ListParagraph"/>
        <w:numPr>
          <w:ilvl w:val="0"/>
          <w:numId w:val="34"/>
        </w:numPr>
        <w:contextualSpacing w:val="0"/>
        <w:rPr>
          <w:rFonts w:cstheme="minorHAnsi"/>
        </w:rPr>
      </w:pPr>
      <w:r w:rsidRPr="007E1040">
        <w:rPr>
          <w:rFonts w:cstheme="minorHAnsi"/>
        </w:rPr>
        <w:t xml:space="preserve">There should be </w:t>
      </w:r>
      <w:r>
        <w:rPr>
          <w:rFonts w:cstheme="minorHAnsi"/>
        </w:rPr>
        <w:t>undergraduate, postgraduate, and</w:t>
      </w:r>
      <w:r w:rsidRPr="007E1040">
        <w:rPr>
          <w:rFonts w:cstheme="minorHAnsi"/>
        </w:rPr>
        <w:t xml:space="preserve"> continuing professional education that ensures sex and gender awareness in quality of care</w:t>
      </w:r>
      <w:r>
        <w:rPr>
          <w:rFonts w:cstheme="minorHAnsi"/>
        </w:rPr>
        <w:t xml:space="preserve"> for all health professions</w:t>
      </w:r>
      <w:r w:rsidRPr="007E1040">
        <w:rPr>
          <w:rFonts w:cstheme="minorHAnsi"/>
        </w:rPr>
        <w:t>.</w:t>
      </w:r>
    </w:p>
    <w:p w14:paraId="1500B36D" w14:textId="77777777" w:rsidR="007930DD" w:rsidRPr="007E1040" w:rsidRDefault="007930DD" w:rsidP="007930DD">
      <w:pPr>
        <w:pStyle w:val="ListParagraph"/>
        <w:numPr>
          <w:ilvl w:val="0"/>
          <w:numId w:val="34"/>
        </w:numPr>
        <w:contextualSpacing w:val="0"/>
        <w:rPr>
          <w:rFonts w:cstheme="minorHAnsi"/>
        </w:rPr>
      </w:pPr>
      <w:r w:rsidRPr="007E1040">
        <w:rPr>
          <w:rFonts w:cstheme="minorHAnsi"/>
        </w:rPr>
        <w:t>Ensure that sex and gender discrimination in health care, as well as sex and gender differences</w:t>
      </w:r>
      <w:r>
        <w:rPr>
          <w:rFonts w:cstheme="minorHAnsi"/>
        </w:rPr>
        <w:t xml:space="preserve"> in health states and outcomes</w:t>
      </w:r>
      <w:r w:rsidRPr="007E1040">
        <w:rPr>
          <w:rFonts w:cstheme="minorHAnsi"/>
        </w:rPr>
        <w:t>, are addressed in research</w:t>
      </w:r>
      <w:r>
        <w:rPr>
          <w:rFonts w:cstheme="minorHAnsi"/>
        </w:rPr>
        <w:t>, both to enable understanding and to intervene for change</w:t>
      </w:r>
      <w:r w:rsidRPr="007E1040">
        <w:rPr>
          <w:rFonts w:cstheme="minorHAnsi"/>
        </w:rPr>
        <w:t xml:space="preserve">. </w:t>
      </w:r>
    </w:p>
    <w:p w14:paraId="56F02640" w14:textId="3E3EBBCB" w:rsidR="007930DD" w:rsidRPr="007E1040" w:rsidRDefault="007930DD" w:rsidP="007930DD">
      <w:pPr>
        <w:pStyle w:val="ListParagraph"/>
        <w:numPr>
          <w:ilvl w:val="0"/>
          <w:numId w:val="34"/>
        </w:numPr>
        <w:contextualSpacing w:val="0"/>
        <w:rPr>
          <w:rFonts w:cstheme="minorHAnsi"/>
        </w:rPr>
      </w:pPr>
      <w:r w:rsidRPr="007E1040">
        <w:t>Journal editors</w:t>
      </w:r>
      <w:r>
        <w:t xml:space="preserve"> and editorial board members (or voluntary editors), </w:t>
      </w:r>
      <w:r w:rsidRPr="007E1040">
        <w:t>need to be supported to ensure that the existing criteria and recommendations for sex</w:t>
      </w:r>
      <w:r w:rsidR="00C0346A">
        <w:t>-</w:t>
      </w:r>
      <w:r w:rsidRPr="007E1040">
        <w:t xml:space="preserve"> </w:t>
      </w:r>
      <w:r w:rsidR="009F38E2" w:rsidRPr="007E1040">
        <w:t>and gender</w:t>
      </w:r>
      <w:r w:rsidR="00C0346A">
        <w:t>-</w:t>
      </w:r>
      <w:r w:rsidR="009F38E2" w:rsidRPr="007E1040">
        <w:t xml:space="preserve">aware </w:t>
      </w:r>
      <w:r w:rsidR="009F38E2">
        <w:t xml:space="preserve">publication </w:t>
      </w:r>
      <w:r w:rsidR="009F38E2" w:rsidRPr="007E1040">
        <w:t>practice</w:t>
      </w:r>
      <w:r w:rsidR="009F38E2">
        <w:t>s</w:t>
      </w:r>
      <w:r w:rsidR="009F38E2" w:rsidRPr="007E1040">
        <w:t xml:space="preserve"> are </w:t>
      </w:r>
      <w:r w:rsidRPr="007E1040">
        <w:t xml:space="preserve">implemented and enforced. </w:t>
      </w:r>
    </w:p>
    <w:p w14:paraId="55F8544B" w14:textId="77777777" w:rsidR="007930DD" w:rsidRPr="007E1040" w:rsidRDefault="007930DD" w:rsidP="007930DD">
      <w:pPr>
        <w:pStyle w:val="ListParagraph"/>
        <w:numPr>
          <w:ilvl w:val="0"/>
          <w:numId w:val="34"/>
        </w:numPr>
        <w:contextualSpacing w:val="0"/>
        <w:rPr>
          <w:rFonts w:cstheme="minorHAnsi"/>
        </w:rPr>
      </w:pPr>
      <w:r w:rsidRPr="007E1040">
        <w:rPr>
          <w:rFonts w:cstheme="minorHAnsi"/>
        </w:rPr>
        <w:t>Encourage the inclusion of sex and gender awareness in all clinical guidelines, so that existing evidence is assessed for its treatment of sex and gender</w:t>
      </w:r>
      <w:r>
        <w:rPr>
          <w:rFonts w:cstheme="minorHAnsi"/>
        </w:rPr>
        <w:t xml:space="preserve"> and to enable strategies to counter inequity and discrimination</w:t>
      </w:r>
      <w:r w:rsidRPr="007E1040">
        <w:rPr>
          <w:rFonts w:cstheme="minorHAnsi"/>
        </w:rPr>
        <w:t>.</w:t>
      </w:r>
    </w:p>
    <w:p w14:paraId="32C6A26E" w14:textId="77777777" w:rsidR="007930DD" w:rsidRPr="0033138B" w:rsidRDefault="007930DD" w:rsidP="007930DD">
      <w:pPr>
        <w:pStyle w:val="ListParagraph"/>
        <w:numPr>
          <w:ilvl w:val="0"/>
          <w:numId w:val="34"/>
        </w:numPr>
        <w:contextualSpacing w:val="0"/>
        <w:rPr>
          <w:rFonts w:cstheme="minorHAnsi"/>
        </w:rPr>
      </w:pPr>
      <w:r w:rsidRPr="0033138B">
        <w:rPr>
          <w:rFonts w:cstheme="minorHAnsi"/>
        </w:rPr>
        <w:t xml:space="preserve">Develop a central database of clinical guidelines and require consideration of sex and gender in all NHMRC-endorsed endeavours. </w:t>
      </w:r>
    </w:p>
    <w:p w14:paraId="09521FFE" w14:textId="77777777" w:rsidR="007930DD" w:rsidRDefault="007930DD" w:rsidP="007930DD">
      <w:pPr>
        <w:pStyle w:val="ListParagraph"/>
        <w:numPr>
          <w:ilvl w:val="0"/>
          <w:numId w:val="34"/>
        </w:numPr>
        <w:contextualSpacing w:val="0"/>
        <w:rPr>
          <w:rFonts w:cstheme="minorHAnsi"/>
        </w:rPr>
      </w:pPr>
      <w:r w:rsidRPr="007E1040">
        <w:rPr>
          <w:rFonts w:cstheme="minorHAnsi"/>
        </w:rPr>
        <w:t xml:space="preserve">There needs to be continuing research on any major differences in the nature, prevalence, and burdens in health problems experienced by women, men, and people of all </w:t>
      </w:r>
      <w:r>
        <w:rPr>
          <w:rFonts w:cstheme="minorHAnsi"/>
        </w:rPr>
        <w:t xml:space="preserve">sexes and </w:t>
      </w:r>
      <w:r w:rsidRPr="007E1040">
        <w:rPr>
          <w:rFonts w:cstheme="minorHAnsi"/>
        </w:rPr>
        <w:t xml:space="preserve">genders that influence their needs for health care. </w:t>
      </w:r>
    </w:p>
    <w:p w14:paraId="2EA2186F" w14:textId="77777777" w:rsidR="007930DD" w:rsidRPr="007E1040" w:rsidRDefault="007930DD" w:rsidP="007930DD">
      <w:pPr>
        <w:pStyle w:val="ListParagraph"/>
        <w:numPr>
          <w:ilvl w:val="0"/>
          <w:numId w:val="34"/>
        </w:numPr>
        <w:contextualSpacing w:val="0"/>
        <w:rPr>
          <w:rFonts w:cstheme="minorHAnsi"/>
        </w:rPr>
      </w:pPr>
      <w:r w:rsidRPr="007E1040">
        <w:rPr>
          <w:rFonts w:cstheme="minorHAnsi"/>
        </w:rPr>
        <w:t>Encourage moving beyond simple binaries in sex and gender in medical research and practice.</w:t>
      </w:r>
    </w:p>
    <w:p w14:paraId="1B9026E7" w14:textId="77777777" w:rsidR="007930DD" w:rsidRPr="007E1040" w:rsidRDefault="007930DD" w:rsidP="007930DD">
      <w:pPr>
        <w:pStyle w:val="ListParagraph"/>
        <w:numPr>
          <w:ilvl w:val="0"/>
          <w:numId w:val="34"/>
        </w:numPr>
        <w:contextualSpacing w:val="0"/>
        <w:rPr>
          <w:rFonts w:cstheme="minorHAnsi"/>
        </w:rPr>
      </w:pPr>
      <w:r w:rsidRPr="007E1040">
        <w:rPr>
          <w:rFonts w:cstheme="minorHAnsi"/>
        </w:rPr>
        <w:t>Practise inclusive health care for gender diverse people.</w:t>
      </w:r>
    </w:p>
    <w:p w14:paraId="41791784" w14:textId="77777777" w:rsidR="00EF0C90" w:rsidRPr="007E1040" w:rsidRDefault="00EF0C90" w:rsidP="00332281">
      <w:pPr>
        <w:pStyle w:val="ListParagraph"/>
        <w:numPr>
          <w:ilvl w:val="0"/>
          <w:numId w:val="34"/>
        </w:numPr>
        <w:ind w:left="357" w:hanging="357"/>
        <w:contextualSpacing w:val="0"/>
        <w:rPr>
          <w:rFonts w:cstheme="minorHAnsi"/>
        </w:rPr>
      </w:pPr>
      <w:r w:rsidRPr="007E1040">
        <w:rPr>
          <w:rFonts w:cstheme="minorHAnsi"/>
        </w:rPr>
        <w:t xml:space="preserve">For maximum influence, </w:t>
      </w:r>
      <w:r>
        <w:rPr>
          <w:rFonts w:cstheme="minorHAnsi"/>
        </w:rPr>
        <w:t xml:space="preserve">the findings of </w:t>
      </w:r>
      <w:r w:rsidRPr="007E1040">
        <w:rPr>
          <w:rFonts w:cstheme="minorHAnsi"/>
        </w:rPr>
        <w:t>this report need to be widely distributed</w:t>
      </w:r>
      <w:r w:rsidRPr="007E1040">
        <w:rPr>
          <w:rFonts w:cstheme="minorHAnsi"/>
          <w:i/>
          <w:iCs/>
        </w:rPr>
        <w:t>.</w:t>
      </w:r>
    </w:p>
    <w:p w14:paraId="0AC86052" w14:textId="77777777" w:rsidR="00EF0C90" w:rsidRPr="003300B8" w:rsidRDefault="00EF0C90" w:rsidP="00EF0C90">
      <w:pPr>
        <w:jc w:val="both"/>
        <w:rPr>
          <w:b/>
          <w:color w:val="4C2863"/>
          <w:sz w:val="24"/>
          <w:szCs w:val="24"/>
        </w:rPr>
      </w:pPr>
      <w:r w:rsidRPr="003300B8">
        <w:rPr>
          <w:b/>
          <w:color w:val="4C2863"/>
          <w:sz w:val="24"/>
          <w:szCs w:val="24"/>
        </w:rPr>
        <w:t>Recommendations</w:t>
      </w:r>
    </w:p>
    <w:p w14:paraId="4423E3EF" w14:textId="77777777" w:rsidR="00EF0C90" w:rsidRDefault="00EF0C90" w:rsidP="0051197F">
      <w:pPr>
        <w:jc w:val="both"/>
      </w:pPr>
      <w:r>
        <w:rPr>
          <w:rFonts w:hint="eastAsia"/>
        </w:rPr>
        <w:t>T</w:t>
      </w:r>
      <w:r>
        <w:t>he following recommendations arise from the results of this literature review.</w:t>
      </w:r>
    </w:p>
    <w:p w14:paraId="2FEC1FDE" w14:textId="77777777" w:rsidR="00EF0C90" w:rsidRDefault="00EF0C90" w:rsidP="0051197F">
      <w:pPr>
        <w:pStyle w:val="ListParagraph"/>
        <w:numPr>
          <w:ilvl w:val="0"/>
          <w:numId w:val="33"/>
        </w:numPr>
        <w:jc w:val="both"/>
        <w:rPr>
          <w:rFonts w:cstheme="minorHAnsi"/>
          <w:b/>
          <w:bCs/>
        </w:rPr>
      </w:pPr>
      <w:r w:rsidRPr="00E24C8B">
        <w:rPr>
          <w:rFonts w:cstheme="minorHAnsi"/>
          <w:b/>
          <w:bCs/>
        </w:rPr>
        <w:t xml:space="preserve">Ensure that the terms and concepts of “sex” and “gender” are defined and used accurately in </w:t>
      </w:r>
      <w:r>
        <w:rPr>
          <w:rFonts w:cstheme="minorHAnsi"/>
          <w:b/>
          <w:bCs/>
        </w:rPr>
        <w:t>relation to health care</w:t>
      </w:r>
      <w:r w:rsidRPr="00E24C8B">
        <w:rPr>
          <w:rFonts w:cstheme="minorHAnsi"/>
          <w:b/>
          <w:bCs/>
        </w:rPr>
        <w:t>.</w:t>
      </w:r>
    </w:p>
    <w:p w14:paraId="108F4B89" w14:textId="231E27C8" w:rsidR="00EF0C90" w:rsidRPr="00D862C0" w:rsidRDefault="00EF0C90" w:rsidP="0051197F">
      <w:pPr>
        <w:jc w:val="both"/>
        <w:rPr>
          <w:rFonts w:cstheme="minorHAnsi"/>
          <w:b/>
          <w:bCs/>
        </w:rPr>
      </w:pPr>
      <w:r w:rsidRPr="005075D1">
        <w:t xml:space="preserve">The terms “sex” and “gender” need to </w:t>
      </w:r>
      <w:r>
        <w:t>be appropriately</w:t>
      </w:r>
      <w:r w:rsidRPr="005075D1">
        <w:t xml:space="preserve"> and accurately used and described in </w:t>
      </w:r>
      <w:r>
        <w:t xml:space="preserve">all documents related to health care, including policies, </w:t>
      </w:r>
      <w:r w:rsidRPr="005075D1">
        <w:t xml:space="preserve">journal articles, </w:t>
      </w:r>
      <w:r>
        <w:t xml:space="preserve">technical </w:t>
      </w:r>
      <w:r w:rsidRPr="005075D1">
        <w:t>reports</w:t>
      </w:r>
      <w:r>
        <w:t>,</w:t>
      </w:r>
      <w:r w:rsidRPr="005075D1">
        <w:t xml:space="preserve"> and guidelines. </w:t>
      </w:r>
      <w:r>
        <w:t>S</w:t>
      </w:r>
      <w:r w:rsidRPr="00035F5F">
        <w:t xml:space="preserve">ex refers to biological </w:t>
      </w:r>
      <w:r>
        <w:t xml:space="preserve">traits while </w:t>
      </w:r>
      <w:r w:rsidRPr="00035F5F">
        <w:t xml:space="preserve">gender </w:t>
      </w:r>
      <w:r>
        <w:t>encompasses</w:t>
      </w:r>
      <w:r w:rsidRPr="00035F5F">
        <w:t xml:space="preserve"> social </w:t>
      </w:r>
      <w:r>
        <w:t>roles and cultural expectations traditionally associated with a female-male sex binary. When s</w:t>
      </w:r>
      <w:r w:rsidRPr="00035F5F">
        <w:t>ex and g</w:t>
      </w:r>
      <w:r>
        <w:t xml:space="preserve">ender are conflated, the contributions of biology and sociocultural influences on health care cannot be distinguished, obliterating opportunities for appropriate identification of specific risk and protective factors, </w:t>
      </w:r>
      <w:r w:rsidRPr="00D862C0">
        <w:rPr>
          <w:rFonts w:cstheme="minorHAnsi"/>
        </w:rPr>
        <w:t>symptom patterns, interventions, and care.</w:t>
      </w:r>
      <w:r w:rsidR="00D862C0" w:rsidRPr="00D862C0">
        <w:rPr>
          <w:rFonts w:cstheme="minorHAnsi"/>
        </w:rPr>
        <w:t xml:space="preserve"> </w:t>
      </w:r>
      <w:r w:rsidR="00D862C0">
        <w:rPr>
          <w:rFonts w:eastAsia="Times New Roman" w:cstheme="minorHAnsi"/>
          <w:color w:val="212121"/>
          <w:shd w:val="clear" w:color="auto" w:fill="FFFFFF"/>
          <w:lang w:eastAsia="en-AU"/>
        </w:rPr>
        <w:t>T</w:t>
      </w:r>
      <w:r w:rsidR="00D862C0" w:rsidRPr="00D862C0">
        <w:rPr>
          <w:rFonts w:eastAsia="Times New Roman" w:cstheme="minorHAnsi"/>
          <w:color w:val="212121"/>
          <w:shd w:val="clear" w:color="auto" w:fill="FFFFFF"/>
          <w:lang w:eastAsia="en-AU"/>
        </w:rPr>
        <w:t xml:space="preserve">he Australian Bureau of Statistics </w:t>
      </w:r>
      <w:r w:rsidR="00D862C0" w:rsidRPr="00D862C0">
        <w:rPr>
          <w:rFonts w:cstheme="minorHAnsi"/>
          <w:i/>
          <w:iCs/>
        </w:rPr>
        <w:t>Standard for Sex, Gender, Variations of Sex Characteristics and Sexual Orientation Variables</w:t>
      </w:r>
      <w:r w:rsidR="00D862C0">
        <w:rPr>
          <w:rFonts w:cstheme="minorHAnsi"/>
          <w:i/>
          <w:iCs/>
        </w:rPr>
        <w:t xml:space="preserve"> </w:t>
      </w:r>
      <w:r w:rsidR="00D862C0" w:rsidRPr="00D862C0">
        <w:rPr>
          <w:rFonts w:cstheme="minorHAnsi"/>
        </w:rPr>
        <w:t>(2020</w:t>
      </w:r>
      <w:r w:rsidR="00D862C0">
        <w:rPr>
          <w:rFonts w:cstheme="minorHAnsi"/>
        </w:rPr>
        <w:t>:</w:t>
      </w:r>
      <w:r w:rsidR="00D862C0" w:rsidRPr="00D862C0">
        <w:rPr>
          <w:rFonts w:cstheme="minorHAnsi"/>
        </w:rPr>
        <w:t xml:space="preserve"> abs.gov.au)</w:t>
      </w:r>
      <w:r w:rsidR="00D862C0">
        <w:rPr>
          <w:rFonts w:cstheme="minorHAnsi"/>
        </w:rPr>
        <w:t xml:space="preserve"> is a useful guide.</w:t>
      </w:r>
    </w:p>
    <w:p w14:paraId="502F18BE" w14:textId="77777777" w:rsidR="00F86E33" w:rsidRPr="00E073A5" w:rsidRDefault="00F86E33" w:rsidP="00F86E33">
      <w:pPr>
        <w:pStyle w:val="ListParagraph"/>
        <w:numPr>
          <w:ilvl w:val="0"/>
          <w:numId w:val="33"/>
        </w:numPr>
        <w:contextualSpacing w:val="0"/>
        <w:jc w:val="both"/>
        <w:rPr>
          <w:rFonts w:cstheme="minorHAnsi"/>
          <w:b/>
          <w:bCs/>
        </w:rPr>
      </w:pPr>
      <w:r>
        <w:rPr>
          <w:b/>
          <w:bCs/>
        </w:rPr>
        <w:lastRenderedPageBreak/>
        <w:t>Introduce and continue culturally sensitive training for healthcare professionals that includes an intersectional and multilingual approach.</w:t>
      </w:r>
    </w:p>
    <w:p w14:paraId="39D4FE33" w14:textId="77777777" w:rsidR="00F86E33" w:rsidRDefault="00F86E33" w:rsidP="00F86E33">
      <w:pPr>
        <w:pStyle w:val="ListParagraph"/>
        <w:ind w:left="0"/>
        <w:contextualSpacing w:val="0"/>
        <w:jc w:val="both"/>
      </w:pPr>
      <w:r>
        <w:t>W</w:t>
      </w:r>
      <w:r w:rsidRPr="00672DBE">
        <w:t>omen who are culturally and linguistically diverse and socioeconomically disadvantaged</w:t>
      </w:r>
      <w:r>
        <w:t xml:space="preserve"> confront barriers to adequate health care in addition to those arising from sex and gender bias and discrimination. There is ample evidence that First Nations women and women who are migrants, refugees, and asylum seekers, as well as those who live in remote areas, </w:t>
      </w:r>
      <w:r w:rsidRPr="00C91636">
        <w:t>experience poorer health outcomes than other population groups</w:t>
      </w:r>
      <w:r>
        <w:t xml:space="preserve">. Rather than burdening them with sole responsibility for overcoming these barriers, such as demanding greater health literacy of health consumers (although health education is a useful adjunct), healthcare providers themselves should receive training in cultural sensitivity, multilingualism, and intersectionality as part of a literate health system capable of providing fully informed care. Consultation with women and women’s groups in culturally and linguistically diverse communities is an essential component of proving sensitive health care. The heterogeneity of practices and beliefs about health, including sexual and reproductive health, means that researchers and healthcare professionals need to take responsibility for understanding women’s sociocultural context </w:t>
      </w:r>
      <w:proofErr w:type="gramStart"/>
      <w:r>
        <w:t>in order to</w:t>
      </w:r>
      <w:proofErr w:type="gramEnd"/>
      <w:r>
        <w:t xml:space="preserve"> provide the most appropriate care and to explain it in a culturally appropriate way. W</w:t>
      </w:r>
      <w:r w:rsidRPr="00F95B5C">
        <w:t>here possible</w:t>
      </w:r>
      <w:r>
        <w:t xml:space="preserve"> in clinical practice</w:t>
      </w:r>
      <w:r w:rsidRPr="00F95B5C">
        <w:t xml:space="preserve">, </w:t>
      </w:r>
      <w:r>
        <w:t xml:space="preserve">securing </w:t>
      </w:r>
      <w:r w:rsidRPr="00F95B5C">
        <w:t>qualified fe</w:t>
      </w:r>
      <w:r>
        <w:t>male interpreters can minimise confusion and misinterpretation. Telehealth consultations can potentially</w:t>
      </w:r>
      <w:r w:rsidRPr="00D26390">
        <w:t xml:space="preserve"> improve access to health</w:t>
      </w:r>
      <w:r>
        <w:t xml:space="preserve"> </w:t>
      </w:r>
      <w:r w:rsidRPr="00D26390">
        <w:t xml:space="preserve">care in remote areas if </w:t>
      </w:r>
      <w:r>
        <w:t xml:space="preserve">internet connection is adequate and </w:t>
      </w:r>
      <w:r w:rsidRPr="00D26390">
        <w:t>affordable</w:t>
      </w:r>
      <w:r>
        <w:t xml:space="preserve"> and privacy can be assured. Furthermore, the cost of healthcare can be a significant barrier to women </w:t>
      </w:r>
      <w:r w:rsidRPr="00672DBE">
        <w:t>who are culturally and linguistically diverse and socioeconomically disadvantaged</w:t>
      </w:r>
      <w:r>
        <w:t>; bulk billing should be freely available to ensure adequate access to health care.</w:t>
      </w:r>
    </w:p>
    <w:p w14:paraId="6289AE77" w14:textId="77777777" w:rsidR="00AF4350" w:rsidRPr="00645675" w:rsidRDefault="00AF4350" w:rsidP="00AF4350">
      <w:pPr>
        <w:pStyle w:val="ListParagraph"/>
        <w:keepNext/>
        <w:numPr>
          <w:ilvl w:val="0"/>
          <w:numId w:val="33"/>
        </w:numPr>
        <w:ind w:left="357" w:hanging="357"/>
        <w:contextualSpacing w:val="0"/>
        <w:jc w:val="both"/>
        <w:rPr>
          <w:rFonts w:cstheme="minorHAnsi"/>
          <w:b/>
          <w:bCs/>
        </w:rPr>
      </w:pPr>
      <w:r w:rsidRPr="00645675">
        <w:rPr>
          <w:rFonts w:cstheme="minorHAnsi"/>
          <w:b/>
          <w:bCs/>
        </w:rPr>
        <w:t xml:space="preserve">There should be </w:t>
      </w:r>
      <w:r w:rsidRPr="00645675">
        <w:rPr>
          <w:rFonts w:cstheme="minorHAnsi"/>
          <w:b/>
        </w:rPr>
        <w:t>undergraduate, postgraduate, and</w:t>
      </w:r>
      <w:r w:rsidRPr="00645675">
        <w:rPr>
          <w:rFonts w:cstheme="minorHAnsi"/>
          <w:b/>
          <w:bCs/>
        </w:rPr>
        <w:t xml:space="preserve"> continuing professional education that ensures sex and gender awareness in quality of care </w:t>
      </w:r>
      <w:r w:rsidRPr="00645675">
        <w:rPr>
          <w:rFonts w:cstheme="minorHAnsi"/>
          <w:b/>
        </w:rPr>
        <w:t>for all health professions</w:t>
      </w:r>
      <w:r w:rsidRPr="00645675">
        <w:rPr>
          <w:rFonts w:cstheme="minorHAnsi"/>
          <w:b/>
          <w:bCs/>
        </w:rPr>
        <w:t>.</w:t>
      </w:r>
    </w:p>
    <w:p w14:paraId="56F6F6E7" w14:textId="3DE09550" w:rsidR="00AF4350" w:rsidRDefault="00AF4350" w:rsidP="00AF4350">
      <w:pPr>
        <w:jc w:val="both"/>
        <w:rPr>
          <w:rFonts w:cstheme="minorHAnsi"/>
          <w:b/>
          <w:bCs/>
        </w:rPr>
      </w:pPr>
      <w:r>
        <w:t>Continuing educational interventions directed at healthcare professionals have the potential to reduce unconscious bias, increase sex and gender awareness, and improve health care.</w:t>
      </w:r>
      <w:r w:rsidRPr="00153219">
        <w:t xml:space="preserve"> Educational intervent</w:t>
      </w:r>
      <w:r w:rsidRPr="00264118">
        <w:t xml:space="preserve">ions will incorporate </w:t>
      </w:r>
      <w:r w:rsidRPr="00264118">
        <w:rPr>
          <w:color w:val="000000"/>
        </w:rPr>
        <w:t>awareness of and commitment to assessing gender-based risks, including experiences of violent victimisation and the burdens of unpaid work.</w:t>
      </w:r>
      <w:r>
        <w:rPr>
          <w:color w:val="000000"/>
        </w:rPr>
        <w:t xml:space="preserve"> </w:t>
      </w:r>
      <w:r>
        <w:t xml:space="preserve">Routinely alerting clinicians to sex- and gender-based outcomes, when these are identified through rigorous data collection and analysis, has been shown to reduce bias and improve quality of care. Such education and intervention could be institution-based, from undergraduate level onward, or conducted by discipline-specific organisations. </w:t>
      </w:r>
      <w:r w:rsidR="008B0315">
        <w:t xml:space="preserve">Overseas-trained professionals should be included. </w:t>
      </w:r>
      <w:r>
        <w:t xml:space="preserve">The goal of education and training should be to go beyond awareness-raising to transformation of norms, language, attitudes, and behaviours. Strategies should be introduced to ensure that sex and gender awareness is maintained. </w:t>
      </w:r>
    </w:p>
    <w:p w14:paraId="1916F1DB" w14:textId="2E0EA31A" w:rsidR="0024773E" w:rsidRDefault="00BC1DBF" w:rsidP="0024773E">
      <w:pPr>
        <w:pStyle w:val="ListParagraph"/>
        <w:numPr>
          <w:ilvl w:val="0"/>
          <w:numId w:val="33"/>
        </w:numPr>
        <w:jc w:val="both"/>
        <w:rPr>
          <w:rFonts w:cstheme="minorHAnsi"/>
          <w:b/>
          <w:bCs/>
        </w:rPr>
      </w:pPr>
      <w:r w:rsidRPr="00BC1DBF">
        <w:rPr>
          <w:rFonts w:ascii="Calibri" w:hAnsi="Calibri" w:cs="Calibri"/>
          <w:b/>
          <w:bCs/>
        </w:rPr>
        <w:t>Ensure that sex and gender discrimination in health care, as well as sex and gender differences in health states and outcomes, are addressed in research, both to enable understanding and to intervene for change</w:t>
      </w:r>
      <w:r w:rsidRPr="003F1383">
        <w:rPr>
          <w:rFonts w:ascii="Calibri" w:hAnsi="Calibri" w:cs="Calibri"/>
        </w:rPr>
        <w:t xml:space="preserve">. </w:t>
      </w:r>
      <w:r w:rsidR="0024773E">
        <w:rPr>
          <w:rFonts w:cstheme="minorHAnsi"/>
          <w:b/>
          <w:bCs/>
        </w:rPr>
        <w:t xml:space="preserve"> </w:t>
      </w:r>
    </w:p>
    <w:p w14:paraId="20491A81" w14:textId="77777777" w:rsidR="0024773E" w:rsidRPr="00884303" w:rsidRDefault="0024773E" w:rsidP="0024773E">
      <w:pPr>
        <w:jc w:val="both"/>
        <w:rPr>
          <w:rFonts w:cstheme="minorHAnsi"/>
        </w:rPr>
      </w:pPr>
      <w:r>
        <w:rPr>
          <w:rFonts w:cstheme="minorHAnsi"/>
        </w:rPr>
        <w:t>In addition to research that investigates sex and gender differences (that is, focused on individuals and categories of people), we need research on bias and discrimination in health care (that is, focused on systems, policies, institutions, and providers). Such evidence is essential for</w:t>
      </w:r>
      <w:r w:rsidRPr="00E21E3E">
        <w:rPr>
          <w:rFonts w:cstheme="minorHAnsi"/>
        </w:rPr>
        <w:t xml:space="preserve"> </w:t>
      </w:r>
      <w:r>
        <w:rPr>
          <w:rFonts w:cstheme="minorHAnsi"/>
        </w:rPr>
        <w:t xml:space="preserve">addressing bias and </w:t>
      </w:r>
      <w:r w:rsidRPr="0060511F">
        <w:rPr>
          <w:rFonts w:cstheme="minorHAnsi"/>
        </w:rPr>
        <w:t xml:space="preserve">discrimination and identifying progress being made in sex- and gender-aware health care. </w:t>
      </w:r>
      <w:r w:rsidRPr="0060511F">
        <w:rPr>
          <w:rFonts w:cstheme="minorHAnsi"/>
          <w:color w:val="000000"/>
          <w:lang w:eastAsia="en-AU"/>
        </w:rPr>
        <w:t xml:space="preserve">It is likely </w:t>
      </w:r>
      <w:r w:rsidRPr="00884303">
        <w:rPr>
          <w:rFonts w:cstheme="minorHAnsi"/>
          <w:color w:val="000000"/>
          <w:lang w:eastAsia="en-AU"/>
        </w:rPr>
        <w:t>to require an explicit call from funding bodies for research on sex and gender discrimination, as well as inclusion of consumers in research design. Underpinning this work should be a requirement from all finding bodies, but especially Commonwealth funding agencies, that research on health and medicine should consider sex and gender.</w:t>
      </w:r>
    </w:p>
    <w:p w14:paraId="6D27F11D" w14:textId="6099E069" w:rsidR="00362DDB" w:rsidRPr="009F38E2" w:rsidRDefault="00362DDB" w:rsidP="00362DDB">
      <w:pPr>
        <w:pStyle w:val="ListParagraph"/>
        <w:numPr>
          <w:ilvl w:val="0"/>
          <w:numId w:val="33"/>
        </w:numPr>
        <w:jc w:val="both"/>
        <w:rPr>
          <w:rFonts w:cstheme="minorHAnsi"/>
          <w:b/>
          <w:bCs/>
        </w:rPr>
      </w:pPr>
      <w:r>
        <w:rPr>
          <w:b/>
          <w:bCs/>
        </w:rPr>
        <w:lastRenderedPageBreak/>
        <w:t xml:space="preserve">Journal editors need to be supported to ensure that the existing criteria and recommendations </w:t>
      </w:r>
      <w:r w:rsidRPr="009F38E2">
        <w:rPr>
          <w:b/>
          <w:bCs/>
        </w:rPr>
        <w:t>for sex- and</w:t>
      </w:r>
      <w:r w:rsidR="009F38E2" w:rsidRPr="009F38E2">
        <w:rPr>
          <w:b/>
        </w:rPr>
        <w:t xml:space="preserve"> gender</w:t>
      </w:r>
      <w:r w:rsidR="00BC1DBF">
        <w:rPr>
          <w:b/>
        </w:rPr>
        <w:t>-</w:t>
      </w:r>
      <w:r w:rsidR="009F38E2" w:rsidRPr="009F38E2">
        <w:rPr>
          <w:b/>
        </w:rPr>
        <w:t xml:space="preserve">aware publication practices are </w:t>
      </w:r>
      <w:r w:rsidRPr="009F38E2">
        <w:rPr>
          <w:b/>
          <w:bCs/>
        </w:rPr>
        <w:t xml:space="preserve">implemented and enforced. </w:t>
      </w:r>
    </w:p>
    <w:p w14:paraId="3059E750" w14:textId="77777777" w:rsidR="00362DDB" w:rsidRDefault="00362DDB" w:rsidP="00362DDB">
      <w:pPr>
        <w:jc w:val="both"/>
        <w:rPr>
          <w:rFonts w:cstheme="minorHAnsi"/>
          <w:b/>
          <w:bCs/>
        </w:rPr>
      </w:pPr>
      <w:r w:rsidRPr="00672DBE">
        <w:t xml:space="preserve">Despite recognition of the importance of sex inclusiveness in clinical research </w:t>
      </w:r>
      <w:r>
        <w:t>and</w:t>
      </w:r>
      <w:r w:rsidRPr="00672DBE">
        <w:t xml:space="preserve"> randomised controlled trials, sex bias is </w:t>
      </w:r>
      <w:proofErr w:type="gramStart"/>
      <w:r w:rsidRPr="00672DBE">
        <w:t>prevalent</w:t>
      </w:r>
      <w:proofErr w:type="gramEnd"/>
      <w:r w:rsidRPr="00672DBE">
        <w:t xml:space="preserve"> and sex and gender data are poorly reported in many leading medical journals.</w:t>
      </w:r>
      <w:r>
        <w:t xml:space="preserve"> </w:t>
      </w:r>
      <w:r w:rsidRPr="00672DBE">
        <w:t>These findings cast doubt on the generalisability of research results and the validity of applying these results to the treatment women and sex- and gender-diverse people.</w:t>
      </w:r>
      <w:r>
        <w:t xml:space="preserve"> Encouragement should be given to editors to </w:t>
      </w:r>
      <w:r w:rsidRPr="00672DBE">
        <w:t>adhere to the sex and gender criteria and recommendations of the International Committee of Medical Journal Editors guidelines</w:t>
      </w:r>
      <w:r>
        <w:t>.</w:t>
      </w:r>
      <w:r w:rsidRPr="00672DBE">
        <w:t xml:space="preserve"> </w:t>
      </w:r>
      <w:r>
        <w:t xml:space="preserve"> At the most basic level, researchers should be expected to specify how participants’ sex and gender were identified. When journal editors set and maintain high standards of sex and gender awareness this is likely to have a beneficial influence on research practice.</w:t>
      </w:r>
      <w:r w:rsidRPr="00672DBE">
        <w:t xml:space="preserve"> </w:t>
      </w:r>
    </w:p>
    <w:p w14:paraId="104A3E9C" w14:textId="5CA8CFC9" w:rsidR="000F15F4" w:rsidRDefault="000F15F4" w:rsidP="000F15F4">
      <w:pPr>
        <w:pStyle w:val="ListParagraph"/>
        <w:numPr>
          <w:ilvl w:val="0"/>
          <w:numId w:val="33"/>
        </w:numPr>
        <w:jc w:val="both"/>
        <w:rPr>
          <w:rFonts w:cstheme="minorHAnsi"/>
          <w:b/>
          <w:bCs/>
        </w:rPr>
      </w:pPr>
      <w:r w:rsidRPr="00E24C8B">
        <w:rPr>
          <w:rFonts w:cstheme="minorHAnsi"/>
          <w:b/>
          <w:bCs/>
        </w:rPr>
        <w:t xml:space="preserve">Encourage the inclusion of sex and gender awareness in all clinical guidelines, so that existing evidence is assessed for its treatment of sex and </w:t>
      </w:r>
      <w:r w:rsidRPr="00BC1DBF">
        <w:rPr>
          <w:rFonts w:cstheme="minorHAnsi"/>
          <w:b/>
          <w:bCs/>
        </w:rPr>
        <w:t>gender</w:t>
      </w:r>
      <w:r w:rsidR="00BC1DBF" w:rsidRPr="00BC1DBF">
        <w:rPr>
          <w:rFonts w:cstheme="minorHAnsi"/>
          <w:b/>
          <w:bCs/>
        </w:rPr>
        <w:t xml:space="preserve"> and to enable strategies to counter inequity and discrimination</w:t>
      </w:r>
      <w:r w:rsidRPr="00BC1DBF">
        <w:rPr>
          <w:rFonts w:cstheme="minorHAnsi"/>
          <w:b/>
          <w:bCs/>
        </w:rPr>
        <w:t>.</w:t>
      </w:r>
    </w:p>
    <w:p w14:paraId="0B50955B" w14:textId="18F49637" w:rsidR="000F15F4" w:rsidRPr="00EA2B4D" w:rsidRDefault="000F15F4" w:rsidP="000F15F4">
      <w:pPr>
        <w:jc w:val="both"/>
      </w:pPr>
      <w:r>
        <w:rPr>
          <w:rFonts w:cstheme="minorHAnsi"/>
        </w:rPr>
        <w:t xml:space="preserve">Evidence from this review indicates that paying attention to the development of sex and gender awareness in clinical guidelines is likely to be more effective (having a wider sphere of influence) than numerous small interventions. (Of course, the latter can have local benefits.) Although guidelines are built on existing evidence, such evidence should be assessed for the ways in which it deals with sex and gender. </w:t>
      </w:r>
      <w:r>
        <w:t>Standardis</w:t>
      </w:r>
      <w:r w:rsidRPr="00D03523">
        <w:t xml:space="preserve">ed, equitable, and evidence-based rules for treatment </w:t>
      </w:r>
      <w:r>
        <w:t>have the potential to</w:t>
      </w:r>
      <w:r w:rsidRPr="00D03523">
        <w:t xml:space="preserve"> reduce implicit bias </w:t>
      </w:r>
      <w:r>
        <w:t xml:space="preserve">that </w:t>
      </w:r>
      <w:r w:rsidRPr="00D03523">
        <w:t>affect</w:t>
      </w:r>
      <w:r>
        <w:t>s</w:t>
      </w:r>
      <w:r w:rsidRPr="00D03523">
        <w:t xml:space="preserve"> health</w:t>
      </w:r>
      <w:r>
        <w:t xml:space="preserve"> </w:t>
      </w:r>
      <w:r w:rsidRPr="00D03523">
        <w:t>care.</w:t>
      </w:r>
      <w:r>
        <w:rPr>
          <w:rFonts w:cstheme="minorHAnsi"/>
        </w:rPr>
        <w:t xml:space="preserve"> </w:t>
      </w:r>
      <w:r>
        <w:t>Clinical guidelines</w:t>
      </w:r>
      <w:r w:rsidRPr="00F3014F">
        <w:t xml:space="preserve"> </w:t>
      </w:r>
      <w:proofErr w:type="gramStart"/>
      <w:r w:rsidRPr="00F3014F">
        <w:t xml:space="preserve">are </w:t>
      </w:r>
      <w:r>
        <w:t>considered to be</w:t>
      </w:r>
      <w:proofErr w:type="gramEnd"/>
      <w:r w:rsidRPr="00F3014F">
        <w:t xml:space="preserve"> living rather than</w:t>
      </w:r>
      <w:r>
        <w:t xml:space="preserve"> fixed documents, emphasis</w:t>
      </w:r>
      <w:r w:rsidRPr="00F3014F">
        <w:t xml:space="preserve">ing the need for </w:t>
      </w:r>
      <w:r>
        <w:t xml:space="preserve">healthcare professionals and </w:t>
      </w:r>
      <w:r w:rsidRPr="00F3014F">
        <w:t>researchers to be reflexive</w:t>
      </w:r>
      <w:r>
        <w:t xml:space="preserve"> about their practice</w:t>
      </w:r>
      <w:r w:rsidRPr="00F3014F">
        <w:t>.</w:t>
      </w:r>
      <w:r>
        <w:t xml:space="preserve"> </w:t>
      </w:r>
      <w:r w:rsidRPr="001A76FF">
        <w:t xml:space="preserve">When developing or updating guidelines, </w:t>
      </w:r>
      <w:r>
        <w:t xml:space="preserve">the members of </w:t>
      </w:r>
      <w:r w:rsidRPr="001A76FF">
        <w:t>committee</w:t>
      </w:r>
      <w:r>
        <w:t>s</w:t>
      </w:r>
      <w:r w:rsidRPr="001A76FF">
        <w:t xml:space="preserve"> </w:t>
      </w:r>
      <w:r>
        <w:t>and</w:t>
      </w:r>
      <w:r w:rsidRPr="001A76FF">
        <w:t xml:space="preserve"> working group</w:t>
      </w:r>
      <w:r>
        <w:t>s</w:t>
      </w:r>
      <w:r w:rsidRPr="001A76FF">
        <w:t>, colleges</w:t>
      </w:r>
      <w:r>
        <w:t>,</w:t>
      </w:r>
      <w:r w:rsidRPr="001A76FF">
        <w:t xml:space="preserve"> and other relevant organisations need to make a concerted effort to </w:t>
      </w:r>
      <w:r>
        <w:t xml:space="preserve">include sex- and gender-related matters relevant to the identification, appraisal, and description of evidence. A process of </w:t>
      </w:r>
      <w:r w:rsidRPr="001A76FF">
        <w:t>collaborative co-design rather than individual or fragmented actions</w:t>
      </w:r>
      <w:r>
        <w:t xml:space="preserve"> is imperative to the implementation of this approach</w:t>
      </w:r>
      <w:r w:rsidRPr="008B0315">
        <w:rPr>
          <w:rFonts w:cstheme="minorHAnsi"/>
        </w:rPr>
        <w:t xml:space="preserve">. </w:t>
      </w:r>
      <w:r w:rsidR="008B0315" w:rsidRPr="008B0315">
        <w:rPr>
          <w:rFonts w:cstheme="minorHAnsi"/>
        </w:rPr>
        <w:t xml:space="preserve">In addition, </w:t>
      </w:r>
      <w:r w:rsidR="008B0315" w:rsidRPr="008B0315">
        <w:rPr>
          <w:rFonts w:cstheme="minorHAnsi"/>
          <w:color w:val="000000"/>
          <w:lang w:eastAsia="en-AU"/>
        </w:rPr>
        <w:t>clinical guideline development bodies should develop transparent policies for increasing the participation of women in guideline development panels.</w:t>
      </w:r>
      <w:r w:rsidR="008B0315">
        <w:t xml:space="preserve"> </w:t>
      </w:r>
      <w:r>
        <w:t>Finally, g</w:t>
      </w:r>
      <w:r w:rsidRPr="007A1803">
        <w:t>uideline development instruments</w:t>
      </w:r>
      <w:r>
        <w:t>,</w:t>
      </w:r>
      <w:r w:rsidRPr="007A1803">
        <w:t xml:space="preserve"> such as AGREE II and GRADE</w:t>
      </w:r>
      <w:r>
        <w:t xml:space="preserve">, need to include </w:t>
      </w:r>
      <w:r w:rsidRPr="007A1803">
        <w:t>instruction</w:t>
      </w:r>
      <w:r>
        <w:t>s</w:t>
      </w:r>
      <w:r w:rsidRPr="007A1803">
        <w:t xml:space="preserve"> for synthesising sex and gender evidence</w:t>
      </w:r>
      <w:r>
        <w:t xml:space="preserve">. </w:t>
      </w:r>
      <w:r>
        <w:rPr>
          <w:rFonts w:ascii="Calibri" w:hAnsi="Calibri" w:cs="Calibri"/>
        </w:rPr>
        <w:t xml:space="preserve">A statement about lack of sex- or gender-specific evidence should be the minimum requirement for clinical practice guidelines. </w:t>
      </w:r>
    </w:p>
    <w:p w14:paraId="17B34312" w14:textId="77777777" w:rsidR="006B37B9" w:rsidRPr="00EA2B4D" w:rsidRDefault="006B37B9" w:rsidP="006B37B9">
      <w:pPr>
        <w:pStyle w:val="ListParagraph"/>
        <w:keepNext/>
        <w:numPr>
          <w:ilvl w:val="0"/>
          <w:numId w:val="33"/>
        </w:numPr>
        <w:ind w:left="357" w:hanging="357"/>
        <w:contextualSpacing w:val="0"/>
        <w:jc w:val="both"/>
        <w:rPr>
          <w:rFonts w:cstheme="minorHAnsi"/>
          <w:b/>
          <w:bCs/>
        </w:rPr>
      </w:pPr>
      <w:r w:rsidRPr="00EA2B4D">
        <w:rPr>
          <w:rFonts w:cstheme="minorHAnsi"/>
          <w:b/>
          <w:bCs/>
        </w:rPr>
        <w:t>Develop a central database of clinical guidelines</w:t>
      </w:r>
      <w:r>
        <w:rPr>
          <w:rFonts w:cstheme="minorHAnsi"/>
          <w:b/>
          <w:bCs/>
        </w:rPr>
        <w:t xml:space="preserve"> and require consideration of sex and gender in all NHMRC-endorsed endeavours</w:t>
      </w:r>
      <w:r w:rsidRPr="00EA2B4D">
        <w:rPr>
          <w:rFonts w:cstheme="minorHAnsi"/>
          <w:b/>
          <w:bCs/>
        </w:rPr>
        <w:t xml:space="preserve">. </w:t>
      </w:r>
    </w:p>
    <w:p w14:paraId="5320D00C" w14:textId="77777777" w:rsidR="006B37B9" w:rsidRPr="00EA2B4D" w:rsidRDefault="006B37B9" w:rsidP="006B37B9">
      <w:pPr>
        <w:jc w:val="both"/>
        <w:rPr>
          <w:rFonts w:cstheme="minorHAnsi"/>
        </w:rPr>
      </w:pPr>
      <w:r>
        <w:rPr>
          <w:rFonts w:cstheme="minorHAnsi"/>
        </w:rPr>
        <w:t xml:space="preserve">The National Health and Medical Research Council could contribute to the awareness of existing guidelines and the creation of new guidelines by developing or funding development of a central database on which all clinical guidelines in Australia are recorded. The NHMRC should provide guidance in sex and gender awareness, approve and endorse only guidelines that include consideration of sex and gender, and require consideration of sex and gender in all new grants. </w:t>
      </w:r>
    </w:p>
    <w:p w14:paraId="2D58ABCD" w14:textId="77777777" w:rsidR="003829D9" w:rsidRPr="00E44B13" w:rsidRDefault="003829D9" w:rsidP="003829D9">
      <w:pPr>
        <w:pStyle w:val="ListParagraph"/>
        <w:keepNext/>
        <w:numPr>
          <w:ilvl w:val="0"/>
          <w:numId w:val="33"/>
        </w:numPr>
        <w:ind w:left="357" w:hanging="357"/>
        <w:jc w:val="both"/>
        <w:rPr>
          <w:rFonts w:cstheme="minorHAnsi"/>
          <w:b/>
          <w:bCs/>
        </w:rPr>
      </w:pPr>
      <w:r w:rsidRPr="00E44B13">
        <w:rPr>
          <w:rFonts w:cstheme="minorHAnsi"/>
          <w:b/>
          <w:bCs/>
        </w:rPr>
        <w:t xml:space="preserve">There needs to be continuing research on any major differences in the nature, prevalence, and burdens in health problems experienced by women, men, and people of all </w:t>
      </w:r>
      <w:r>
        <w:rPr>
          <w:rFonts w:cstheme="minorHAnsi"/>
          <w:b/>
          <w:bCs/>
        </w:rPr>
        <w:t xml:space="preserve">sexes and </w:t>
      </w:r>
      <w:r w:rsidRPr="00E44B13">
        <w:rPr>
          <w:rFonts w:cstheme="minorHAnsi"/>
          <w:b/>
          <w:bCs/>
        </w:rPr>
        <w:t xml:space="preserve">genders that influence their needs for health care. </w:t>
      </w:r>
    </w:p>
    <w:p w14:paraId="3DC3AD0B" w14:textId="77777777" w:rsidR="003829D9" w:rsidRDefault="003829D9" w:rsidP="003829D9">
      <w:pPr>
        <w:jc w:val="both"/>
        <w:rPr>
          <w:rFonts w:cstheme="minorHAnsi"/>
        </w:rPr>
      </w:pPr>
      <w:r>
        <w:rPr>
          <w:rFonts w:cstheme="minorHAnsi"/>
        </w:rPr>
        <w:t>Sex- and gender-aware research on the nature, prevalence, and burdens of major differences in health problems experienced by people of all sexes and genders is an essential underpinning of attempts to reduce bias and discrimination in health care. Specific areas of health and health care are likely to be extensive and diverse, but are expected to</w:t>
      </w:r>
      <w:r w:rsidRPr="00BC00A6">
        <w:rPr>
          <w:rFonts w:cstheme="minorHAnsi"/>
        </w:rPr>
        <w:t xml:space="preserve"> include mental health</w:t>
      </w:r>
      <w:r>
        <w:rPr>
          <w:rFonts w:cstheme="minorHAnsi"/>
        </w:rPr>
        <w:t>,</w:t>
      </w:r>
      <w:r w:rsidRPr="00BC00A6">
        <w:rPr>
          <w:rFonts w:cstheme="minorHAnsi"/>
        </w:rPr>
        <w:t xml:space="preserve"> sexual and reproductive health</w:t>
      </w:r>
      <w:r>
        <w:rPr>
          <w:rFonts w:cstheme="minorHAnsi"/>
        </w:rPr>
        <w:t>, non-</w:t>
      </w:r>
      <w:r>
        <w:rPr>
          <w:rFonts w:cstheme="minorHAnsi"/>
        </w:rPr>
        <w:lastRenderedPageBreak/>
        <w:t>communicable diseases, and infectious diseases</w:t>
      </w:r>
      <w:r w:rsidRPr="00BC00A6">
        <w:rPr>
          <w:rFonts w:cstheme="minorHAnsi"/>
        </w:rPr>
        <w:t>.</w:t>
      </w:r>
      <w:r>
        <w:rPr>
          <w:rFonts w:cstheme="minorHAnsi"/>
        </w:rPr>
        <w:t xml:space="preserve"> Social determinants of health, such as cultural background and geographic place of residence, will be essential components of this research. </w:t>
      </w:r>
    </w:p>
    <w:p w14:paraId="64518FF9" w14:textId="77777777" w:rsidR="00EF0C90" w:rsidRDefault="00EF0C90" w:rsidP="00985507">
      <w:pPr>
        <w:pStyle w:val="ListParagraph"/>
        <w:keepNext/>
        <w:numPr>
          <w:ilvl w:val="0"/>
          <w:numId w:val="33"/>
        </w:numPr>
        <w:ind w:left="357" w:hanging="357"/>
        <w:jc w:val="both"/>
        <w:rPr>
          <w:rFonts w:cstheme="minorHAnsi"/>
          <w:b/>
          <w:bCs/>
        </w:rPr>
      </w:pPr>
      <w:r>
        <w:rPr>
          <w:rFonts w:cstheme="minorHAnsi"/>
          <w:b/>
          <w:bCs/>
        </w:rPr>
        <w:t>Encourage moving beyond simple binaries in sex and gender in medical research and practice.</w:t>
      </w:r>
    </w:p>
    <w:p w14:paraId="280D2F0E" w14:textId="016AC388" w:rsidR="00EF0C90" w:rsidRPr="003709D3" w:rsidRDefault="00EF0C90" w:rsidP="0051197F">
      <w:pPr>
        <w:jc w:val="both"/>
        <w:rPr>
          <w:rFonts w:cstheme="minorHAnsi"/>
          <w:b/>
          <w:bCs/>
        </w:rPr>
      </w:pPr>
      <w:r>
        <w:t>In this literature review, most r</w:t>
      </w:r>
      <w:r w:rsidRPr="009664E9">
        <w:t xml:space="preserve">esearch participants were identified by binary categories that applied to </w:t>
      </w:r>
      <w:r>
        <w:rPr>
          <w:rFonts w:hint="eastAsia"/>
        </w:rPr>
        <w:t xml:space="preserve">their </w:t>
      </w:r>
      <w:r w:rsidRPr="009664E9">
        <w:t>biological sex, frequently called gender.</w:t>
      </w:r>
      <w:r>
        <w:t xml:space="preserve"> The use of simple binaries in both sex and gender excludes those people who are intersex, who have transitioned from the sex they were allocated at birth, and who identify as non-binary. It can also blind researchers and healthcare providers to significant relationships that do not fit the traditional heterosexual model based on binary sex and gender, thus reducing the opportunity for good quality care. It is suggested that non-binary approaches are reflected in research design, data collection, data analysis, and language used. </w:t>
      </w:r>
      <w:r w:rsidR="004E1371">
        <w:t>A non-binary approach is likely to be more achievable in qualitative than quantitative research methods where statistical significance might not be possible with small numbers in diverse categories. When this is the case, the use of binaries should be noted as a limitation.</w:t>
      </w:r>
    </w:p>
    <w:p w14:paraId="1CD2FFA2" w14:textId="77777777" w:rsidR="00EF0C90" w:rsidRDefault="00EF0C90" w:rsidP="0051197F">
      <w:pPr>
        <w:pStyle w:val="ListParagraph"/>
        <w:numPr>
          <w:ilvl w:val="0"/>
          <w:numId w:val="33"/>
        </w:numPr>
        <w:jc w:val="both"/>
        <w:rPr>
          <w:rFonts w:cstheme="minorHAnsi"/>
          <w:b/>
          <w:bCs/>
        </w:rPr>
      </w:pPr>
      <w:r>
        <w:rPr>
          <w:rFonts w:cstheme="minorHAnsi"/>
          <w:b/>
          <w:bCs/>
        </w:rPr>
        <w:t>Practise inclusive health care for gender diverse people.</w:t>
      </w:r>
    </w:p>
    <w:p w14:paraId="65A5B1A2" w14:textId="45CF04A5" w:rsidR="00EF0C90" w:rsidRPr="00E073A5" w:rsidRDefault="00EF0C90" w:rsidP="0051197F">
      <w:pPr>
        <w:jc w:val="both"/>
        <w:rPr>
          <w:rFonts w:cstheme="minorHAnsi"/>
          <w:b/>
          <w:bCs/>
        </w:rPr>
      </w:pPr>
      <w:r>
        <w:t xml:space="preserve">Gender diverse people require distinct healthcare and support, based on inclusive and non-discriminatory practice and policy. Conventional data collection and analysis, including in hospitals, </w:t>
      </w:r>
      <w:proofErr w:type="gramStart"/>
      <w:r>
        <w:t>are based on the assumption</w:t>
      </w:r>
      <w:proofErr w:type="gramEnd"/>
      <w:r>
        <w:t xml:space="preserve"> of binary sex and tends to ignore gender altogether. This </w:t>
      </w:r>
      <w:r w:rsidR="00AF2B89">
        <w:t xml:space="preserve">assumption </w:t>
      </w:r>
      <w:r>
        <w:t>harms or excludes from care those who do not fit the woman/man, female/male binaries. Discrimination experienced</w:t>
      </w:r>
      <w:r w:rsidRPr="00A8623B">
        <w:t xml:space="preserve"> by transgender </w:t>
      </w:r>
      <w:r>
        <w:t xml:space="preserve">and gender diverse </w:t>
      </w:r>
      <w:r w:rsidRPr="00A8623B">
        <w:t xml:space="preserve">patients in the healthcare setting </w:t>
      </w:r>
      <w:r>
        <w:t xml:space="preserve">arises both from inadequate education and the belief that diversity equals deviance. Each of these results in inadequate care and psychological injury. Education and training of healthcare providers </w:t>
      </w:r>
      <w:r w:rsidRPr="006D3451">
        <w:t xml:space="preserve">on the psychosocial aspects of </w:t>
      </w:r>
      <w:r>
        <w:t>gender diversity,</w:t>
      </w:r>
      <w:r w:rsidRPr="006D3451">
        <w:t xml:space="preserve"> as well as on healthcare screening, diagnos</w:t>
      </w:r>
      <w:r>
        <w:t>i</w:t>
      </w:r>
      <w:r w:rsidRPr="006D3451">
        <w:t xml:space="preserve">s, and treatment </w:t>
      </w:r>
      <w:r>
        <w:t>specific</w:t>
      </w:r>
      <w:r w:rsidRPr="006D3451">
        <w:t xml:space="preserve"> to this population</w:t>
      </w:r>
      <w:r>
        <w:t>,</w:t>
      </w:r>
      <w:r w:rsidRPr="006D3451">
        <w:t xml:space="preserve"> may reduce the barriers faced by </w:t>
      </w:r>
      <w:r>
        <w:t>gender diverse</w:t>
      </w:r>
      <w:r w:rsidRPr="006D3451">
        <w:t xml:space="preserve"> patients in receiving quality care.</w:t>
      </w:r>
    </w:p>
    <w:p w14:paraId="3F1EDCFE" w14:textId="77777777" w:rsidR="00EF0C90" w:rsidRDefault="00EF0C90" w:rsidP="0051197F">
      <w:pPr>
        <w:pStyle w:val="ListParagraph"/>
        <w:numPr>
          <w:ilvl w:val="0"/>
          <w:numId w:val="33"/>
        </w:numPr>
        <w:ind w:left="357" w:hanging="357"/>
        <w:contextualSpacing w:val="0"/>
        <w:jc w:val="both"/>
        <w:rPr>
          <w:rFonts w:cstheme="minorHAnsi"/>
          <w:b/>
          <w:bCs/>
        </w:rPr>
      </w:pPr>
      <w:r w:rsidRPr="00E24C8B">
        <w:rPr>
          <w:rFonts w:cstheme="minorHAnsi"/>
          <w:b/>
          <w:bCs/>
        </w:rPr>
        <w:t xml:space="preserve">For maximum influence, </w:t>
      </w:r>
      <w:r>
        <w:rPr>
          <w:rFonts w:cstheme="minorHAnsi"/>
          <w:b/>
          <w:bCs/>
        </w:rPr>
        <w:t xml:space="preserve">the findings of </w:t>
      </w:r>
      <w:r w:rsidRPr="00E24C8B">
        <w:rPr>
          <w:rFonts w:cstheme="minorHAnsi"/>
          <w:b/>
          <w:bCs/>
        </w:rPr>
        <w:t>this report need to be widely distributed</w:t>
      </w:r>
      <w:r>
        <w:rPr>
          <w:rFonts w:cstheme="minorHAnsi"/>
          <w:b/>
          <w:bCs/>
        </w:rPr>
        <w:t>.</w:t>
      </w:r>
    </w:p>
    <w:p w14:paraId="1E10DB5C" w14:textId="1AC6868C" w:rsidR="00EF0C90" w:rsidRPr="003E3533" w:rsidRDefault="00EF0C90" w:rsidP="0051197F">
      <w:pPr>
        <w:pStyle w:val="ListParagraph"/>
        <w:ind w:left="0"/>
        <w:contextualSpacing w:val="0"/>
        <w:jc w:val="both"/>
        <w:rPr>
          <w:rFonts w:cstheme="minorHAnsi"/>
        </w:rPr>
      </w:pPr>
      <w:r>
        <w:rPr>
          <w:rFonts w:cstheme="minorHAnsi"/>
        </w:rPr>
        <w:t>Given the potential for contributing to improved health care that is sex- and gender-informed, this report needs to be easily accessible. T</w:t>
      </w:r>
      <w:r w:rsidRPr="00642393">
        <w:rPr>
          <w:rFonts w:cstheme="minorHAnsi"/>
        </w:rPr>
        <w:t>he major findings should be published in peer-reviewed journals</w:t>
      </w:r>
      <w:r w:rsidR="007B71EC">
        <w:rPr>
          <w:rFonts w:cstheme="minorHAnsi"/>
        </w:rPr>
        <w:t>.</w:t>
      </w:r>
      <w:r w:rsidRPr="00642393">
        <w:rPr>
          <w:rFonts w:cstheme="minorHAnsi"/>
        </w:rPr>
        <w:t xml:space="preserve"> </w:t>
      </w:r>
      <w:r w:rsidR="007B71EC">
        <w:rPr>
          <w:rFonts w:cstheme="minorHAnsi"/>
        </w:rPr>
        <w:t>T</w:t>
      </w:r>
      <w:r w:rsidRPr="00642393">
        <w:rPr>
          <w:rFonts w:cstheme="minorHAnsi"/>
        </w:rPr>
        <w:t xml:space="preserve">he conclusions should be </w:t>
      </w:r>
      <w:r w:rsidR="007B71EC">
        <w:rPr>
          <w:rFonts w:cstheme="minorHAnsi"/>
        </w:rPr>
        <w:t>widely disseminated using a comprehensive communications strategy</w:t>
      </w:r>
      <w:r w:rsidRPr="00642393">
        <w:rPr>
          <w:rFonts w:cstheme="minorHAnsi"/>
        </w:rPr>
        <w:t xml:space="preserve"> </w:t>
      </w:r>
      <w:r w:rsidR="007B71EC">
        <w:rPr>
          <w:rFonts w:cstheme="minorHAnsi"/>
        </w:rPr>
        <w:t xml:space="preserve">with policy briefs, contributions to publications such as </w:t>
      </w:r>
      <w:r w:rsidR="007B71EC">
        <w:rPr>
          <w:rFonts w:cstheme="minorHAnsi"/>
          <w:i/>
          <w:iCs/>
        </w:rPr>
        <w:t xml:space="preserve">The </w:t>
      </w:r>
      <w:r w:rsidR="007B71EC" w:rsidRPr="003B576D">
        <w:rPr>
          <w:rFonts w:cstheme="minorHAnsi"/>
          <w:i/>
          <w:iCs/>
        </w:rPr>
        <w:t>Conversation</w:t>
      </w:r>
      <w:r w:rsidR="007B71EC">
        <w:rPr>
          <w:rFonts w:cstheme="minorHAnsi"/>
        </w:rPr>
        <w:t xml:space="preserve">, </w:t>
      </w:r>
      <w:r w:rsidR="007B71EC" w:rsidRPr="007B71EC">
        <w:rPr>
          <w:rFonts w:cstheme="minorHAnsi"/>
        </w:rPr>
        <w:t>local</w:t>
      </w:r>
      <w:r w:rsidR="007B71EC">
        <w:rPr>
          <w:rFonts w:cstheme="minorHAnsi"/>
        </w:rPr>
        <w:t xml:space="preserve"> language summaries, podcasts, animated explanatory videos, and possibly social media.</w:t>
      </w:r>
    </w:p>
    <w:p w14:paraId="4BDFF1CD" w14:textId="559ECB2E" w:rsidR="00EB2B55" w:rsidRDefault="00EB2B55">
      <w:r w:rsidRPr="00672DBE">
        <w:br w:type="page"/>
      </w:r>
    </w:p>
    <w:p w14:paraId="2BACEB75" w14:textId="2CC81D98" w:rsidR="00EB2B55" w:rsidRPr="003300B8" w:rsidRDefault="00EB2B55" w:rsidP="003300B8">
      <w:pPr>
        <w:pStyle w:val="Heading1"/>
        <w:spacing w:before="0" w:after="160"/>
        <w:rPr>
          <w:rFonts w:asciiTheme="minorHAnsi" w:hAnsiTheme="minorHAnsi" w:cstheme="minorHAnsi"/>
          <w:b/>
          <w:bCs/>
          <w:color w:val="4C2863"/>
        </w:rPr>
      </w:pPr>
      <w:bookmarkStart w:id="302" w:name="_Toc161756602"/>
      <w:bookmarkStart w:id="303" w:name="_Toc161757526"/>
      <w:bookmarkStart w:id="304" w:name="_Toc161763951"/>
      <w:bookmarkStart w:id="305" w:name="_Toc165205007"/>
      <w:bookmarkStart w:id="306" w:name="_Toc168390515"/>
      <w:bookmarkStart w:id="307" w:name="_Toc168390883"/>
      <w:bookmarkStart w:id="308" w:name="_Toc168390949"/>
      <w:bookmarkStart w:id="309" w:name="_Toc168392081"/>
      <w:bookmarkStart w:id="310" w:name="_Toc168392438"/>
      <w:bookmarkStart w:id="311" w:name="_Toc168393611"/>
      <w:bookmarkStart w:id="312" w:name="_Toc168393653"/>
      <w:bookmarkStart w:id="313" w:name="_Toc168394327"/>
      <w:bookmarkStart w:id="314" w:name="_Toc168394465"/>
      <w:r w:rsidRPr="003300B8">
        <w:rPr>
          <w:rFonts w:asciiTheme="minorHAnsi" w:hAnsiTheme="minorHAnsi" w:cstheme="minorHAnsi"/>
          <w:b/>
          <w:bCs/>
          <w:color w:val="4C2863"/>
        </w:rPr>
        <w:lastRenderedPageBreak/>
        <w:t>References</w:t>
      </w:r>
      <w:bookmarkEnd w:id="302"/>
      <w:bookmarkEnd w:id="303"/>
      <w:bookmarkEnd w:id="304"/>
      <w:bookmarkEnd w:id="305"/>
      <w:bookmarkEnd w:id="306"/>
      <w:bookmarkEnd w:id="307"/>
      <w:bookmarkEnd w:id="308"/>
      <w:bookmarkEnd w:id="309"/>
      <w:bookmarkEnd w:id="310"/>
      <w:bookmarkEnd w:id="311"/>
      <w:bookmarkEnd w:id="312"/>
      <w:bookmarkEnd w:id="313"/>
      <w:bookmarkEnd w:id="314"/>
    </w:p>
    <w:p w14:paraId="55F95B7C" w14:textId="193C4268" w:rsidR="00E2281D" w:rsidRPr="00E2281D" w:rsidRDefault="00E2281D" w:rsidP="003414BB">
      <w:pPr>
        <w:pStyle w:val="EndNoteBibliography"/>
        <w:ind w:left="720" w:hanging="720"/>
        <w:jc w:val="both"/>
        <w:rPr>
          <w:rFonts w:asciiTheme="minorHAnsi" w:hAnsiTheme="minorHAnsi" w:cstheme="minorHAnsi"/>
          <w:color w:val="0563C1"/>
          <w:spacing w:val="-2"/>
          <w:u w:val="single" w:color="0563C1"/>
        </w:rPr>
      </w:pPr>
      <w:r w:rsidRPr="001568C5">
        <w:rPr>
          <w:rFonts w:asciiTheme="minorHAnsi" w:hAnsiTheme="minorHAnsi" w:cstheme="minorHAnsi"/>
          <w:color w:val="222222"/>
          <w:shd w:val="clear" w:color="auto" w:fill="FFFFFF"/>
        </w:rPr>
        <w:t>Abbott, L.M., Miller, R., Janda, M., Bennett, H., Taylor, M., Arnold, C., ... &amp; Caffery, L.J</w:t>
      </w:r>
      <w:r w:rsidRPr="00A53ABD">
        <w:rPr>
          <w:rFonts w:asciiTheme="minorHAnsi" w:hAnsiTheme="minorHAnsi" w:cstheme="minorHAnsi"/>
          <w:color w:val="1C1D1E"/>
        </w:rPr>
        <w:t xml:space="preserve"> </w:t>
      </w:r>
      <w:r w:rsidRPr="005C2A40">
        <w:rPr>
          <w:rFonts w:asciiTheme="minorHAnsi" w:hAnsiTheme="minorHAnsi" w:cstheme="minorHAnsi"/>
          <w:color w:val="1C1D1E"/>
        </w:rPr>
        <w:t>(2020),</w:t>
      </w:r>
      <w:r w:rsidRPr="005C2A40">
        <w:rPr>
          <w:rFonts w:asciiTheme="minorHAnsi" w:hAnsiTheme="minorHAnsi" w:cstheme="minorHAnsi"/>
          <w:color w:val="1C1D1E"/>
          <w:spacing w:val="-8"/>
        </w:rPr>
        <w:t xml:space="preserve"> </w:t>
      </w:r>
      <w:r w:rsidRPr="00E2281D">
        <w:rPr>
          <w:rFonts w:asciiTheme="minorHAnsi" w:hAnsiTheme="minorHAnsi" w:cstheme="minorHAnsi"/>
          <w:color w:val="1C1D1E"/>
        </w:rPr>
        <w:t>Practice</w:t>
      </w:r>
      <w:r w:rsidRPr="00E2281D">
        <w:rPr>
          <w:rFonts w:asciiTheme="minorHAnsi" w:hAnsiTheme="minorHAnsi" w:cstheme="minorHAnsi"/>
          <w:color w:val="1C1D1E"/>
          <w:spacing w:val="-8"/>
        </w:rPr>
        <w:t xml:space="preserve"> </w:t>
      </w:r>
      <w:r w:rsidRPr="00E2281D">
        <w:rPr>
          <w:rFonts w:asciiTheme="minorHAnsi" w:hAnsiTheme="minorHAnsi" w:cstheme="minorHAnsi"/>
          <w:color w:val="1C1D1E"/>
        </w:rPr>
        <w:t xml:space="preserve">guidelines for teledermatology in Australia. </w:t>
      </w:r>
      <w:r w:rsidRPr="00E2281D">
        <w:rPr>
          <w:rFonts w:asciiTheme="minorHAnsi" w:hAnsiTheme="minorHAnsi" w:cstheme="minorHAnsi"/>
          <w:i/>
          <w:color w:val="1C1D1E"/>
        </w:rPr>
        <w:t>Australas</w:t>
      </w:r>
      <w:r w:rsidRPr="00E2281D">
        <w:rPr>
          <w:rFonts w:asciiTheme="minorHAnsi" w:hAnsiTheme="minorHAnsi" w:cstheme="minorHAnsi"/>
          <w:i/>
          <w:color w:val="1C1D1E"/>
          <w:spacing w:val="-10"/>
        </w:rPr>
        <w:t xml:space="preserve"> </w:t>
      </w:r>
      <w:r w:rsidRPr="00E2281D">
        <w:rPr>
          <w:rFonts w:asciiTheme="minorHAnsi" w:hAnsiTheme="minorHAnsi" w:cstheme="minorHAnsi"/>
          <w:i/>
          <w:color w:val="1C1D1E"/>
        </w:rPr>
        <w:t>J</w:t>
      </w:r>
      <w:r w:rsidRPr="00E2281D">
        <w:rPr>
          <w:rFonts w:asciiTheme="minorHAnsi" w:hAnsiTheme="minorHAnsi" w:cstheme="minorHAnsi"/>
          <w:i/>
          <w:color w:val="1C1D1E"/>
          <w:spacing w:val="-10"/>
        </w:rPr>
        <w:t xml:space="preserve"> </w:t>
      </w:r>
      <w:r w:rsidRPr="00E2281D">
        <w:rPr>
          <w:rFonts w:asciiTheme="minorHAnsi" w:hAnsiTheme="minorHAnsi" w:cstheme="minorHAnsi"/>
          <w:i/>
          <w:color w:val="1C1D1E"/>
        </w:rPr>
        <w:t>Dermatol</w:t>
      </w:r>
      <w:r w:rsidRPr="00E2281D">
        <w:rPr>
          <w:rFonts w:asciiTheme="minorHAnsi" w:hAnsiTheme="minorHAnsi" w:cstheme="minorHAnsi"/>
          <w:color w:val="1C1D1E"/>
        </w:rPr>
        <w:t>,</w:t>
      </w:r>
      <w:r w:rsidRPr="00E2281D">
        <w:rPr>
          <w:rFonts w:asciiTheme="minorHAnsi" w:hAnsiTheme="minorHAnsi" w:cstheme="minorHAnsi"/>
          <w:color w:val="1C1D1E"/>
          <w:spacing w:val="-10"/>
        </w:rPr>
        <w:t xml:space="preserve"> </w:t>
      </w:r>
      <w:r w:rsidRPr="00E2281D">
        <w:rPr>
          <w:rFonts w:asciiTheme="minorHAnsi" w:hAnsiTheme="minorHAnsi" w:cstheme="minorHAnsi"/>
          <w:color w:val="1C1D1E"/>
        </w:rPr>
        <w:t>61:</w:t>
      </w:r>
      <w:r w:rsidRPr="00E2281D">
        <w:rPr>
          <w:rFonts w:asciiTheme="minorHAnsi" w:hAnsiTheme="minorHAnsi" w:cstheme="minorHAnsi"/>
          <w:color w:val="1C1D1E"/>
          <w:spacing w:val="-10"/>
        </w:rPr>
        <w:t xml:space="preserve"> </w:t>
      </w:r>
      <w:r w:rsidRPr="00E2281D">
        <w:rPr>
          <w:rFonts w:asciiTheme="minorHAnsi" w:hAnsiTheme="minorHAnsi" w:cstheme="minorHAnsi"/>
          <w:color w:val="1C1D1E"/>
        </w:rPr>
        <w:t xml:space="preserve">e293-e302. </w:t>
      </w:r>
      <w:r w:rsidRPr="00E2281D">
        <w:rPr>
          <w:rFonts w:asciiTheme="minorHAnsi" w:hAnsiTheme="minorHAnsi" w:cstheme="minorHAnsi"/>
          <w:color w:val="1C1D1E"/>
          <w:spacing w:val="-2"/>
        </w:rPr>
        <w:t>DOI:</w:t>
      </w:r>
      <w:r w:rsidRPr="00E2281D">
        <w:rPr>
          <w:rFonts w:asciiTheme="minorHAnsi" w:hAnsiTheme="minorHAnsi" w:cstheme="minorHAnsi"/>
          <w:color w:val="0563C1"/>
          <w:spacing w:val="-2"/>
          <w:u w:val="single" w:color="0563C1"/>
        </w:rPr>
        <w:t>10.1111/ajd.13301</w:t>
      </w:r>
    </w:p>
    <w:p w14:paraId="23D1A253" w14:textId="0DB6A497" w:rsidR="00EB2B55" w:rsidRDefault="00EB2B55" w:rsidP="003414BB">
      <w:pPr>
        <w:pStyle w:val="EndNoteBibliography"/>
        <w:ind w:left="720" w:hanging="720"/>
        <w:jc w:val="both"/>
        <w:rPr>
          <w:noProof w:val="0"/>
        </w:rPr>
      </w:pPr>
      <w:r w:rsidRPr="00607787">
        <w:rPr>
          <w:noProof w:val="0"/>
        </w:rPr>
        <w:t xml:space="preserve">Alcalde-Rubio, L., Hernandez-Aguado, I., Parker, L.A., Bueno-Vergara, E., &amp; </w:t>
      </w:r>
      <w:proofErr w:type="spellStart"/>
      <w:r w:rsidRPr="00607787">
        <w:rPr>
          <w:noProof w:val="0"/>
        </w:rPr>
        <w:t>Chilet</w:t>
      </w:r>
      <w:proofErr w:type="spellEnd"/>
      <w:r w:rsidRPr="00607787">
        <w:rPr>
          <w:noProof w:val="0"/>
        </w:rPr>
        <w:t xml:space="preserve">-Rosell, E. (2020). Gender disparities in clinical practice: are there any solutions? Scoping review of interventions to overcome or reduce gender bias in clinical practice. </w:t>
      </w:r>
      <w:r w:rsidRPr="00607787">
        <w:rPr>
          <w:i/>
          <w:noProof w:val="0"/>
        </w:rPr>
        <w:t>Int J Equity Health, 19</w:t>
      </w:r>
      <w:r w:rsidRPr="00607787">
        <w:rPr>
          <w:noProof w:val="0"/>
        </w:rPr>
        <w:t xml:space="preserve">(1), 166. </w:t>
      </w:r>
      <w:r w:rsidR="0035284C" w:rsidRPr="00607787">
        <w:rPr>
          <w:noProof w:val="0"/>
        </w:rPr>
        <w:t>DOI:</w:t>
      </w:r>
      <w:r w:rsidRPr="00607787">
        <w:rPr>
          <w:rStyle w:val="Hyperlink"/>
          <w:noProof w:val="0"/>
        </w:rPr>
        <w:t>10.1186/s12939-020-01283-4</w:t>
      </w:r>
      <w:r w:rsidRPr="00607787">
        <w:rPr>
          <w:noProof w:val="0"/>
        </w:rPr>
        <w:t xml:space="preserve"> </w:t>
      </w:r>
    </w:p>
    <w:p w14:paraId="32D4F3DF" w14:textId="2258AD81" w:rsidR="00FB6C50" w:rsidRPr="001568C5" w:rsidRDefault="00FB6C50"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color w:val="222222"/>
          <w:shd w:val="clear" w:color="auto" w:fill="FFFFFF"/>
        </w:rPr>
        <w:t xml:space="preserve">Andrews, G., Bell, C., Boyce, P., Gale, C., Lampe, L., Marwat, O., ... &amp; Wilkins, G. </w:t>
      </w:r>
      <w:r w:rsidRPr="00A53ABD">
        <w:rPr>
          <w:rFonts w:asciiTheme="minorHAnsi" w:hAnsiTheme="minorHAnsi" w:cstheme="minorHAnsi"/>
        </w:rPr>
        <w:t>(2018). Royal</w:t>
      </w:r>
      <w:r w:rsidRPr="005C2A40">
        <w:rPr>
          <w:rFonts w:asciiTheme="minorHAnsi" w:hAnsiTheme="minorHAnsi" w:cstheme="minorHAnsi"/>
        </w:rPr>
        <w:t xml:space="preserve"> Australian and New Zealand College of Psychiatrists</w:t>
      </w:r>
      <w:r w:rsidRPr="00FB6C50">
        <w:rPr>
          <w:rFonts w:asciiTheme="minorHAnsi" w:hAnsiTheme="minorHAnsi" w:cstheme="minorHAnsi"/>
          <w:spacing w:val="-12"/>
        </w:rPr>
        <w:t xml:space="preserve"> </w:t>
      </w:r>
      <w:r w:rsidRPr="00FB6C50">
        <w:rPr>
          <w:rFonts w:asciiTheme="minorHAnsi" w:hAnsiTheme="minorHAnsi" w:cstheme="minorHAnsi"/>
        </w:rPr>
        <w:t>clinical</w:t>
      </w:r>
      <w:r w:rsidRPr="00FB6C50">
        <w:rPr>
          <w:rFonts w:asciiTheme="minorHAnsi" w:hAnsiTheme="minorHAnsi" w:cstheme="minorHAnsi"/>
          <w:spacing w:val="-12"/>
        </w:rPr>
        <w:t xml:space="preserve"> </w:t>
      </w:r>
      <w:r w:rsidRPr="00FB6C50">
        <w:rPr>
          <w:rFonts w:asciiTheme="minorHAnsi" w:hAnsiTheme="minorHAnsi" w:cstheme="minorHAnsi"/>
        </w:rPr>
        <w:t>practice</w:t>
      </w:r>
      <w:r w:rsidRPr="00FB6C50">
        <w:rPr>
          <w:rFonts w:asciiTheme="minorHAnsi" w:hAnsiTheme="minorHAnsi" w:cstheme="minorHAnsi"/>
          <w:spacing w:val="-12"/>
        </w:rPr>
        <w:t xml:space="preserve"> </w:t>
      </w:r>
      <w:r w:rsidRPr="00FB6C50">
        <w:rPr>
          <w:rFonts w:asciiTheme="minorHAnsi" w:hAnsiTheme="minorHAnsi" w:cstheme="minorHAnsi"/>
        </w:rPr>
        <w:t>guidelines for the treatment of panic disorder, social</w:t>
      </w:r>
      <w:r w:rsidRPr="00FB6C50">
        <w:rPr>
          <w:rFonts w:asciiTheme="minorHAnsi" w:hAnsiTheme="minorHAnsi" w:cstheme="minorHAnsi"/>
          <w:spacing w:val="-2"/>
        </w:rPr>
        <w:t xml:space="preserve"> </w:t>
      </w:r>
      <w:r w:rsidRPr="00FB6C50">
        <w:rPr>
          <w:rFonts w:asciiTheme="minorHAnsi" w:hAnsiTheme="minorHAnsi" w:cstheme="minorHAnsi"/>
        </w:rPr>
        <w:t>anxiety</w:t>
      </w:r>
      <w:r w:rsidRPr="00FB6C50">
        <w:rPr>
          <w:rFonts w:asciiTheme="minorHAnsi" w:hAnsiTheme="minorHAnsi" w:cstheme="minorHAnsi"/>
          <w:spacing w:val="-3"/>
        </w:rPr>
        <w:t xml:space="preserve"> </w:t>
      </w:r>
      <w:r w:rsidRPr="00FB6C50">
        <w:rPr>
          <w:rFonts w:asciiTheme="minorHAnsi" w:hAnsiTheme="minorHAnsi" w:cstheme="minorHAnsi"/>
        </w:rPr>
        <w:t>disorder</w:t>
      </w:r>
      <w:r w:rsidRPr="00FB6C50">
        <w:rPr>
          <w:rFonts w:asciiTheme="minorHAnsi" w:hAnsiTheme="minorHAnsi" w:cstheme="minorHAnsi"/>
          <w:spacing w:val="-3"/>
        </w:rPr>
        <w:t xml:space="preserve"> </w:t>
      </w:r>
      <w:r w:rsidRPr="00FB6C50">
        <w:rPr>
          <w:rFonts w:asciiTheme="minorHAnsi" w:hAnsiTheme="minorHAnsi" w:cstheme="minorHAnsi"/>
        </w:rPr>
        <w:t>and</w:t>
      </w:r>
      <w:r w:rsidRPr="00FB6C50">
        <w:rPr>
          <w:rFonts w:asciiTheme="minorHAnsi" w:hAnsiTheme="minorHAnsi" w:cstheme="minorHAnsi"/>
          <w:spacing w:val="-3"/>
        </w:rPr>
        <w:t xml:space="preserve"> </w:t>
      </w:r>
      <w:r w:rsidRPr="00FB6C50">
        <w:rPr>
          <w:rFonts w:asciiTheme="minorHAnsi" w:hAnsiTheme="minorHAnsi" w:cstheme="minorHAnsi"/>
        </w:rPr>
        <w:t xml:space="preserve">generalised anxiety disorder. </w:t>
      </w:r>
      <w:r w:rsidRPr="00FB6C50">
        <w:rPr>
          <w:rFonts w:asciiTheme="minorHAnsi" w:hAnsiTheme="minorHAnsi" w:cstheme="minorHAnsi"/>
          <w:i/>
        </w:rPr>
        <w:t>ANZJ Psychiatr</w:t>
      </w:r>
      <w:r w:rsidRPr="00FB6C50">
        <w:rPr>
          <w:rFonts w:asciiTheme="minorHAnsi" w:hAnsiTheme="minorHAnsi" w:cstheme="minorHAnsi"/>
        </w:rPr>
        <w:t xml:space="preserve">, </w:t>
      </w:r>
      <w:r w:rsidRPr="00FB6C50">
        <w:rPr>
          <w:rFonts w:asciiTheme="minorHAnsi" w:hAnsiTheme="minorHAnsi" w:cstheme="minorHAnsi"/>
          <w:spacing w:val="-2"/>
        </w:rPr>
        <w:t>52(12):1109-1172. DOI:10.1177/0004867418799453</w:t>
      </w:r>
    </w:p>
    <w:p w14:paraId="740C143B" w14:textId="61E3D1F4" w:rsidR="00EB2B55" w:rsidRPr="00607787" w:rsidRDefault="00EB2B55" w:rsidP="003414BB">
      <w:pPr>
        <w:pStyle w:val="EndNoteBibliography"/>
        <w:ind w:left="720" w:hanging="720"/>
        <w:jc w:val="both"/>
        <w:rPr>
          <w:noProof w:val="0"/>
        </w:rPr>
      </w:pPr>
      <w:r w:rsidRPr="00607787">
        <w:rPr>
          <w:noProof w:val="0"/>
        </w:rPr>
        <w:t>Antequera, A., Cuadrado-Conde, M.A., Roy-Vallejo, E., Montoya-Martinez, M., Leon-Garcia, M., Madrid-Pascual, O., Calderon-Larranaga, S., &amp; Research for gender equity c</w:t>
      </w:r>
      <w:r w:rsidR="00351822" w:rsidRPr="00607787">
        <w:rPr>
          <w:noProof w:val="0"/>
        </w:rPr>
        <w:t>ollaboration</w:t>
      </w:r>
      <w:r w:rsidRPr="00607787">
        <w:rPr>
          <w:noProof w:val="0"/>
        </w:rPr>
        <w:t xml:space="preserve">. (2022). Lack of sex-related analysis and reporting in Cochrane Reviews: a cross-sectional study. </w:t>
      </w:r>
      <w:r w:rsidRPr="00607787">
        <w:rPr>
          <w:i/>
          <w:noProof w:val="0"/>
        </w:rPr>
        <w:t>Syst Rev, 11</w:t>
      </w:r>
      <w:r w:rsidRPr="00607787">
        <w:rPr>
          <w:noProof w:val="0"/>
        </w:rPr>
        <w:t>(1), 281.</w:t>
      </w:r>
      <w:r w:rsidR="0035284C" w:rsidRPr="00607787">
        <w:rPr>
          <w:noProof w:val="0"/>
        </w:rPr>
        <w:t xml:space="preserve"> DOI:</w:t>
      </w:r>
      <w:r w:rsidRPr="00607787">
        <w:rPr>
          <w:rStyle w:val="Hyperlink"/>
          <w:noProof w:val="0"/>
        </w:rPr>
        <w:t>10.1186/s13643-021-01867-3</w:t>
      </w:r>
      <w:r w:rsidRPr="00607787">
        <w:rPr>
          <w:noProof w:val="0"/>
        </w:rPr>
        <w:t xml:space="preserve"> </w:t>
      </w:r>
    </w:p>
    <w:p w14:paraId="0E710E61" w14:textId="3C4CA7E6" w:rsidR="00EB2B55" w:rsidRPr="00607787" w:rsidRDefault="00EB2B55" w:rsidP="003414BB">
      <w:pPr>
        <w:pStyle w:val="EndNoteBibliography"/>
        <w:ind w:left="720" w:hanging="720"/>
        <w:jc w:val="both"/>
        <w:rPr>
          <w:noProof w:val="0"/>
        </w:rPr>
      </w:pPr>
      <w:r w:rsidRPr="00607787">
        <w:rPr>
          <w:noProof w:val="0"/>
        </w:rPr>
        <w:t xml:space="preserve">Antequera, A., Madrid-Pascual, O., </w:t>
      </w:r>
      <w:proofErr w:type="spellStart"/>
      <w:r w:rsidRPr="00607787">
        <w:rPr>
          <w:noProof w:val="0"/>
        </w:rPr>
        <w:t>Solà</w:t>
      </w:r>
      <w:proofErr w:type="spellEnd"/>
      <w:r w:rsidRPr="00607787">
        <w:rPr>
          <w:noProof w:val="0"/>
        </w:rPr>
        <w:t xml:space="preserve">, I., Roy-Vallejo, E., </w:t>
      </w:r>
      <w:proofErr w:type="spellStart"/>
      <w:r w:rsidRPr="00607787">
        <w:rPr>
          <w:noProof w:val="0"/>
        </w:rPr>
        <w:t>Petricola</w:t>
      </w:r>
      <w:proofErr w:type="spellEnd"/>
      <w:r w:rsidRPr="00607787">
        <w:rPr>
          <w:noProof w:val="0"/>
        </w:rPr>
        <w:t xml:space="preserve">, S., Plana, M.N., &amp; Bonfill, X. (2020). Female under-representation in sepsis studies: a bibliometric analysis of systematic reviews and guidelines. </w:t>
      </w:r>
      <w:r w:rsidRPr="00607787">
        <w:rPr>
          <w:i/>
          <w:noProof w:val="0"/>
        </w:rPr>
        <w:t>J Clin Epidemiol, 126</w:t>
      </w:r>
      <w:r w:rsidRPr="00607787">
        <w:rPr>
          <w:noProof w:val="0"/>
        </w:rPr>
        <w:t xml:space="preserve">, 26-36. </w:t>
      </w:r>
      <w:proofErr w:type="gramStart"/>
      <w:r w:rsidR="0035284C" w:rsidRPr="00607787">
        <w:rPr>
          <w:noProof w:val="0"/>
        </w:rPr>
        <w:t>DOI:</w:t>
      </w:r>
      <w:r w:rsidRPr="00607787">
        <w:rPr>
          <w:rStyle w:val="Hyperlink"/>
          <w:noProof w:val="0"/>
        </w:rPr>
        <w:t>10.1016/j.jclinepi</w:t>
      </w:r>
      <w:proofErr w:type="gramEnd"/>
      <w:r w:rsidRPr="00607787">
        <w:rPr>
          <w:rStyle w:val="Hyperlink"/>
          <w:noProof w:val="0"/>
        </w:rPr>
        <w:t>.2020.06.014</w:t>
      </w:r>
      <w:r w:rsidRPr="00607787">
        <w:rPr>
          <w:noProof w:val="0"/>
        </w:rPr>
        <w:t xml:space="preserve"> </w:t>
      </w:r>
    </w:p>
    <w:p w14:paraId="224144EE" w14:textId="7F4C8DC5" w:rsidR="00EB2B55" w:rsidRDefault="00EB2B55" w:rsidP="003414BB">
      <w:pPr>
        <w:pStyle w:val="EndNoteBibliography"/>
        <w:ind w:left="720" w:hanging="720"/>
        <w:jc w:val="both"/>
        <w:rPr>
          <w:noProof w:val="0"/>
        </w:rPr>
      </w:pPr>
      <w:proofErr w:type="spellStart"/>
      <w:r w:rsidRPr="00607787">
        <w:rPr>
          <w:noProof w:val="0"/>
        </w:rPr>
        <w:t>Asiskovitch</w:t>
      </w:r>
      <w:proofErr w:type="spellEnd"/>
      <w:r w:rsidRPr="00607787">
        <w:rPr>
          <w:noProof w:val="0"/>
        </w:rPr>
        <w:t xml:space="preserve">, S. (2010). Gender and health outcomes: the impact of healthcare systems and their financing on life expectancies of women and men. </w:t>
      </w:r>
      <w:r w:rsidRPr="00607787">
        <w:rPr>
          <w:i/>
          <w:noProof w:val="0"/>
        </w:rPr>
        <w:t>Soc Sci Med, 70</w:t>
      </w:r>
      <w:r w:rsidRPr="00607787">
        <w:rPr>
          <w:noProof w:val="0"/>
        </w:rPr>
        <w:t xml:space="preserve">(6), 886-895. </w:t>
      </w:r>
      <w:proofErr w:type="gramStart"/>
      <w:r w:rsidR="00A86DB8" w:rsidRPr="00607787">
        <w:rPr>
          <w:noProof w:val="0"/>
        </w:rPr>
        <w:t>DOI:</w:t>
      </w:r>
      <w:r w:rsidRPr="00607787">
        <w:rPr>
          <w:rStyle w:val="Hyperlink"/>
          <w:noProof w:val="0"/>
        </w:rPr>
        <w:t>10.1016/j.socscimed</w:t>
      </w:r>
      <w:proofErr w:type="gramEnd"/>
      <w:r w:rsidRPr="00607787">
        <w:rPr>
          <w:rStyle w:val="Hyperlink"/>
          <w:noProof w:val="0"/>
        </w:rPr>
        <w:t>.2009.11.018</w:t>
      </w:r>
      <w:r w:rsidRPr="00607787">
        <w:rPr>
          <w:noProof w:val="0"/>
        </w:rPr>
        <w:t xml:space="preserve"> </w:t>
      </w:r>
    </w:p>
    <w:p w14:paraId="36E7B0FC" w14:textId="0F46DD0F" w:rsidR="00DA7DBD" w:rsidRPr="001568C5" w:rsidRDefault="00DA7DBD"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shd w:val="clear" w:color="auto" w:fill="FFFFFF"/>
        </w:rPr>
        <w:t xml:space="preserve">Atherton, J.J., Sindone, A., De Pasquale, C.G., Driscoll, A., MacDonald, P.S., Hopper, I., ... &amp; Connell, C. </w:t>
      </w:r>
      <w:r w:rsidRPr="001568C5">
        <w:rPr>
          <w:rFonts w:asciiTheme="minorHAnsi" w:hAnsiTheme="minorHAnsi" w:cstheme="minorHAnsi"/>
        </w:rPr>
        <w:t>(2018). National Heart Foundation of Australia and Cardiac Society of Australia and New Zealand:</w:t>
      </w:r>
      <w:r w:rsidRPr="001568C5">
        <w:rPr>
          <w:rFonts w:asciiTheme="minorHAnsi" w:hAnsiTheme="minorHAnsi" w:cstheme="minorHAnsi"/>
          <w:spacing w:val="-10"/>
        </w:rPr>
        <w:t xml:space="preserve"> </w:t>
      </w:r>
      <w:r w:rsidRPr="001568C5">
        <w:rPr>
          <w:rFonts w:asciiTheme="minorHAnsi" w:hAnsiTheme="minorHAnsi" w:cstheme="minorHAnsi"/>
        </w:rPr>
        <w:t>guidelines</w:t>
      </w:r>
      <w:r w:rsidRPr="001568C5">
        <w:rPr>
          <w:rFonts w:asciiTheme="minorHAnsi" w:hAnsiTheme="minorHAnsi" w:cstheme="minorHAnsi"/>
          <w:spacing w:val="-10"/>
        </w:rPr>
        <w:t xml:space="preserve"> </w:t>
      </w:r>
      <w:r w:rsidRPr="001568C5">
        <w:rPr>
          <w:rFonts w:asciiTheme="minorHAnsi" w:hAnsiTheme="minorHAnsi" w:cstheme="minorHAnsi"/>
        </w:rPr>
        <w:t>for</w:t>
      </w:r>
      <w:r w:rsidRPr="001568C5">
        <w:rPr>
          <w:rFonts w:asciiTheme="minorHAnsi" w:hAnsiTheme="minorHAnsi" w:cstheme="minorHAnsi"/>
          <w:spacing w:val="-10"/>
        </w:rPr>
        <w:t xml:space="preserve"> </w:t>
      </w:r>
      <w:r w:rsidRPr="001568C5">
        <w:rPr>
          <w:rFonts w:asciiTheme="minorHAnsi" w:hAnsiTheme="minorHAnsi" w:cstheme="minorHAnsi"/>
        </w:rPr>
        <w:t>the</w:t>
      </w:r>
      <w:r w:rsidRPr="001568C5">
        <w:rPr>
          <w:rFonts w:asciiTheme="minorHAnsi" w:hAnsiTheme="minorHAnsi" w:cstheme="minorHAnsi"/>
          <w:spacing w:val="-10"/>
        </w:rPr>
        <w:t xml:space="preserve"> </w:t>
      </w:r>
      <w:r w:rsidRPr="001568C5">
        <w:rPr>
          <w:rFonts w:asciiTheme="minorHAnsi" w:hAnsiTheme="minorHAnsi" w:cstheme="minorHAnsi"/>
        </w:rPr>
        <w:t>prevention, detection,</w:t>
      </w:r>
      <w:r w:rsidRPr="001568C5">
        <w:rPr>
          <w:rFonts w:asciiTheme="minorHAnsi" w:hAnsiTheme="minorHAnsi" w:cstheme="minorHAnsi"/>
          <w:spacing w:val="-9"/>
        </w:rPr>
        <w:t xml:space="preserve"> </w:t>
      </w:r>
      <w:r w:rsidRPr="001568C5">
        <w:rPr>
          <w:rFonts w:asciiTheme="minorHAnsi" w:hAnsiTheme="minorHAnsi" w:cstheme="minorHAnsi"/>
        </w:rPr>
        <w:t>and</w:t>
      </w:r>
      <w:r w:rsidRPr="001568C5">
        <w:rPr>
          <w:rFonts w:asciiTheme="minorHAnsi" w:hAnsiTheme="minorHAnsi" w:cstheme="minorHAnsi"/>
          <w:spacing w:val="-6"/>
        </w:rPr>
        <w:t xml:space="preserve"> </w:t>
      </w:r>
      <w:r w:rsidRPr="001568C5">
        <w:rPr>
          <w:rFonts w:asciiTheme="minorHAnsi" w:hAnsiTheme="minorHAnsi" w:cstheme="minorHAnsi"/>
        </w:rPr>
        <w:t>management</w:t>
      </w:r>
      <w:r w:rsidRPr="001568C5">
        <w:rPr>
          <w:rFonts w:asciiTheme="minorHAnsi" w:hAnsiTheme="minorHAnsi" w:cstheme="minorHAnsi"/>
          <w:spacing w:val="-6"/>
        </w:rPr>
        <w:t xml:space="preserve"> </w:t>
      </w:r>
      <w:r w:rsidRPr="001568C5">
        <w:rPr>
          <w:rFonts w:asciiTheme="minorHAnsi" w:hAnsiTheme="minorHAnsi" w:cstheme="minorHAnsi"/>
        </w:rPr>
        <w:t>of</w:t>
      </w:r>
      <w:r w:rsidRPr="001568C5">
        <w:rPr>
          <w:rFonts w:asciiTheme="minorHAnsi" w:hAnsiTheme="minorHAnsi" w:cstheme="minorHAnsi"/>
          <w:spacing w:val="-6"/>
        </w:rPr>
        <w:t xml:space="preserve"> </w:t>
      </w:r>
      <w:r w:rsidRPr="001568C5">
        <w:rPr>
          <w:rFonts w:asciiTheme="minorHAnsi" w:hAnsiTheme="minorHAnsi" w:cstheme="minorHAnsi"/>
          <w:spacing w:val="-2"/>
        </w:rPr>
        <w:t xml:space="preserve">heart </w:t>
      </w:r>
      <w:r w:rsidRPr="001568C5">
        <w:rPr>
          <w:rFonts w:asciiTheme="minorHAnsi" w:hAnsiTheme="minorHAnsi" w:cstheme="minorHAnsi"/>
        </w:rPr>
        <w:t>failure</w:t>
      </w:r>
      <w:r w:rsidRPr="001568C5">
        <w:rPr>
          <w:rFonts w:asciiTheme="minorHAnsi" w:hAnsiTheme="minorHAnsi" w:cstheme="minorHAnsi"/>
          <w:spacing w:val="-8"/>
        </w:rPr>
        <w:t xml:space="preserve"> </w:t>
      </w:r>
      <w:r w:rsidRPr="001568C5">
        <w:rPr>
          <w:rFonts w:asciiTheme="minorHAnsi" w:hAnsiTheme="minorHAnsi" w:cstheme="minorHAnsi"/>
        </w:rPr>
        <w:t>in</w:t>
      </w:r>
      <w:r w:rsidRPr="001568C5">
        <w:rPr>
          <w:rFonts w:asciiTheme="minorHAnsi" w:hAnsiTheme="minorHAnsi" w:cstheme="minorHAnsi"/>
          <w:spacing w:val="-8"/>
        </w:rPr>
        <w:t xml:space="preserve"> </w:t>
      </w:r>
      <w:r w:rsidRPr="001568C5">
        <w:rPr>
          <w:rFonts w:asciiTheme="minorHAnsi" w:hAnsiTheme="minorHAnsi" w:cstheme="minorHAnsi"/>
        </w:rPr>
        <w:t>Australia.</w:t>
      </w:r>
      <w:r w:rsidRPr="001568C5">
        <w:rPr>
          <w:rFonts w:asciiTheme="minorHAnsi" w:hAnsiTheme="minorHAnsi" w:cstheme="minorHAnsi"/>
          <w:spacing w:val="-8"/>
        </w:rPr>
        <w:t xml:space="preserve"> </w:t>
      </w:r>
      <w:r w:rsidRPr="001568C5">
        <w:rPr>
          <w:rFonts w:asciiTheme="minorHAnsi" w:hAnsiTheme="minorHAnsi" w:cstheme="minorHAnsi"/>
          <w:i/>
        </w:rPr>
        <w:t>Heart,</w:t>
      </w:r>
      <w:r w:rsidRPr="001568C5">
        <w:rPr>
          <w:rFonts w:asciiTheme="minorHAnsi" w:hAnsiTheme="minorHAnsi" w:cstheme="minorHAnsi"/>
          <w:i/>
          <w:spacing w:val="-8"/>
        </w:rPr>
        <w:t xml:space="preserve"> </w:t>
      </w:r>
      <w:r w:rsidRPr="001568C5">
        <w:rPr>
          <w:rFonts w:asciiTheme="minorHAnsi" w:hAnsiTheme="minorHAnsi" w:cstheme="minorHAnsi"/>
          <w:i/>
        </w:rPr>
        <w:t>Lung</w:t>
      </w:r>
      <w:r w:rsidRPr="001568C5">
        <w:rPr>
          <w:rFonts w:asciiTheme="minorHAnsi" w:hAnsiTheme="minorHAnsi" w:cstheme="minorHAnsi"/>
          <w:i/>
          <w:spacing w:val="-8"/>
        </w:rPr>
        <w:t xml:space="preserve"> </w:t>
      </w:r>
      <w:r w:rsidRPr="001568C5">
        <w:rPr>
          <w:rFonts w:asciiTheme="minorHAnsi" w:hAnsiTheme="minorHAnsi" w:cstheme="minorHAnsi"/>
          <w:i/>
        </w:rPr>
        <w:t>and Circulation</w:t>
      </w:r>
      <w:r w:rsidRPr="001568C5">
        <w:rPr>
          <w:rFonts w:asciiTheme="minorHAnsi" w:hAnsiTheme="minorHAnsi" w:cstheme="minorHAnsi"/>
        </w:rPr>
        <w:t xml:space="preserve">, </w:t>
      </w:r>
      <w:r w:rsidRPr="001568C5">
        <w:rPr>
          <w:rFonts w:asciiTheme="minorHAnsi" w:hAnsiTheme="minorHAnsi" w:cstheme="minorHAnsi"/>
          <w:i/>
        </w:rPr>
        <w:t>27</w:t>
      </w:r>
      <w:r w:rsidRPr="001568C5">
        <w:rPr>
          <w:rFonts w:asciiTheme="minorHAnsi" w:hAnsiTheme="minorHAnsi" w:cstheme="minorHAnsi"/>
        </w:rPr>
        <w:t xml:space="preserve">(10), 1123-1208. </w:t>
      </w:r>
      <w:r w:rsidRPr="001568C5">
        <w:rPr>
          <w:rFonts w:asciiTheme="minorHAnsi" w:hAnsiTheme="minorHAnsi" w:cstheme="minorHAnsi"/>
          <w:spacing w:val="-2"/>
        </w:rPr>
        <w:t>DOI:10.1016/j.hlc.2018.06.1042</w:t>
      </w:r>
    </w:p>
    <w:p w14:paraId="3CFE1FF3" w14:textId="77777777" w:rsidR="00EB2B55" w:rsidRPr="00607787" w:rsidRDefault="00EB2B55" w:rsidP="003414BB">
      <w:pPr>
        <w:pStyle w:val="EndNoteBibliography"/>
        <w:ind w:left="720" w:hanging="720"/>
        <w:jc w:val="both"/>
        <w:rPr>
          <w:noProof w:val="0"/>
        </w:rPr>
      </w:pPr>
      <w:r w:rsidRPr="00607787">
        <w:rPr>
          <w:noProof w:val="0"/>
        </w:rPr>
        <w:t xml:space="preserve">Austin, M., Highet, N., &amp; the Expert Working Group. (2017). </w:t>
      </w:r>
      <w:r w:rsidRPr="00607787">
        <w:rPr>
          <w:i/>
          <w:noProof w:val="0"/>
        </w:rPr>
        <w:t xml:space="preserve">Mental Health Care in the Perinatal Period: Australian Clinical Practice Guideline. </w:t>
      </w:r>
      <w:r w:rsidRPr="00607787">
        <w:rPr>
          <w:iCs/>
          <w:noProof w:val="0"/>
        </w:rPr>
        <w:t>Melbourne: Centre of Perinatal Excellence.</w:t>
      </w:r>
      <w:r w:rsidRPr="00607787">
        <w:rPr>
          <w:noProof w:val="0"/>
        </w:rPr>
        <w:t xml:space="preserve"> </w:t>
      </w:r>
      <w:r w:rsidRPr="00607787">
        <w:rPr>
          <w:rStyle w:val="Hyperlink"/>
          <w:noProof w:val="0"/>
        </w:rPr>
        <w:t>https://www.cope.org.au/wp-content/uploads/2018/05/COPE-Perinatal-MH-Guideline_Final-2018.pdf</w:t>
      </w:r>
    </w:p>
    <w:p w14:paraId="7C1C7DAC" w14:textId="628CDB5F" w:rsidR="00EB2B55" w:rsidRPr="00607787" w:rsidRDefault="00EB2B55" w:rsidP="003414BB">
      <w:pPr>
        <w:pStyle w:val="EndNoteBibliography"/>
        <w:ind w:left="720" w:hanging="720"/>
        <w:jc w:val="both"/>
        <w:rPr>
          <w:noProof w:val="0"/>
        </w:rPr>
      </w:pPr>
      <w:r w:rsidRPr="00607787">
        <w:rPr>
          <w:noProof w:val="0"/>
        </w:rPr>
        <w:t xml:space="preserve">Australian Human Rights Commission. </w:t>
      </w:r>
      <w:r w:rsidRPr="00607787">
        <w:rPr>
          <w:i/>
          <w:noProof w:val="0"/>
        </w:rPr>
        <w:t xml:space="preserve">Let's </w:t>
      </w:r>
      <w:r w:rsidR="00E16160" w:rsidRPr="00607787">
        <w:rPr>
          <w:i/>
          <w:noProof w:val="0"/>
        </w:rPr>
        <w:t xml:space="preserve">Talk About Equality </w:t>
      </w:r>
      <w:r w:rsidRPr="00607787">
        <w:rPr>
          <w:i/>
          <w:noProof w:val="0"/>
        </w:rPr>
        <w:t xml:space="preserve">and </w:t>
      </w:r>
      <w:r w:rsidR="00E16160" w:rsidRPr="00607787">
        <w:rPr>
          <w:i/>
          <w:noProof w:val="0"/>
        </w:rPr>
        <w:t>Equity</w:t>
      </w:r>
      <w:r w:rsidRPr="00607787">
        <w:rPr>
          <w:i/>
          <w:noProof w:val="0"/>
        </w:rPr>
        <w:t xml:space="preserve">. </w:t>
      </w:r>
      <w:r w:rsidRPr="00607787">
        <w:rPr>
          <w:iCs/>
          <w:noProof w:val="0"/>
        </w:rPr>
        <w:t xml:space="preserve">Sydney. </w:t>
      </w:r>
      <w:r w:rsidRPr="00607787">
        <w:rPr>
          <w:rStyle w:val="Hyperlink"/>
          <w:noProof w:val="0"/>
        </w:rPr>
        <w:t>https://humanrights.gov.au/about</w:t>
      </w:r>
    </w:p>
    <w:p w14:paraId="6C0E2BDD" w14:textId="0E13AB21" w:rsidR="00EB2B55" w:rsidRPr="00607787" w:rsidRDefault="00EB2B55" w:rsidP="003414BB">
      <w:pPr>
        <w:pStyle w:val="EndNoteBibliography"/>
        <w:ind w:left="720" w:hanging="720"/>
        <w:jc w:val="both"/>
        <w:rPr>
          <w:noProof w:val="0"/>
        </w:rPr>
      </w:pPr>
      <w:proofErr w:type="spellStart"/>
      <w:r w:rsidRPr="00607787">
        <w:rPr>
          <w:noProof w:val="0"/>
        </w:rPr>
        <w:t>Barha</w:t>
      </w:r>
      <w:proofErr w:type="spellEnd"/>
      <w:r w:rsidRPr="00607787">
        <w:rPr>
          <w:noProof w:val="0"/>
        </w:rPr>
        <w:t xml:space="preserve">, C.K., Hsiung, G.R., Best, J.R., Davis, J.C., Eng, J.J., Jacova, C., Lee, P.E., </w:t>
      </w:r>
      <w:proofErr w:type="spellStart"/>
      <w:r w:rsidRPr="00607787">
        <w:rPr>
          <w:noProof w:val="0"/>
        </w:rPr>
        <w:t>Munkacsy</w:t>
      </w:r>
      <w:proofErr w:type="spellEnd"/>
      <w:r w:rsidRPr="00607787">
        <w:rPr>
          <w:noProof w:val="0"/>
        </w:rPr>
        <w:t xml:space="preserve">, M., Cheung, W., &amp; Liu-Ambrose, T. (2017). Sex </w:t>
      </w:r>
      <w:r w:rsidR="0032012A" w:rsidRPr="00607787">
        <w:rPr>
          <w:noProof w:val="0"/>
        </w:rPr>
        <w:t>difference in aerobic exercise efficacy to improve cognition in older adults with vascular cognitive impairment</w:t>
      </w:r>
      <w:r w:rsidRPr="00607787">
        <w:rPr>
          <w:noProof w:val="0"/>
        </w:rPr>
        <w:t xml:space="preserve">: Secondary </w:t>
      </w:r>
      <w:r w:rsidR="0032012A" w:rsidRPr="00607787">
        <w:rPr>
          <w:noProof w:val="0"/>
        </w:rPr>
        <w:t>analysis of a randomized controlled trial</w:t>
      </w:r>
      <w:r w:rsidRPr="00607787">
        <w:rPr>
          <w:noProof w:val="0"/>
        </w:rPr>
        <w:t xml:space="preserve">. </w:t>
      </w:r>
      <w:r w:rsidRPr="00607787">
        <w:rPr>
          <w:i/>
          <w:noProof w:val="0"/>
        </w:rPr>
        <w:t xml:space="preserve">J </w:t>
      </w:r>
      <w:proofErr w:type="spellStart"/>
      <w:r w:rsidRPr="00607787">
        <w:rPr>
          <w:i/>
          <w:noProof w:val="0"/>
        </w:rPr>
        <w:t>Alzheimers</w:t>
      </w:r>
      <w:proofErr w:type="spellEnd"/>
      <w:r w:rsidRPr="00607787">
        <w:rPr>
          <w:i/>
          <w:noProof w:val="0"/>
        </w:rPr>
        <w:t xml:space="preserve"> Dis, 60</w:t>
      </w:r>
      <w:r w:rsidRPr="00607787">
        <w:rPr>
          <w:noProof w:val="0"/>
        </w:rPr>
        <w:t xml:space="preserve">(4), 1397-1410. </w:t>
      </w:r>
      <w:r w:rsidR="0032012A" w:rsidRPr="00607787">
        <w:rPr>
          <w:noProof w:val="0"/>
        </w:rPr>
        <w:t>DOI:</w:t>
      </w:r>
      <w:r w:rsidRPr="00607787">
        <w:rPr>
          <w:rStyle w:val="Hyperlink"/>
          <w:noProof w:val="0"/>
        </w:rPr>
        <w:t>10.3233/jad-170221</w:t>
      </w:r>
      <w:r w:rsidRPr="00607787">
        <w:rPr>
          <w:noProof w:val="0"/>
        </w:rPr>
        <w:t xml:space="preserve"> </w:t>
      </w:r>
    </w:p>
    <w:p w14:paraId="76B5AB34" w14:textId="00042265" w:rsidR="00EB2B55" w:rsidRDefault="00EB2B55" w:rsidP="003414BB">
      <w:pPr>
        <w:pStyle w:val="EndNoteBibliography"/>
        <w:ind w:left="720" w:hanging="720"/>
        <w:jc w:val="both"/>
        <w:rPr>
          <w:noProof w:val="0"/>
        </w:rPr>
      </w:pPr>
      <w:proofErr w:type="spellStart"/>
      <w:r w:rsidRPr="00607787">
        <w:rPr>
          <w:noProof w:val="0"/>
        </w:rPr>
        <w:t>Barlek</w:t>
      </w:r>
      <w:proofErr w:type="spellEnd"/>
      <w:r w:rsidRPr="00607787">
        <w:rPr>
          <w:noProof w:val="0"/>
        </w:rPr>
        <w:t xml:space="preserve">, M.H., </w:t>
      </w:r>
      <w:proofErr w:type="spellStart"/>
      <w:r w:rsidRPr="00607787">
        <w:rPr>
          <w:noProof w:val="0"/>
        </w:rPr>
        <w:t>Rouan</w:t>
      </w:r>
      <w:proofErr w:type="spellEnd"/>
      <w:r w:rsidRPr="00607787">
        <w:rPr>
          <w:noProof w:val="0"/>
        </w:rPr>
        <w:t xml:space="preserve">, J.R., Wyatt, T.G., </w:t>
      </w:r>
      <w:proofErr w:type="spellStart"/>
      <w:r w:rsidRPr="00607787">
        <w:rPr>
          <w:noProof w:val="0"/>
        </w:rPr>
        <w:t>Helenowski</w:t>
      </w:r>
      <w:proofErr w:type="spellEnd"/>
      <w:r w:rsidRPr="00607787">
        <w:rPr>
          <w:noProof w:val="0"/>
        </w:rPr>
        <w:t xml:space="preserve">, I., &amp; Kibbe, M.R. (2022). The </w:t>
      </w:r>
      <w:r w:rsidR="0028163E" w:rsidRPr="00607787">
        <w:rPr>
          <w:noProof w:val="0"/>
        </w:rPr>
        <w:t>persistence of sex bias in high-impact clinical research.</w:t>
      </w:r>
      <w:r w:rsidRPr="00607787">
        <w:rPr>
          <w:noProof w:val="0"/>
        </w:rPr>
        <w:t xml:space="preserve"> </w:t>
      </w:r>
      <w:r w:rsidRPr="00607787">
        <w:rPr>
          <w:i/>
          <w:noProof w:val="0"/>
        </w:rPr>
        <w:t>J Surg Res, 278</w:t>
      </w:r>
      <w:r w:rsidRPr="00607787">
        <w:rPr>
          <w:noProof w:val="0"/>
        </w:rPr>
        <w:t xml:space="preserve">, 364-374. </w:t>
      </w:r>
      <w:proofErr w:type="gramStart"/>
      <w:r w:rsidR="0028163E" w:rsidRPr="00607787">
        <w:rPr>
          <w:noProof w:val="0"/>
        </w:rPr>
        <w:t>DOI:</w:t>
      </w:r>
      <w:r w:rsidRPr="00607787">
        <w:rPr>
          <w:rStyle w:val="Hyperlink"/>
          <w:noProof w:val="0"/>
        </w:rPr>
        <w:t>10.1016/j.jss</w:t>
      </w:r>
      <w:proofErr w:type="gramEnd"/>
      <w:r w:rsidRPr="00607787">
        <w:rPr>
          <w:rStyle w:val="Hyperlink"/>
          <w:noProof w:val="0"/>
        </w:rPr>
        <w:t>.2022.04.077</w:t>
      </w:r>
      <w:r w:rsidRPr="00607787">
        <w:rPr>
          <w:noProof w:val="0"/>
        </w:rPr>
        <w:t xml:space="preserve"> </w:t>
      </w:r>
    </w:p>
    <w:p w14:paraId="39A81CE9" w14:textId="651BD162" w:rsidR="009049E4" w:rsidRPr="001568C5" w:rsidRDefault="005F66CA"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shd w:val="clear" w:color="auto" w:fill="FFFFFF"/>
        </w:rPr>
        <w:t>Brieger D., Amerena J., Attia J., Bajorek B., Chan K.H., Connell C., Freedman B., Ferguson C., …, Zwar N</w:t>
      </w:r>
      <w:r w:rsidR="009049E4" w:rsidRPr="001568C5">
        <w:rPr>
          <w:rFonts w:asciiTheme="minorHAnsi" w:hAnsiTheme="minorHAnsi" w:cstheme="minorHAnsi"/>
        </w:rPr>
        <w:t xml:space="preserve">. (2018). National Heart Foundation of Australia and Cardiac Society of Australia and New Zealand: Australian clinical guidelines for the diagnosis and management of atrial fibrillation </w:t>
      </w:r>
      <w:r w:rsidR="009049E4" w:rsidRPr="001568C5">
        <w:rPr>
          <w:rFonts w:asciiTheme="minorHAnsi" w:hAnsiTheme="minorHAnsi" w:cstheme="minorHAnsi"/>
          <w:i/>
        </w:rPr>
        <w:t>Heart, Lung and Circulation, 27</w:t>
      </w:r>
      <w:r w:rsidR="009049E4" w:rsidRPr="001568C5">
        <w:rPr>
          <w:rFonts w:asciiTheme="minorHAnsi" w:hAnsiTheme="minorHAnsi" w:cstheme="minorHAnsi"/>
        </w:rPr>
        <w:t>, 1209–1266. DOI:10.1016/j.hlc.2018.06.1043</w:t>
      </w:r>
    </w:p>
    <w:p w14:paraId="3275D5B7" w14:textId="2EE6E2E7" w:rsidR="00EB2B55" w:rsidRDefault="00EB2B55" w:rsidP="00A53ABD">
      <w:pPr>
        <w:pStyle w:val="EndNoteBibliography"/>
        <w:ind w:left="720" w:hanging="720"/>
        <w:jc w:val="both"/>
        <w:rPr>
          <w:noProof w:val="0"/>
        </w:rPr>
      </w:pPr>
      <w:r w:rsidRPr="00607787">
        <w:rPr>
          <w:noProof w:val="0"/>
        </w:rPr>
        <w:lastRenderedPageBreak/>
        <w:t xml:space="preserve">Brucki, B.M., Bagade, T., &amp; Majeed, T. (2023). A health impact assessment of gender inequities associated with psychological distress during COVID19 in Australia’s most locked down state—Victoria. </w:t>
      </w:r>
      <w:r w:rsidRPr="00607787">
        <w:rPr>
          <w:i/>
          <w:noProof w:val="0"/>
        </w:rPr>
        <w:t>BMC Public Health, 23</w:t>
      </w:r>
      <w:r w:rsidRPr="00607787">
        <w:rPr>
          <w:noProof w:val="0"/>
        </w:rPr>
        <w:t>(233).</w:t>
      </w:r>
      <w:r w:rsidR="00507134" w:rsidRPr="00607787">
        <w:rPr>
          <w:noProof w:val="0"/>
        </w:rPr>
        <w:t xml:space="preserve"> DOI:</w:t>
      </w:r>
      <w:r w:rsidRPr="00607787">
        <w:rPr>
          <w:rStyle w:val="Hyperlink"/>
          <w:noProof w:val="0"/>
        </w:rPr>
        <w:t>10.1186/s12889-022-14356-6</w:t>
      </w:r>
      <w:r w:rsidRPr="00607787">
        <w:rPr>
          <w:noProof w:val="0"/>
        </w:rPr>
        <w:t xml:space="preserve"> </w:t>
      </w:r>
    </w:p>
    <w:p w14:paraId="6A9B7701" w14:textId="179CD168" w:rsidR="00204FEB" w:rsidRDefault="00427696" w:rsidP="003414BB">
      <w:pPr>
        <w:pStyle w:val="EndNoteBibliography"/>
        <w:ind w:left="720" w:hanging="720"/>
        <w:jc w:val="both"/>
        <w:rPr>
          <w:rFonts w:asciiTheme="minorHAnsi" w:hAnsiTheme="minorHAnsi" w:cstheme="minorHAnsi"/>
        </w:rPr>
      </w:pPr>
      <w:r w:rsidRPr="001568C5">
        <w:rPr>
          <w:rFonts w:asciiTheme="minorHAnsi" w:hAnsiTheme="minorHAnsi" w:cstheme="minorHAnsi"/>
          <w:color w:val="222222"/>
          <w:shd w:val="clear" w:color="auto" w:fill="FFFFFF"/>
        </w:rPr>
        <w:t xml:space="preserve">Carter, G., Page, A., Large, M., Hetrick, S., Milner, A.J., Bendit, N., ... &amp; Christensen, H. </w:t>
      </w:r>
      <w:r w:rsidRPr="001568C5">
        <w:rPr>
          <w:rFonts w:asciiTheme="minorHAnsi" w:hAnsiTheme="minorHAnsi" w:cstheme="minorHAnsi"/>
          <w:shd w:val="clear" w:color="auto" w:fill="FFFFFF"/>
        </w:rPr>
        <w:t xml:space="preserve">(2016). Royal Australian and New Zealand College of Psychiatrists clinical practice guideline for the management of deliberate self-harm. </w:t>
      </w:r>
      <w:r w:rsidRPr="001568C5">
        <w:rPr>
          <w:rFonts w:asciiTheme="minorHAnsi" w:hAnsiTheme="minorHAnsi" w:cstheme="minorHAnsi"/>
          <w:i/>
          <w:iCs/>
          <w:shd w:val="clear" w:color="auto" w:fill="FFFFFF"/>
        </w:rPr>
        <w:t>ANZ J Psychiat</w:t>
      </w:r>
      <w:r w:rsidRPr="001568C5">
        <w:rPr>
          <w:rFonts w:asciiTheme="minorHAnsi" w:hAnsiTheme="minorHAnsi" w:cstheme="minorHAnsi"/>
          <w:shd w:val="clear" w:color="auto" w:fill="FFFFFF"/>
        </w:rPr>
        <w:t xml:space="preserve">, </w:t>
      </w:r>
      <w:r w:rsidRPr="001568C5">
        <w:rPr>
          <w:rFonts w:asciiTheme="minorHAnsi" w:hAnsiTheme="minorHAnsi" w:cstheme="minorHAnsi"/>
          <w:i/>
          <w:iCs/>
          <w:shd w:val="clear" w:color="auto" w:fill="FFFFFF"/>
        </w:rPr>
        <w:t>50</w:t>
      </w:r>
      <w:r w:rsidRPr="001568C5">
        <w:rPr>
          <w:rFonts w:asciiTheme="minorHAnsi" w:hAnsiTheme="minorHAnsi" w:cstheme="minorHAnsi"/>
          <w:shd w:val="clear" w:color="auto" w:fill="FFFFFF"/>
        </w:rPr>
        <w:t>(10), 939-1000. DOI:</w:t>
      </w:r>
      <w:r w:rsidRPr="001568C5">
        <w:rPr>
          <w:rFonts w:asciiTheme="minorHAnsi" w:hAnsiTheme="minorHAnsi" w:cstheme="minorHAnsi"/>
        </w:rPr>
        <w:t>10.1177/0004867416661039</w:t>
      </w:r>
    </w:p>
    <w:p w14:paraId="745250C0" w14:textId="0FC9BD45" w:rsidR="009D3775" w:rsidRPr="001568C5" w:rsidRDefault="00831A84"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color w:val="222222"/>
          <w:shd w:val="clear" w:color="auto" w:fill="FFFFFF"/>
        </w:rPr>
        <w:t xml:space="preserve">Chang, A.B., Bell, S.C., Byrnes, C.A., Dawkins, P., Holland, A.E., Kennedy, E., ... &amp; Grimwood, K. </w:t>
      </w:r>
      <w:r w:rsidR="009D3775" w:rsidRPr="00A53ABD">
        <w:rPr>
          <w:rFonts w:asciiTheme="minorHAnsi" w:hAnsiTheme="minorHAnsi" w:cstheme="minorHAnsi"/>
        </w:rPr>
        <w:t>(2023).</w:t>
      </w:r>
      <w:r w:rsidR="009D3775" w:rsidRPr="005C2A40">
        <w:rPr>
          <w:rFonts w:asciiTheme="minorHAnsi" w:hAnsiTheme="minorHAnsi" w:cstheme="minorHAnsi"/>
          <w:spacing w:val="-6"/>
        </w:rPr>
        <w:t xml:space="preserve"> </w:t>
      </w:r>
      <w:r w:rsidR="009D3775" w:rsidRPr="00831A84">
        <w:rPr>
          <w:rFonts w:asciiTheme="minorHAnsi" w:hAnsiTheme="minorHAnsi" w:cstheme="minorHAnsi"/>
        </w:rPr>
        <w:t>Thoracic</w:t>
      </w:r>
      <w:r w:rsidR="009D3775" w:rsidRPr="00831A84">
        <w:rPr>
          <w:rFonts w:asciiTheme="minorHAnsi" w:hAnsiTheme="minorHAnsi" w:cstheme="minorHAnsi"/>
          <w:spacing w:val="-7"/>
        </w:rPr>
        <w:t xml:space="preserve"> </w:t>
      </w:r>
      <w:r w:rsidR="009D3775" w:rsidRPr="00831A84">
        <w:rPr>
          <w:rFonts w:asciiTheme="minorHAnsi" w:hAnsiTheme="minorHAnsi" w:cstheme="minorHAnsi"/>
        </w:rPr>
        <w:t xml:space="preserve">Society of Australia and New Zealand (TSANZ) position statement on chronic suppurative lung disease and bronchiectasis in children, adolescents and adults in Australia and New Zealand. </w:t>
      </w:r>
      <w:r w:rsidR="009D3775" w:rsidRPr="00831A84">
        <w:rPr>
          <w:rFonts w:asciiTheme="minorHAnsi" w:hAnsiTheme="minorHAnsi" w:cstheme="minorHAnsi"/>
          <w:i/>
        </w:rPr>
        <w:t>Respirology</w:t>
      </w:r>
      <w:r w:rsidR="009D3775" w:rsidRPr="00831A84">
        <w:rPr>
          <w:rFonts w:asciiTheme="minorHAnsi" w:hAnsiTheme="minorHAnsi" w:cstheme="minorHAnsi"/>
        </w:rPr>
        <w:t>, 28(4): 339–349. DOI:</w:t>
      </w:r>
      <w:r w:rsidR="009D3775" w:rsidRPr="00831A84">
        <w:rPr>
          <w:rFonts w:asciiTheme="minorHAnsi" w:hAnsiTheme="minorHAnsi" w:cstheme="minorHAnsi"/>
          <w:spacing w:val="-2"/>
        </w:rPr>
        <w:t>10.1111/resp.14479</w:t>
      </w:r>
    </w:p>
    <w:p w14:paraId="7056C0F4" w14:textId="530211F5" w:rsidR="00EB2B55" w:rsidRDefault="00EB2B55" w:rsidP="003414BB">
      <w:pPr>
        <w:pStyle w:val="EndNoteBibliography"/>
        <w:ind w:left="720" w:hanging="720"/>
        <w:jc w:val="both"/>
        <w:rPr>
          <w:noProof w:val="0"/>
        </w:rPr>
      </w:pPr>
      <w:r w:rsidRPr="00607787">
        <w:rPr>
          <w:noProof w:val="0"/>
        </w:rPr>
        <w:t xml:space="preserve">Cheung, A.S., Wynne, K., Erasmus, J., Murray, S., &amp; Zajac, J.D. (2019). Position statement on the hormonal management of adult transgender and gender diverse individuals. </w:t>
      </w:r>
      <w:r w:rsidRPr="00607787">
        <w:rPr>
          <w:i/>
          <w:noProof w:val="0"/>
        </w:rPr>
        <w:t>Med J Aust, 211</w:t>
      </w:r>
      <w:r w:rsidRPr="00607787">
        <w:rPr>
          <w:noProof w:val="0"/>
        </w:rPr>
        <w:t>(3), 127-133.</w:t>
      </w:r>
      <w:r w:rsidR="002D0A3E" w:rsidRPr="00607787">
        <w:rPr>
          <w:noProof w:val="0"/>
        </w:rPr>
        <w:t xml:space="preserve"> DOI:</w:t>
      </w:r>
      <w:r w:rsidRPr="00607787">
        <w:rPr>
          <w:rStyle w:val="Hyperlink"/>
          <w:noProof w:val="0"/>
        </w:rPr>
        <w:t>10.5694/mja2.50259</w:t>
      </w:r>
      <w:r w:rsidRPr="00607787">
        <w:rPr>
          <w:noProof w:val="0"/>
        </w:rPr>
        <w:t xml:space="preserve"> </w:t>
      </w:r>
    </w:p>
    <w:p w14:paraId="1177D440" w14:textId="405829D8" w:rsidR="00E15655" w:rsidRPr="001568C5" w:rsidRDefault="00E15655" w:rsidP="001568C5">
      <w:pPr>
        <w:pStyle w:val="EndNoteBibliography"/>
        <w:keepLines/>
        <w:ind w:left="720" w:hanging="720"/>
        <w:jc w:val="both"/>
        <w:rPr>
          <w:rFonts w:asciiTheme="minorHAnsi" w:hAnsiTheme="minorHAnsi" w:cstheme="minorHAnsi"/>
          <w:noProof w:val="0"/>
        </w:rPr>
      </w:pPr>
      <w:r w:rsidRPr="001568C5">
        <w:rPr>
          <w:rFonts w:asciiTheme="minorHAnsi" w:hAnsiTheme="minorHAnsi" w:cstheme="minorHAnsi"/>
          <w:color w:val="222222"/>
          <w:shd w:val="clear" w:color="auto" w:fill="FFFFFF"/>
        </w:rPr>
        <w:t xml:space="preserve">Chew, D.P., Scott, I.A., Cullen, L., French, J.K., Briffa, T.G., Tideman, P.A., ... &amp; Aylward, P.E. </w:t>
      </w:r>
      <w:r w:rsidRPr="00A53ABD">
        <w:rPr>
          <w:rFonts w:asciiTheme="minorHAnsi" w:hAnsiTheme="minorHAnsi" w:cstheme="minorHAnsi"/>
        </w:rPr>
        <w:t>(2016).</w:t>
      </w:r>
      <w:r w:rsidRPr="005C2A40">
        <w:rPr>
          <w:rFonts w:asciiTheme="minorHAnsi" w:hAnsiTheme="minorHAnsi" w:cstheme="minorHAnsi"/>
          <w:spacing w:val="-7"/>
        </w:rPr>
        <w:t xml:space="preserve"> </w:t>
      </w:r>
      <w:r w:rsidRPr="00E15655">
        <w:rPr>
          <w:rFonts w:asciiTheme="minorHAnsi" w:hAnsiTheme="minorHAnsi" w:cstheme="minorHAnsi"/>
        </w:rPr>
        <w:t>National</w:t>
      </w:r>
      <w:r w:rsidRPr="00E15655">
        <w:rPr>
          <w:rFonts w:asciiTheme="minorHAnsi" w:hAnsiTheme="minorHAnsi" w:cstheme="minorHAnsi"/>
          <w:spacing w:val="-7"/>
        </w:rPr>
        <w:t xml:space="preserve"> </w:t>
      </w:r>
      <w:r w:rsidRPr="00E15655">
        <w:rPr>
          <w:rFonts w:asciiTheme="minorHAnsi" w:hAnsiTheme="minorHAnsi" w:cstheme="minorHAnsi"/>
        </w:rPr>
        <w:t xml:space="preserve">Heart Foundation of Australia and Cardiac Society of Australia and New Zealand: Australian clinical guidelines for the management of acute coronary syndromes. </w:t>
      </w:r>
      <w:r w:rsidRPr="00E15655">
        <w:rPr>
          <w:rFonts w:asciiTheme="minorHAnsi" w:hAnsiTheme="minorHAnsi" w:cstheme="minorHAnsi"/>
          <w:i/>
        </w:rPr>
        <w:t>Med J Aust</w:t>
      </w:r>
      <w:r w:rsidRPr="00E15655">
        <w:rPr>
          <w:rFonts w:asciiTheme="minorHAnsi" w:hAnsiTheme="minorHAnsi" w:cstheme="minorHAnsi"/>
        </w:rPr>
        <w:t xml:space="preserve">, </w:t>
      </w:r>
      <w:r w:rsidRPr="00E15655">
        <w:rPr>
          <w:rFonts w:asciiTheme="minorHAnsi" w:hAnsiTheme="minorHAnsi" w:cstheme="minorHAnsi"/>
          <w:i/>
        </w:rPr>
        <w:t>205</w:t>
      </w:r>
      <w:r w:rsidRPr="00E15655">
        <w:rPr>
          <w:rFonts w:asciiTheme="minorHAnsi" w:hAnsiTheme="minorHAnsi" w:cstheme="minorHAnsi"/>
        </w:rPr>
        <w:t xml:space="preserve">(3), 128-133. </w:t>
      </w:r>
      <w:r w:rsidRPr="00E15655">
        <w:rPr>
          <w:rFonts w:asciiTheme="minorHAnsi" w:hAnsiTheme="minorHAnsi" w:cstheme="minorHAnsi"/>
          <w:spacing w:val="-2"/>
        </w:rPr>
        <w:t>DOI:</w:t>
      </w:r>
      <w:r w:rsidRPr="00E15655">
        <w:rPr>
          <w:rFonts w:asciiTheme="minorHAnsi" w:hAnsiTheme="minorHAnsi" w:cstheme="minorHAnsi"/>
          <w:spacing w:val="-2"/>
          <w:u w:val="single"/>
        </w:rPr>
        <w:t>10.5694/mja16.00368</w:t>
      </w:r>
    </w:p>
    <w:p w14:paraId="4B354FF2" w14:textId="7CDB7C0B" w:rsidR="00EB2B55" w:rsidRPr="00607787" w:rsidRDefault="00EB2B55" w:rsidP="003414BB">
      <w:pPr>
        <w:pStyle w:val="EndNoteBibliography"/>
        <w:ind w:left="720" w:hanging="720"/>
        <w:jc w:val="both"/>
        <w:rPr>
          <w:noProof w:val="0"/>
        </w:rPr>
      </w:pPr>
      <w:r w:rsidRPr="00607787">
        <w:rPr>
          <w:noProof w:val="0"/>
        </w:rPr>
        <w:t xml:space="preserve">Clayton, J.A., &amp; Tannenbaum, C. (2016). Reporting </w:t>
      </w:r>
      <w:r w:rsidR="00E46BBB" w:rsidRPr="00607787">
        <w:rPr>
          <w:noProof w:val="0"/>
        </w:rPr>
        <w:t>sex, gender, or both in clinical research</w:t>
      </w:r>
      <w:r w:rsidRPr="00607787">
        <w:rPr>
          <w:noProof w:val="0"/>
        </w:rPr>
        <w:t xml:space="preserve">? </w:t>
      </w:r>
      <w:r w:rsidRPr="00607787">
        <w:rPr>
          <w:i/>
          <w:noProof w:val="0"/>
        </w:rPr>
        <w:t>JAMA, 316</w:t>
      </w:r>
      <w:r w:rsidRPr="00607787">
        <w:rPr>
          <w:noProof w:val="0"/>
        </w:rPr>
        <w:t>(18), 1863-1864.</w:t>
      </w:r>
      <w:r w:rsidR="00E46BBB" w:rsidRPr="00607787">
        <w:rPr>
          <w:noProof w:val="0"/>
        </w:rPr>
        <w:t xml:space="preserve"> DOI:</w:t>
      </w:r>
      <w:r w:rsidRPr="00607787">
        <w:rPr>
          <w:rStyle w:val="Hyperlink"/>
          <w:noProof w:val="0"/>
        </w:rPr>
        <w:t>10.1001/jama.2016.16405</w:t>
      </w:r>
      <w:r w:rsidRPr="00607787">
        <w:rPr>
          <w:noProof w:val="0"/>
        </w:rPr>
        <w:t xml:space="preserve"> </w:t>
      </w:r>
    </w:p>
    <w:p w14:paraId="5748C1C4" w14:textId="59213D1C" w:rsidR="00EB2B55" w:rsidRPr="00607787" w:rsidRDefault="00EB2B55" w:rsidP="003414BB">
      <w:pPr>
        <w:pStyle w:val="EndNoteBibliography"/>
        <w:ind w:left="720" w:hanging="720"/>
        <w:jc w:val="both"/>
        <w:rPr>
          <w:noProof w:val="0"/>
        </w:rPr>
      </w:pPr>
      <w:r w:rsidRPr="00607787">
        <w:rPr>
          <w:noProof w:val="0"/>
        </w:rPr>
        <w:t xml:space="preserve">Cropsey, K.L., Leventhal, A.M., Stevens, E.N., Trent, L.R., Clark, C.B., Lahti, A.C., &amp; Hendricks, P.S. (2014). Expectancies for the effectiveness of different tobacco interventions account for racial and gender differences in motivation to quit and abstinence self-efficacy. </w:t>
      </w:r>
      <w:r w:rsidRPr="00607787">
        <w:rPr>
          <w:i/>
          <w:noProof w:val="0"/>
        </w:rPr>
        <w:t>Nicotine &amp; Tobacco Research, 16</w:t>
      </w:r>
      <w:r w:rsidRPr="00607787">
        <w:rPr>
          <w:noProof w:val="0"/>
        </w:rPr>
        <w:t>(9), 1174-1182.</w:t>
      </w:r>
      <w:r w:rsidR="004D6BE9" w:rsidRPr="00607787">
        <w:rPr>
          <w:noProof w:val="0"/>
        </w:rPr>
        <w:t xml:space="preserve"> DOI:</w:t>
      </w:r>
      <w:r w:rsidRPr="00607787">
        <w:rPr>
          <w:rStyle w:val="Hyperlink"/>
          <w:noProof w:val="0"/>
        </w:rPr>
        <w:t>10.1093/</w:t>
      </w:r>
      <w:proofErr w:type="spellStart"/>
      <w:r w:rsidRPr="00607787">
        <w:rPr>
          <w:rStyle w:val="Hyperlink"/>
          <w:noProof w:val="0"/>
        </w:rPr>
        <w:t>ntr</w:t>
      </w:r>
      <w:proofErr w:type="spellEnd"/>
      <w:r w:rsidRPr="00607787">
        <w:rPr>
          <w:rStyle w:val="Hyperlink"/>
          <w:noProof w:val="0"/>
        </w:rPr>
        <w:t>/ntu048</w:t>
      </w:r>
      <w:r w:rsidRPr="00607787">
        <w:rPr>
          <w:noProof w:val="0"/>
        </w:rPr>
        <w:t xml:space="preserve"> </w:t>
      </w:r>
    </w:p>
    <w:p w14:paraId="1D3E67A7" w14:textId="628CDA4B" w:rsidR="00EB2B55" w:rsidRPr="00607787" w:rsidRDefault="00EB2B55" w:rsidP="003414BB">
      <w:pPr>
        <w:pStyle w:val="EndNoteBibliography"/>
        <w:ind w:left="720" w:hanging="720"/>
        <w:jc w:val="both"/>
        <w:rPr>
          <w:noProof w:val="0"/>
        </w:rPr>
      </w:pPr>
      <w:r w:rsidRPr="00607787">
        <w:rPr>
          <w:noProof w:val="0"/>
        </w:rPr>
        <w:t xml:space="preserve">Day, S., Wu, W., Mason, R., &amp; Rochon, P.A. (2019). Measuring the data gap: inclusion of sex and gender reporting in diabetes research. </w:t>
      </w:r>
      <w:r w:rsidRPr="00607787">
        <w:rPr>
          <w:i/>
          <w:noProof w:val="0"/>
        </w:rPr>
        <w:t xml:space="preserve">Research </w:t>
      </w:r>
      <w:r w:rsidR="00F57D17" w:rsidRPr="00607787">
        <w:rPr>
          <w:i/>
          <w:noProof w:val="0"/>
        </w:rPr>
        <w:t xml:space="preserve">Integrity </w:t>
      </w:r>
      <w:r w:rsidR="00D22A52">
        <w:rPr>
          <w:i/>
          <w:noProof w:val="0"/>
        </w:rPr>
        <w:t>&amp;</w:t>
      </w:r>
      <w:r w:rsidRPr="00607787">
        <w:rPr>
          <w:i/>
          <w:noProof w:val="0"/>
        </w:rPr>
        <w:t xml:space="preserve"> </w:t>
      </w:r>
      <w:r w:rsidR="00F57D17" w:rsidRPr="00607787">
        <w:rPr>
          <w:i/>
          <w:noProof w:val="0"/>
        </w:rPr>
        <w:t>Peer Review</w:t>
      </w:r>
      <w:r w:rsidRPr="00607787">
        <w:rPr>
          <w:i/>
          <w:noProof w:val="0"/>
        </w:rPr>
        <w:t>, 4</w:t>
      </w:r>
      <w:r w:rsidRPr="00607787">
        <w:rPr>
          <w:noProof w:val="0"/>
        </w:rPr>
        <w:t xml:space="preserve">, 9. </w:t>
      </w:r>
      <w:r w:rsidR="00F57D17" w:rsidRPr="00607787">
        <w:rPr>
          <w:noProof w:val="0"/>
        </w:rPr>
        <w:t>DOI:</w:t>
      </w:r>
      <w:r w:rsidRPr="00607787">
        <w:rPr>
          <w:rStyle w:val="Hyperlink"/>
          <w:noProof w:val="0"/>
        </w:rPr>
        <w:t>10.1186/s41073-019-0068-4</w:t>
      </w:r>
      <w:r w:rsidRPr="00607787">
        <w:rPr>
          <w:noProof w:val="0"/>
        </w:rPr>
        <w:t xml:space="preserve"> </w:t>
      </w:r>
    </w:p>
    <w:p w14:paraId="589D298D" w14:textId="3503E2F0" w:rsidR="000A5F8D" w:rsidRPr="00A77016" w:rsidRDefault="000A5F8D" w:rsidP="006108CD">
      <w:pPr>
        <w:pStyle w:val="EndNoteBibliography"/>
        <w:keepLines/>
        <w:ind w:left="720" w:hanging="720"/>
        <w:rPr>
          <w:rFonts w:asciiTheme="minorHAnsi" w:hAnsiTheme="minorHAnsi" w:cstheme="minorHAnsi"/>
          <w:noProof w:val="0"/>
        </w:rPr>
      </w:pPr>
      <w:r w:rsidRPr="00670526">
        <w:rPr>
          <w:rFonts w:asciiTheme="minorHAnsi" w:hAnsiTheme="minorHAnsi" w:cstheme="minorHAnsi"/>
          <w:shd w:val="clear" w:color="auto" w:fill="FFFFFF"/>
        </w:rPr>
        <w:t xml:space="preserve">Department of the Prime Minister and Cabinet. (2024). </w:t>
      </w:r>
      <w:r w:rsidRPr="00670526">
        <w:rPr>
          <w:rFonts w:asciiTheme="minorHAnsi" w:hAnsiTheme="minorHAnsi" w:cstheme="minorHAnsi"/>
          <w:i/>
          <w:shd w:val="clear" w:color="auto" w:fill="FFFFFF"/>
        </w:rPr>
        <w:t>Working for Women: A Strategy for Gender Equality</w:t>
      </w:r>
      <w:r w:rsidRPr="00670526">
        <w:rPr>
          <w:rFonts w:asciiTheme="minorHAnsi" w:hAnsiTheme="minorHAnsi" w:cstheme="minorHAnsi"/>
          <w:shd w:val="clear" w:color="auto" w:fill="FFFFFF"/>
        </w:rPr>
        <w:t xml:space="preserve">. Commonwealth of Australia, Canberra. </w:t>
      </w:r>
      <w:hyperlink r:id="rId17" w:tgtFrame="_blank" w:history="1">
        <w:r w:rsidR="00014A22" w:rsidRPr="00A77016">
          <w:rPr>
            <w:rStyle w:val="Hyperlink"/>
            <w:rFonts w:asciiTheme="minorHAnsi" w:hAnsiTheme="minorHAnsi" w:cstheme="minorHAnsi"/>
            <w:color w:val="1155CC"/>
            <w:shd w:val="clear" w:color="auto" w:fill="FFFFFF"/>
          </w:rPr>
          <w:t>https://genderequality.gov.au/sites/default/files/2024-03/working-for-women-a-strategy-for-gender-equality.pdf</w:t>
        </w:r>
      </w:hyperlink>
    </w:p>
    <w:p w14:paraId="75246ED0" w14:textId="2CE7EDDE" w:rsidR="00EB2B55" w:rsidRPr="00A77016" w:rsidRDefault="00EB2B55" w:rsidP="00A23956">
      <w:pPr>
        <w:pStyle w:val="EndNoteBibliography"/>
        <w:ind w:left="720" w:hanging="720"/>
        <w:rPr>
          <w:rFonts w:asciiTheme="minorHAnsi" w:hAnsiTheme="minorHAnsi" w:cstheme="minorHAnsi"/>
          <w:noProof w:val="0"/>
        </w:rPr>
      </w:pPr>
      <w:r w:rsidRPr="00A77016">
        <w:rPr>
          <w:rFonts w:asciiTheme="minorHAnsi" w:hAnsiTheme="minorHAnsi" w:cstheme="minorHAnsi"/>
          <w:noProof w:val="0"/>
        </w:rPr>
        <w:t xml:space="preserve">Fetherston, H., &amp; </w:t>
      </w:r>
      <w:proofErr w:type="spellStart"/>
      <w:r w:rsidRPr="00A77016">
        <w:rPr>
          <w:rFonts w:asciiTheme="minorHAnsi" w:hAnsiTheme="minorHAnsi" w:cstheme="minorHAnsi"/>
          <w:noProof w:val="0"/>
        </w:rPr>
        <w:t>Craike</w:t>
      </w:r>
      <w:proofErr w:type="spellEnd"/>
      <w:r w:rsidRPr="00A77016">
        <w:rPr>
          <w:rFonts w:asciiTheme="minorHAnsi" w:hAnsiTheme="minorHAnsi" w:cstheme="minorHAnsi"/>
          <w:noProof w:val="0"/>
        </w:rPr>
        <w:t xml:space="preserve">, M. (2020). </w:t>
      </w:r>
      <w:r w:rsidRPr="00A77016">
        <w:rPr>
          <w:rFonts w:asciiTheme="minorHAnsi" w:hAnsiTheme="minorHAnsi" w:cstheme="minorHAnsi"/>
          <w:i/>
          <w:noProof w:val="0"/>
        </w:rPr>
        <w:t xml:space="preserve">Australia’s Gender Health Tracker. </w:t>
      </w:r>
      <w:r w:rsidRPr="00A77016">
        <w:rPr>
          <w:rFonts w:asciiTheme="minorHAnsi" w:hAnsiTheme="minorHAnsi" w:cstheme="minorHAnsi"/>
          <w:noProof w:val="0"/>
        </w:rPr>
        <w:t xml:space="preserve">Australian Health Policy Collaboration, Mitchell Institute, Victoria University. </w:t>
      </w:r>
      <w:r w:rsidRPr="00A77016">
        <w:rPr>
          <w:rStyle w:val="Hyperlink"/>
          <w:rFonts w:asciiTheme="minorHAnsi" w:hAnsiTheme="minorHAnsi" w:cstheme="minorHAnsi"/>
          <w:noProof w:val="0"/>
        </w:rPr>
        <w:t>https://www.vu.edu.au/sites/default/files/australias-gender-health-tracker-2020.pdf</w:t>
      </w:r>
    </w:p>
    <w:p w14:paraId="19A6E90B" w14:textId="5084D6C0" w:rsidR="001B6897" w:rsidRDefault="001B6897" w:rsidP="003414BB">
      <w:pPr>
        <w:pStyle w:val="EndNoteBibliography"/>
        <w:ind w:left="720" w:hanging="720"/>
        <w:jc w:val="both"/>
        <w:rPr>
          <w:rFonts w:asciiTheme="minorHAnsi" w:hAnsiTheme="minorHAnsi" w:cstheme="minorHAnsi"/>
          <w:noProof w:val="0"/>
        </w:rPr>
      </w:pPr>
      <w:r>
        <w:rPr>
          <w:color w:val="000000"/>
          <w:shd w:val="clear" w:color="auto" w:fill="FFFFFF"/>
        </w:rPr>
        <w:t xml:space="preserve">Fisher, J., &amp; Makleff, S. (2022). Advances in gender-transformative approaches to health promotion. </w:t>
      </w:r>
      <w:r>
        <w:rPr>
          <w:i/>
          <w:iCs/>
          <w:color w:val="000000"/>
          <w:shd w:val="clear" w:color="auto" w:fill="FFFFFF"/>
        </w:rPr>
        <w:t>Ann Rev Public Health, 43</w:t>
      </w:r>
      <w:r>
        <w:rPr>
          <w:color w:val="000000"/>
          <w:shd w:val="clear" w:color="auto" w:fill="FFFFFF"/>
        </w:rPr>
        <w:t>, 1-17. DOI:10.1146/annurev-publhealth-121019-053834</w:t>
      </w:r>
    </w:p>
    <w:p w14:paraId="11BC2178" w14:textId="6F4D9CC8" w:rsidR="00EB2B55" w:rsidRDefault="00EB2B55" w:rsidP="003414BB">
      <w:pPr>
        <w:pStyle w:val="EndNoteBibliography"/>
        <w:ind w:left="720" w:hanging="720"/>
        <w:jc w:val="both"/>
        <w:rPr>
          <w:rFonts w:asciiTheme="minorHAnsi" w:hAnsiTheme="minorHAnsi" w:cstheme="minorHAnsi"/>
          <w:noProof w:val="0"/>
        </w:rPr>
      </w:pPr>
      <w:r w:rsidRPr="00A77016">
        <w:rPr>
          <w:rFonts w:asciiTheme="minorHAnsi" w:hAnsiTheme="minorHAnsi" w:cstheme="minorHAnsi"/>
          <w:noProof w:val="0"/>
        </w:rPr>
        <w:t xml:space="preserve">FitzGerald, C., &amp; Hurst, S. (2017). Implicit bias in healthcare professionals: a systematic review. </w:t>
      </w:r>
      <w:r w:rsidRPr="00A77016">
        <w:rPr>
          <w:rFonts w:asciiTheme="minorHAnsi" w:hAnsiTheme="minorHAnsi" w:cstheme="minorHAnsi"/>
          <w:i/>
          <w:noProof w:val="0"/>
        </w:rPr>
        <w:t>BMC Med Ethics, 18</w:t>
      </w:r>
      <w:r w:rsidRPr="00A77016">
        <w:rPr>
          <w:rFonts w:asciiTheme="minorHAnsi" w:hAnsiTheme="minorHAnsi" w:cstheme="minorHAnsi"/>
          <w:noProof w:val="0"/>
        </w:rPr>
        <w:t xml:space="preserve">(1), 19. </w:t>
      </w:r>
      <w:r w:rsidR="00743B0C" w:rsidRPr="00A77016">
        <w:rPr>
          <w:rFonts w:asciiTheme="minorHAnsi" w:hAnsiTheme="minorHAnsi" w:cstheme="minorHAnsi"/>
          <w:noProof w:val="0"/>
        </w:rPr>
        <w:t>DOI:</w:t>
      </w:r>
      <w:r w:rsidRPr="00A77016">
        <w:rPr>
          <w:rStyle w:val="Hyperlink"/>
          <w:rFonts w:asciiTheme="minorHAnsi" w:hAnsiTheme="minorHAnsi" w:cstheme="minorHAnsi"/>
          <w:noProof w:val="0"/>
        </w:rPr>
        <w:t>10.1186/s12910-017-0179-8</w:t>
      </w:r>
      <w:r w:rsidRPr="00A77016">
        <w:rPr>
          <w:rFonts w:asciiTheme="minorHAnsi" w:hAnsiTheme="minorHAnsi" w:cstheme="minorHAnsi"/>
          <w:noProof w:val="0"/>
        </w:rPr>
        <w:t xml:space="preserve"> </w:t>
      </w:r>
    </w:p>
    <w:p w14:paraId="0F84A802" w14:textId="0603714E" w:rsidR="003E7B0B" w:rsidRDefault="003E7B0B" w:rsidP="003414BB">
      <w:pPr>
        <w:pStyle w:val="EndNoteBibliography"/>
        <w:ind w:left="720" w:hanging="720"/>
        <w:jc w:val="both"/>
        <w:rPr>
          <w:rFonts w:asciiTheme="minorHAnsi" w:hAnsiTheme="minorHAnsi" w:cstheme="minorHAnsi"/>
          <w:noProof w:val="0"/>
        </w:rPr>
      </w:pPr>
      <w:r w:rsidRPr="00AF2B89">
        <w:t xml:space="preserve">Fogg, A.J., Welsh, J., Banks, E., Abhayaratna, W., &amp; Korda, R.J. (2019). Variation in cardiovascular disease care: an Australian cohort study on sex differences in receipt of coronary procedures. </w:t>
      </w:r>
      <w:r w:rsidRPr="00AF2B89">
        <w:rPr>
          <w:i/>
        </w:rPr>
        <w:t>BMJ Open, 9</w:t>
      </w:r>
      <w:r w:rsidRPr="00AF2B89">
        <w:t>(7), e026507. DOI:10.1136/bmjopen-2018-026507</w:t>
      </w:r>
    </w:p>
    <w:p w14:paraId="3EEB9779" w14:textId="6CCC4F99" w:rsidR="006A2662" w:rsidRPr="009B660A" w:rsidRDefault="00C06B68"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color w:val="222222"/>
          <w:shd w:val="clear" w:color="auto" w:fill="FFFFFF"/>
        </w:rPr>
        <w:t xml:space="preserve">Gabb, G.M., Mangoni, A.A., Anderson, C.S., Cowley, D., Dowden, J.S., Golledge, J., ... &amp; Arnolda, L. </w:t>
      </w:r>
      <w:r w:rsidR="006A2662" w:rsidRPr="00A53ABD">
        <w:rPr>
          <w:rFonts w:asciiTheme="minorHAnsi" w:hAnsiTheme="minorHAnsi" w:cstheme="minorHAnsi"/>
          <w:color w:val="222222"/>
          <w:shd w:val="clear" w:color="auto" w:fill="FFFFFF"/>
        </w:rPr>
        <w:t xml:space="preserve">(2016). Guideline for the diagnosis and management of hypertension in adults—2016. </w:t>
      </w:r>
      <w:r w:rsidR="006A2662" w:rsidRPr="009B660A">
        <w:rPr>
          <w:rFonts w:asciiTheme="minorHAnsi" w:hAnsiTheme="minorHAnsi" w:cstheme="minorHAnsi"/>
          <w:i/>
          <w:iCs/>
          <w:color w:val="222222"/>
          <w:shd w:val="clear" w:color="auto" w:fill="FFFFFF"/>
        </w:rPr>
        <w:t>Med J Aust</w:t>
      </w:r>
      <w:r w:rsidR="006A2662" w:rsidRPr="009B660A">
        <w:rPr>
          <w:rFonts w:asciiTheme="minorHAnsi" w:hAnsiTheme="minorHAnsi" w:cstheme="minorHAnsi"/>
          <w:color w:val="222222"/>
          <w:shd w:val="clear" w:color="auto" w:fill="FFFFFF"/>
        </w:rPr>
        <w:t xml:space="preserve">, </w:t>
      </w:r>
      <w:r w:rsidR="006A2662" w:rsidRPr="009B660A">
        <w:rPr>
          <w:rFonts w:asciiTheme="minorHAnsi" w:hAnsiTheme="minorHAnsi" w:cstheme="minorHAnsi"/>
          <w:i/>
          <w:iCs/>
          <w:color w:val="222222"/>
          <w:shd w:val="clear" w:color="auto" w:fill="FFFFFF"/>
        </w:rPr>
        <w:t>205</w:t>
      </w:r>
      <w:r w:rsidR="006A2662" w:rsidRPr="009B660A">
        <w:rPr>
          <w:rFonts w:asciiTheme="minorHAnsi" w:hAnsiTheme="minorHAnsi" w:cstheme="minorHAnsi"/>
          <w:color w:val="222222"/>
          <w:shd w:val="clear" w:color="auto" w:fill="FFFFFF"/>
        </w:rPr>
        <w:t>(2), 85-89. DOI:10.5694/mja16.00526</w:t>
      </w:r>
    </w:p>
    <w:p w14:paraId="795CAE77" w14:textId="600D311F" w:rsidR="00EB2B55" w:rsidRPr="00607787" w:rsidRDefault="00EB2B55" w:rsidP="00D22A52">
      <w:pPr>
        <w:pStyle w:val="EndNoteBibliography"/>
        <w:keepLines/>
        <w:ind w:left="720" w:hanging="720"/>
        <w:jc w:val="both"/>
        <w:rPr>
          <w:noProof w:val="0"/>
        </w:rPr>
      </w:pPr>
      <w:r w:rsidRPr="00607787">
        <w:rPr>
          <w:noProof w:val="0"/>
        </w:rPr>
        <w:lastRenderedPageBreak/>
        <w:t xml:space="preserve">Gauci, S., Cartledge, S., Redfern, J., Gallagher, R., Huxley, R., Lee, C.M.Y., Vassallo, A., &amp; O'Neil, A. (2022). Biology, </w:t>
      </w:r>
      <w:r w:rsidR="00743B0C" w:rsidRPr="00607787">
        <w:rPr>
          <w:noProof w:val="0"/>
        </w:rPr>
        <w:t>bias, or both? The contribution of sex and gender to the disparity in cardiovascular outcomes between women and men</w:t>
      </w:r>
      <w:r w:rsidRPr="00607787">
        <w:rPr>
          <w:noProof w:val="0"/>
        </w:rPr>
        <w:t xml:space="preserve">. </w:t>
      </w:r>
      <w:r w:rsidRPr="00607787">
        <w:rPr>
          <w:i/>
          <w:noProof w:val="0"/>
        </w:rPr>
        <w:t>Current Atherosclerosis Reports, 24(9)</w:t>
      </w:r>
      <w:r w:rsidRPr="00607787">
        <w:rPr>
          <w:noProof w:val="0"/>
        </w:rPr>
        <w:t xml:space="preserve">, 701-708. </w:t>
      </w:r>
      <w:r w:rsidR="00743B0C" w:rsidRPr="00607787">
        <w:rPr>
          <w:noProof w:val="0"/>
        </w:rPr>
        <w:t>DOI:</w:t>
      </w:r>
      <w:r w:rsidRPr="00607787">
        <w:rPr>
          <w:rStyle w:val="Hyperlink"/>
          <w:noProof w:val="0"/>
        </w:rPr>
        <w:t>10.1007/s11883-022-01046-2</w:t>
      </w:r>
      <w:r w:rsidRPr="00607787">
        <w:rPr>
          <w:noProof w:val="0"/>
        </w:rPr>
        <w:t xml:space="preserve"> </w:t>
      </w:r>
    </w:p>
    <w:p w14:paraId="0EDC2DA9" w14:textId="3BBE051A" w:rsidR="00EB2B55" w:rsidRPr="00607787" w:rsidRDefault="00EB2B55" w:rsidP="003414BB">
      <w:pPr>
        <w:pStyle w:val="EndNoteBibliography"/>
        <w:ind w:left="720" w:hanging="720"/>
        <w:jc w:val="both"/>
        <w:rPr>
          <w:noProof w:val="0"/>
        </w:rPr>
      </w:pPr>
      <w:r w:rsidRPr="00607787">
        <w:rPr>
          <w:noProof w:val="0"/>
        </w:rPr>
        <w:t xml:space="preserve">Guerrero, E.G., Marsh, J.C., Cao, D., Shin, H.C., &amp; Andrews, C. (2014). Gender disparities in utilization and outcome of comprehensive substance abuse treatment among racial/ethnic groups. </w:t>
      </w:r>
      <w:r w:rsidRPr="00607787">
        <w:rPr>
          <w:i/>
          <w:noProof w:val="0"/>
        </w:rPr>
        <w:t>J Substance Abuse Treatment, 46</w:t>
      </w:r>
      <w:r w:rsidRPr="00607787">
        <w:rPr>
          <w:noProof w:val="0"/>
        </w:rPr>
        <w:t xml:space="preserve">(5), 584-591. </w:t>
      </w:r>
      <w:proofErr w:type="gramStart"/>
      <w:r w:rsidR="00851D64" w:rsidRPr="00607787">
        <w:rPr>
          <w:noProof w:val="0"/>
        </w:rPr>
        <w:t>DOI:</w:t>
      </w:r>
      <w:r w:rsidRPr="00607787">
        <w:rPr>
          <w:noProof w:val="0"/>
        </w:rPr>
        <w:t>10.1016/j.jsat</w:t>
      </w:r>
      <w:proofErr w:type="gramEnd"/>
      <w:r w:rsidRPr="00607787">
        <w:rPr>
          <w:noProof w:val="0"/>
        </w:rPr>
        <w:t xml:space="preserve">.2013.12.008 </w:t>
      </w:r>
    </w:p>
    <w:p w14:paraId="2FD06E42" w14:textId="7497D80A" w:rsidR="00EB2B55" w:rsidRPr="00607787" w:rsidRDefault="003E75A8" w:rsidP="003414BB">
      <w:pPr>
        <w:pStyle w:val="EndNoteBibliography"/>
        <w:ind w:left="720" w:hanging="720"/>
        <w:jc w:val="both"/>
        <w:rPr>
          <w:noProof w:val="0"/>
        </w:rPr>
      </w:pPr>
      <w:r w:rsidRPr="00607787">
        <w:rPr>
          <w:rFonts w:asciiTheme="minorHAnsi" w:hAnsiTheme="minorHAnsi" w:cstheme="minorHAnsi"/>
          <w:noProof w:val="0"/>
          <w:shd w:val="clear" w:color="auto" w:fill="FFFFFF"/>
        </w:rPr>
        <w:t>Haber, P.S., Riordan, B.C., Winter, D.T., Barrett, L., Saunders, J., Hides, L., ... &amp; Morley, K.C.</w:t>
      </w:r>
      <w:r w:rsidR="00EB2B55" w:rsidRPr="00607787">
        <w:rPr>
          <w:rFonts w:asciiTheme="minorHAnsi" w:hAnsiTheme="minorHAnsi" w:cstheme="minorHAnsi"/>
          <w:noProof w:val="0"/>
        </w:rPr>
        <w:t xml:space="preserve"> (2021). New Australian guidelines for the treatment of alcohol problems: an overview of recommendations. </w:t>
      </w:r>
      <w:r w:rsidR="00EB2B55" w:rsidRPr="00607787">
        <w:rPr>
          <w:rFonts w:asciiTheme="minorHAnsi" w:hAnsiTheme="minorHAnsi" w:cstheme="minorHAnsi"/>
          <w:i/>
          <w:noProof w:val="0"/>
        </w:rPr>
        <w:t>Med J Aust, 215(S7)</w:t>
      </w:r>
      <w:r w:rsidR="00EB2B55" w:rsidRPr="00607787">
        <w:rPr>
          <w:rFonts w:asciiTheme="minorHAnsi" w:hAnsiTheme="minorHAnsi" w:cstheme="minorHAnsi"/>
          <w:noProof w:val="0"/>
        </w:rPr>
        <w:t xml:space="preserve">, S3-S32. </w:t>
      </w:r>
      <w:r w:rsidR="00E467E4" w:rsidRPr="00607787">
        <w:rPr>
          <w:rFonts w:asciiTheme="minorHAnsi" w:hAnsiTheme="minorHAnsi" w:cstheme="minorHAnsi"/>
          <w:noProof w:val="0"/>
        </w:rPr>
        <w:t>DOI</w:t>
      </w:r>
      <w:r w:rsidR="00E467E4" w:rsidRPr="00607787">
        <w:rPr>
          <w:noProof w:val="0"/>
        </w:rPr>
        <w:t>:</w:t>
      </w:r>
      <w:r w:rsidR="00EB2B55" w:rsidRPr="00607787">
        <w:rPr>
          <w:rStyle w:val="Hyperlink"/>
          <w:noProof w:val="0"/>
        </w:rPr>
        <w:t>10.5694/mja2.51254</w:t>
      </w:r>
      <w:r w:rsidR="00EB2B55" w:rsidRPr="00607787">
        <w:rPr>
          <w:noProof w:val="0"/>
        </w:rPr>
        <w:t xml:space="preserve"> </w:t>
      </w:r>
    </w:p>
    <w:p w14:paraId="6A22A6DA" w14:textId="4E89CD06" w:rsidR="00EB2B55" w:rsidRPr="00607787" w:rsidRDefault="00EB2B55" w:rsidP="003414BB">
      <w:pPr>
        <w:pStyle w:val="EndNoteBibliography"/>
        <w:ind w:left="720" w:hanging="720"/>
        <w:jc w:val="both"/>
        <w:rPr>
          <w:noProof w:val="0"/>
        </w:rPr>
      </w:pPr>
      <w:r w:rsidRPr="00607787">
        <w:rPr>
          <w:noProof w:val="0"/>
        </w:rPr>
        <w:t xml:space="preserve">Hailemariam, A., Yew, S.L., &amp; </w:t>
      </w:r>
      <w:proofErr w:type="spellStart"/>
      <w:r w:rsidRPr="00607787">
        <w:rPr>
          <w:noProof w:val="0"/>
        </w:rPr>
        <w:t>Appau</w:t>
      </w:r>
      <w:proofErr w:type="spellEnd"/>
      <w:r w:rsidRPr="00607787">
        <w:rPr>
          <w:noProof w:val="0"/>
        </w:rPr>
        <w:t xml:space="preserve">, S. (2021). Gender health gaps: The role of risky addictive </w:t>
      </w:r>
      <w:proofErr w:type="spellStart"/>
      <w:r w:rsidRPr="00607787">
        <w:rPr>
          <w:noProof w:val="0"/>
        </w:rPr>
        <w:t>behaviors</w:t>
      </w:r>
      <w:proofErr w:type="spellEnd"/>
      <w:r w:rsidRPr="00607787">
        <w:rPr>
          <w:noProof w:val="0"/>
        </w:rPr>
        <w:t xml:space="preserve">. </w:t>
      </w:r>
      <w:r w:rsidRPr="00607787">
        <w:rPr>
          <w:i/>
          <w:noProof w:val="0"/>
        </w:rPr>
        <w:t xml:space="preserve">J Economic </w:t>
      </w:r>
      <w:proofErr w:type="spellStart"/>
      <w:r w:rsidRPr="00607787">
        <w:rPr>
          <w:i/>
          <w:noProof w:val="0"/>
        </w:rPr>
        <w:t>Behavior</w:t>
      </w:r>
      <w:proofErr w:type="spellEnd"/>
      <w:r w:rsidRPr="00607787">
        <w:rPr>
          <w:i/>
          <w:noProof w:val="0"/>
        </w:rPr>
        <w:t xml:space="preserve"> &amp; Organization, 191</w:t>
      </w:r>
      <w:r w:rsidRPr="00607787">
        <w:rPr>
          <w:noProof w:val="0"/>
        </w:rPr>
        <w:t xml:space="preserve">, 639-660. </w:t>
      </w:r>
      <w:proofErr w:type="gramStart"/>
      <w:r w:rsidR="001F59CB" w:rsidRPr="00607787">
        <w:rPr>
          <w:noProof w:val="0"/>
        </w:rPr>
        <w:t>DOI:</w:t>
      </w:r>
      <w:r w:rsidRPr="00607787">
        <w:rPr>
          <w:rStyle w:val="Hyperlink"/>
          <w:noProof w:val="0"/>
        </w:rPr>
        <w:t>10.1016/j.jebo</w:t>
      </w:r>
      <w:proofErr w:type="gramEnd"/>
      <w:r w:rsidRPr="00607787">
        <w:rPr>
          <w:rStyle w:val="Hyperlink"/>
          <w:noProof w:val="0"/>
        </w:rPr>
        <w:t>.2021.09.026</w:t>
      </w:r>
      <w:r w:rsidRPr="00607787">
        <w:rPr>
          <w:noProof w:val="0"/>
        </w:rPr>
        <w:t xml:space="preserve"> </w:t>
      </w:r>
    </w:p>
    <w:p w14:paraId="4E67E0F8" w14:textId="584840C5" w:rsidR="00EB2B55" w:rsidRPr="00607787" w:rsidRDefault="00EB2B55" w:rsidP="003414BB">
      <w:pPr>
        <w:pStyle w:val="EndNoteBibliography"/>
        <w:ind w:left="720" w:hanging="720"/>
        <w:jc w:val="both"/>
        <w:rPr>
          <w:noProof w:val="0"/>
        </w:rPr>
      </w:pPr>
      <w:r w:rsidRPr="00607787">
        <w:rPr>
          <w:noProof w:val="0"/>
        </w:rPr>
        <w:t xml:space="preserve">Hallam, L., Vassallo, A., Hallam, C., Thompson, K., Shanthosh, J., Chappell, L., Wainer, Z., Norton, R., Woodward, M., &amp; </w:t>
      </w:r>
      <w:proofErr w:type="spellStart"/>
      <w:r w:rsidRPr="00607787">
        <w:rPr>
          <w:noProof w:val="0"/>
        </w:rPr>
        <w:t>Carcel</w:t>
      </w:r>
      <w:proofErr w:type="spellEnd"/>
      <w:r w:rsidRPr="00607787">
        <w:rPr>
          <w:noProof w:val="0"/>
        </w:rPr>
        <w:t xml:space="preserve">, C. (2023). Sex and gender reporting in Australian health and medical research publications. </w:t>
      </w:r>
      <w:r w:rsidRPr="00607787">
        <w:rPr>
          <w:i/>
          <w:noProof w:val="0"/>
        </w:rPr>
        <w:t>ANZJPH, 47</w:t>
      </w:r>
      <w:r w:rsidRPr="00607787">
        <w:rPr>
          <w:noProof w:val="0"/>
        </w:rPr>
        <w:t xml:space="preserve">(1), 100005. </w:t>
      </w:r>
      <w:proofErr w:type="gramStart"/>
      <w:r w:rsidR="005050FE" w:rsidRPr="00607787">
        <w:rPr>
          <w:noProof w:val="0"/>
        </w:rPr>
        <w:t>DOI:</w:t>
      </w:r>
      <w:r w:rsidRPr="00607787">
        <w:rPr>
          <w:rStyle w:val="Hyperlink"/>
          <w:noProof w:val="0"/>
        </w:rPr>
        <w:t>10.1016/j.anzjph</w:t>
      </w:r>
      <w:proofErr w:type="gramEnd"/>
      <w:r w:rsidRPr="00607787">
        <w:rPr>
          <w:rStyle w:val="Hyperlink"/>
          <w:noProof w:val="0"/>
        </w:rPr>
        <w:t>.2022.100005</w:t>
      </w:r>
      <w:r w:rsidRPr="00607787">
        <w:rPr>
          <w:noProof w:val="0"/>
        </w:rPr>
        <w:t xml:space="preserve"> </w:t>
      </w:r>
    </w:p>
    <w:p w14:paraId="022E79E4" w14:textId="1FC264B3" w:rsidR="00EB2B55" w:rsidRDefault="00EB2B55" w:rsidP="003414BB">
      <w:pPr>
        <w:pStyle w:val="EndNoteBibliography"/>
        <w:ind w:left="720" w:hanging="720"/>
        <w:jc w:val="both"/>
        <w:rPr>
          <w:noProof w:val="0"/>
        </w:rPr>
      </w:pPr>
      <w:r w:rsidRPr="00607787">
        <w:rPr>
          <w:noProof w:val="0"/>
        </w:rPr>
        <w:t xml:space="preserve">Hamilton, R.A., Wells, Y., &amp; Higgs, P. (2022). A </w:t>
      </w:r>
      <w:r w:rsidR="00167A9C" w:rsidRPr="00607787">
        <w:rPr>
          <w:noProof w:val="0"/>
        </w:rPr>
        <w:t xml:space="preserve">retrospective cohort study </w:t>
      </w:r>
      <w:r w:rsidRPr="00607787">
        <w:rPr>
          <w:noProof w:val="0"/>
        </w:rPr>
        <w:t xml:space="preserve">of </w:t>
      </w:r>
      <w:r w:rsidR="00167A9C" w:rsidRPr="00607787">
        <w:rPr>
          <w:noProof w:val="0"/>
        </w:rPr>
        <w:t xml:space="preserve">women </w:t>
      </w:r>
      <w:r w:rsidRPr="00607787">
        <w:rPr>
          <w:noProof w:val="0"/>
        </w:rPr>
        <w:t xml:space="preserve">and </w:t>
      </w:r>
      <w:r w:rsidR="00167A9C" w:rsidRPr="00607787">
        <w:rPr>
          <w:noProof w:val="0"/>
        </w:rPr>
        <w:t xml:space="preserve">men living </w:t>
      </w:r>
      <w:r w:rsidRPr="00607787">
        <w:rPr>
          <w:noProof w:val="0"/>
        </w:rPr>
        <w:t xml:space="preserve">with HIV, </w:t>
      </w:r>
      <w:r w:rsidR="00167A9C" w:rsidRPr="00607787">
        <w:rPr>
          <w:noProof w:val="0"/>
        </w:rPr>
        <w:t xml:space="preserve">attending </w:t>
      </w:r>
      <w:r w:rsidRPr="00607787">
        <w:rPr>
          <w:noProof w:val="0"/>
        </w:rPr>
        <w:t xml:space="preserve">an HIV </w:t>
      </w:r>
      <w:r w:rsidR="00167A9C" w:rsidRPr="00607787">
        <w:rPr>
          <w:noProof w:val="0"/>
        </w:rPr>
        <w:t xml:space="preserve">clinic </w:t>
      </w:r>
      <w:r w:rsidRPr="00607787">
        <w:rPr>
          <w:noProof w:val="0"/>
        </w:rPr>
        <w:t xml:space="preserve">in Australia. </w:t>
      </w:r>
      <w:r w:rsidRPr="00607787">
        <w:rPr>
          <w:i/>
          <w:noProof w:val="0"/>
        </w:rPr>
        <w:t xml:space="preserve">Women's </w:t>
      </w:r>
      <w:r w:rsidR="00167A9C" w:rsidRPr="00607787">
        <w:rPr>
          <w:i/>
          <w:noProof w:val="0"/>
        </w:rPr>
        <w:t>Health Reports</w:t>
      </w:r>
      <w:r w:rsidRPr="00607787">
        <w:rPr>
          <w:i/>
          <w:noProof w:val="0"/>
        </w:rPr>
        <w:t>, 3</w:t>
      </w:r>
      <w:r w:rsidRPr="00607787">
        <w:rPr>
          <w:noProof w:val="0"/>
        </w:rPr>
        <w:t xml:space="preserve">(1), 915-923. </w:t>
      </w:r>
      <w:r w:rsidR="00167A9C" w:rsidRPr="00607787">
        <w:rPr>
          <w:noProof w:val="0"/>
        </w:rPr>
        <w:t>DOI:</w:t>
      </w:r>
      <w:r w:rsidRPr="00607787">
        <w:rPr>
          <w:rStyle w:val="Hyperlink"/>
          <w:noProof w:val="0"/>
        </w:rPr>
        <w:t>10.1089/whr.2022.0038</w:t>
      </w:r>
      <w:r w:rsidRPr="00607787">
        <w:rPr>
          <w:noProof w:val="0"/>
        </w:rPr>
        <w:t xml:space="preserve"> </w:t>
      </w:r>
    </w:p>
    <w:p w14:paraId="1BECD419" w14:textId="2D55D273" w:rsidR="00CB4496" w:rsidRPr="00607787" w:rsidRDefault="00CB4496" w:rsidP="003414BB">
      <w:pPr>
        <w:pStyle w:val="EndNoteBibliography"/>
        <w:ind w:left="720" w:hanging="720"/>
        <w:jc w:val="both"/>
        <w:rPr>
          <w:noProof w:val="0"/>
        </w:rPr>
      </w:pPr>
      <w:r w:rsidRPr="00607787">
        <w:t xml:space="preserve">Hammarberg, K., Tran, T., Kirkman, M., &amp; Fisher, J. (2020). Sex and age differences in clinically significant symptoms of depression and anxiety among people in Australia in the first month of COVID-19 restrictions: A national survey. </w:t>
      </w:r>
      <w:r w:rsidRPr="00607787">
        <w:rPr>
          <w:i/>
        </w:rPr>
        <w:t>BMJ Open,</w:t>
      </w:r>
      <w:r w:rsidRPr="00607787">
        <w:t xml:space="preserve"> 10(11), e042696. DOI:10.1136/bmjopen-2020-042696</w:t>
      </w:r>
    </w:p>
    <w:p w14:paraId="4C06D39A" w14:textId="15A3C2A1" w:rsidR="00EB2B55" w:rsidRPr="00607787" w:rsidRDefault="00EB2B55" w:rsidP="003414BB">
      <w:pPr>
        <w:pStyle w:val="EndNoteBibliography"/>
        <w:ind w:left="720" w:hanging="720"/>
        <w:jc w:val="both"/>
        <w:rPr>
          <w:noProof w:val="0"/>
        </w:rPr>
      </w:pPr>
      <w:proofErr w:type="spellStart"/>
      <w:r w:rsidRPr="00607787">
        <w:rPr>
          <w:noProof w:val="0"/>
        </w:rPr>
        <w:t>Harreiter</w:t>
      </w:r>
      <w:proofErr w:type="spellEnd"/>
      <w:r w:rsidRPr="00607787">
        <w:rPr>
          <w:noProof w:val="0"/>
        </w:rPr>
        <w:t xml:space="preserve">, J., &amp; Kautzky-Willer, A. (2018). Sex and </w:t>
      </w:r>
      <w:r w:rsidR="006621E7" w:rsidRPr="00607787">
        <w:rPr>
          <w:noProof w:val="0"/>
        </w:rPr>
        <w:t xml:space="preserve">gender differences </w:t>
      </w:r>
      <w:r w:rsidRPr="00607787">
        <w:rPr>
          <w:noProof w:val="0"/>
        </w:rPr>
        <w:t xml:space="preserve">in </w:t>
      </w:r>
      <w:r w:rsidR="006621E7" w:rsidRPr="00607787">
        <w:rPr>
          <w:noProof w:val="0"/>
        </w:rPr>
        <w:t xml:space="preserve">prevention </w:t>
      </w:r>
      <w:r w:rsidRPr="00607787">
        <w:rPr>
          <w:noProof w:val="0"/>
        </w:rPr>
        <w:t xml:space="preserve">of </w:t>
      </w:r>
      <w:r w:rsidR="006621E7" w:rsidRPr="00607787">
        <w:rPr>
          <w:noProof w:val="0"/>
        </w:rPr>
        <w:t xml:space="preserve">type </w:t>
      </w:r>
      <w:r w:rsidRPr="00607787">
        <w:rPr>
          <w:noProof w:val="0"/>
        </w:rPr>
        <w:t xml:space="preserve">2 </w:t>
      </w:r>
      <w:r w:rsidR="006621E7" w:rsidRPr="00607787">
        <w:rPr>
          <w:noProof w:val="0"/>
        </w:rPr>
        <w:t>diabetes</w:t>
      </w:r>
      <w:r w:rsidRPr="00607787">
        <w:rPr>
          <w:noProof w:val="0"/>
        </w:rPr>
        <w:t xml:space="preserve">. </w:t>
      </w:r>
      <w:r w:rsidRPr="00607787">
        <w:rPr>
          <w:i/>
          <w:noProof w:val="0"/>
        </w:rPr>
        <w:t>Frontiers in Endocrinology, 9</w:t>
      </w:r>
      <w:r w:rsidRPr="00607787">
        <w:rPr>
          <w:noProof w:val="0"/>
        </w:rPr>
        <w:t xml:space="preserve">(101555782), 220. </w:t>
      </w:r>
      <w:r w:rsidR="006621E7" w:rsidRPr="00607787">
        <w:rPr>
          <w:noProof w:val="0"/>
        </w:rPr>
        <w:t>DOI:</w:t>
      </w:r>
      <w:r w:rsidRPr="00607787">
        <w:rPr>
          <w:rStyle w:val="Hyperlink"/>
          <w:noProof w:val="0"/>
        </w:rPr>
        <w:t>10.3389/fendo.2018.00220</w:t>
      </w:r>
      <w:r w:rsidRPr="00607787">
        <w:rPr>
          <w:noProof w:val="0"/>
        </w:rPr>
        <w:t xml:space="preserve"> </w:t>
      </w:r>
    </w:p>
    <w:p w14:paraId="3CF0A87E" w14:textId="13D7ACB9" w:rsidR="00EB2B55" w:rsidRPr="00607787" w:rsidRDefault="008F1299" w:rsidP="003414BB">
      <w:pPr>
        <w:pStyle w:val="EndNoteBibliography"/>
        <w:ind w:left="720" w:hanging="720"/>
        <w:jc w:val="both"/>
        <w:rPr>
          <w:noProof w:val="0"/>
        </w:rPr>
      </w:pPr>
      <w:r w:rsidRPr="00607787">
        <w:rPr>
          <w:rFonts w:asciiTheme="minorHAnsi" w:hAnsiTheme="minorHAnsi" w:cstheme="minorHAnsi"/>
          <w:noProof w:val="0"/>
          <w:shd w:val="clear" w:color="auto" w:fill="FFFFFF"/>
        </w:rPr>
        <w:t>Hashmi, R., Alam, K., Gow, J., Alam, K., &amp; March, S.</w:t>
      </w:r>
      <w:r w:rsidRPr="00607787">
        <w:rPr>
          <w:rFonts w:ascii="Arial" w:hAnsi="Arial" w:cs="Arial"/>
          <w:noProof w:val="0"/>
          <w:sz w:val="20"/>
          <w:szCs w:val="20"/>
          <w:shd w:val="clear" w:color="auto" w:fill="FFFFFF"/>
        </w:rPr>
        <w:t xml:space="preserve"> </w:t>
      </w:r>
      <w:r w:rsidR="00EB2B55" w:rsidRPr="00607787">
        <w:rPr>
          <w:noProof w:val="0"/>
        </w:rPr>
        <w:t xml:space="preserve">(2023). Inequity in psychiatric healthcare use in Australia. </w:t>
      </w:r>
      <w:r w:rsidR="00EB2B55" w:rsidRPr="00607787">
        <w:rPr>
          <w:i/>
          <w:noProof w:val="0"/>
        </w:rPr>
        <w:t xml:space="preserve">Soc Psychiatry </w:t>
      </w:r>
      <w:proofErr w:type="spellStart"/>
      <w:r w:rsidR="00EB2B55" w:rsidRPr="00607787">
        <w:rPr>
          <w:i/>
          <w:noProof w:val="0"/>
        </w:rPr>
        <w:t>Psychiatr</w:t>
      </w:r>
      <w:proofErr w:type="spellEnd"/>
      <w:r w:rsidR="00EB2B55" w:rsidRPr="00607787">
        <w:rPr>
          <w:i/>
          <w:noProof w:val="0"/>
        </w:rPr>
        <w:t xml:space="preserve"> Epidemiol 58</w:t>
      </w:r>
      <w:r w:rsidR="00EB2B55" w:rsidRPr="00607787">
        <w:rPr>
          <w:noProof w:val="0"/>
        </w:rPr>
        <w:t>, 605–616.</w:t>
      </w:r>
      <w:r w:rsidR="00624D4D" w:rsidRPr="00607787">
        <w:rPr>
          <w:noProof w:val="0"/>
        </w:rPr>
        <w:t xml:space="preserve"> DOI:</w:t>
      </w:r>
      <w:r w:rsidR="00EB2B55" w:rsidRPr="00607787">
        <w:rPr>
          <w:rStyle w:val="Hyperlink"/>
          <w:noProof w:val="0"/>
        </w:rPr>
        <w:t>10.1007/s00127-022-02310-1</w:t>
      </w:r>
      <w:r w:rsidR="00EB2B55" w:rsidRPr="00607787">
        <w:rPr>
          <w:noProof w:val="0"/>
        </w:rPr>
        <w:t xml:space="preserve"> </w:t>
      </w:r>
    </w:p>
    <w:p w14:paraId="777CC9AE" w14:textId="3E11D542" w:rsidR="00EB2B55" w:rsidRPr="00607787" w:rsidRDefault="00EB2B55" w:rsidP="003414BB">
      <w:pPr>
        <w:pStyle w:val="EndNoteBibliography"/>
        <w:ind w:left="720" w:hanging="720"/>
        <w:jc w:val="both"/>
        <w:rPr>
          <w:noProof w:val="0"/>
        </w:rPr>
      </w:pPr>
      <w:r w:rsidRPr="00607787">
        <w:rPr>
          <w:noProof w:val="0"/>
        </w:rPr>
        <w:t>Hawkins, M.M., Schmitt, M.E., Adebayo, C.T., Weitzel, J., Olukotun, O., Christensen, A.M., Ruiz, A.M., Gilman, K., Quigley, K., Dressel, A., &amp; Mkandawire-</w:t>
      </w:r>
      <w:proofErr w:type="spellStart"/>
      <w:r w:rsidRPr="00607787">
        <w:rPr>
          <w:noProof w:val="0"/>
        </w:rPr>
        <w:t>Valhmu</w:t>
      </w:r>
      <w:proofErr w:type="spellEnd"/>
      <w:r w:rsidRPr="00607787">
        <w:rPr>
          <w:noProof w:val="0"/>
        </w:rPr>
        <w:t xml:space="preserve">, L. (2021). Promoting the health of refugee women: a scoping literature review incorporating the social ecological model. </w:t>
      </w:r>
      <w:r w:rsidRPr="00607787">
        <w:rPr>
          <w:i/>
          <w:noProof w:val="0"/>
        </w:rPr>
        <w:t>Int J Equity Health, 20</w:t>
      </w:r>
      <w:r w:rsidRPr="00607787">
        <w:rPr>
          <w:noProof w:val="0"/>
        </w:rPr>
        <w:t>(1), 45.</w:t>
      </w:r>
      <w:r w:rsidR="00596574" w:rsidRPr="00607787">
        <w:rPr>
          <w:noProof w:val="0"/>
        </w:rPr>
        <w:t xml:space="preserve"> DOI:</w:t>
      </w:r>
      <w:r w:rsidRPr="00607787">
        <w:rPr>
          <w:rStyle w:val="Hyperlink"/>
          <w:noProof w:val="0"/>
        </w:rPr>
        <w:t>10.1186/s12939-021-01387-5</w:t>
      </w:r>
      <w:r w:rsidRPr="00607787">
        <w:rPr>
          <w:noProof w:val="0"/>
        </w:rPr>
        <w:t xml:space="preserve"> </w:t>
      </w:r>
    </w:p>
    <w:p w14:paraId="0952053C" w14:textId="21AD2165" w:rsidR="00EB2B55" w:rsidRPr="00607787" w:rsidRDefault="00EB2B55" w:rsidP="003414BB">
      <w:pPr>
        <w:pStyle w:val="EndNoteBibliography"/>
        <w:ind w:left="720" w:hanging="720"/>
        <w:jc w:val="both"/>
        <w:rPr>
          <w:noProof w:val="0"/>
        </w:rPr>
      </w:pPr>
      <w:r w:rsidRPr="00607787">
        <w:rPr>
          <w:noProof w:val="0"/>
        </w:rPr>
        <w:t xml:space="preserve">Heidari, S., Babor, T.F., De Castro, P., Tort, S., &amp; </w:t>
      </w:r>
      <w:proofErr w:type="spellStart"/>
      <w:r w:rsidRPr="00607787">
        <w:rPr>
          <w:noProof w:val="0"/>
        </w:rPr>
        <w:t>Curno</w:t>
      </w:r>
      <w:proofErr w:type="spellEnd"/>
      <w:r w:rsidRPr="00607787">
        <w:rPr>
          <w:noProof w:val="0"/>
        </w:rPr>
        <w:t xml:space="preserve">, M. (2016). Sex and </w:t>
      </w:r>
      <w:r w:rsidR="008D3404" w:rsidRPr="00607787">
        <w:rPr>
          <w:noProof w:val="0"/>
        </w:rPr>
        <w:t xml:space="preserve">gender equity in research: </w:t>
      </w:r>
      <w:r w:rsidRPr="00607787">
        <w:rPr>
          <w:noProof w:val="0"/>
        </w:rPr>
        <w:t xml:space="preserve">rationale for the SAGER guidelines and recommended use. </w:t>
      </w:r>
      <w:r w:rsidRPr="00607787">
        <w:rPr>
          <w:i/>
          <w:noProof w:val="0"/>
        </w:rPr>
        <w:t xml:space="preserve">Res </w:t>
      </w:r>
      <w:proofErr w:type="spellStart"/>
      <w:r w:rsidRPr="00607787">
        <w:rPr>
          <w:i/>
          <w:noProof w:val="0"/>
        </w:rPr>
        <w:t>Integr</w:t>
      </w:r>
      <w:proofErr w:type="spellEnd"/>
      <w:r w:rsidRPr="00607787">
        <w:rPr>
          <w:i/>
          <w:noProof w:val="0"/>
        </w:rPr>
        <w:t xml:space="preserve"> Peer Rev, 1</w:t>
      </w:r>
      <w:r w:rsidRPr="00607787">
        <w:rPr>
          <w:noProof w:val="0"/>
        </w:rPr>
        <w:t xml:space="preserve">, 2. </w:t>
      </w:r>
      <w:r w:rsidR="008D3404" w:rsidRPr="00607787">
        <w:rPr>
          <w:noProof w:val="0"/>
        </w:rPr>
        <w:t>DOI:</w:t>
      </w:r>
      <w:r w:rsidRPr="00607787">
        <w:rPr>
          <w:rStyle w:val="Hyperlink"/>
          <w:noProof w:val="0"/>
        </w:rPr>
        <w:t>10.1186/s41073-016-0007-6</w:t>
      </w:r>
      <w:r w:rsidRPr="00607787">
        <w:rPr>
          <w:noProof w:val="0"/>
        </w:rPr>
        <w:t xml:space="preserve"> </w:t>
      </w:r>
    </w:p>
    <w:p w14:paraId="2A9F8D5D" w14:textId="30E5FD88" w:rsidR="00EB2B55" w:rsidRPr="00607787" w:rsidRDefault="00EB2B55" w:rsidP="003414BB">
      <w:pPr>
        <w:pStyle w:val="EndNoteBibliography"/>
        <w:ind w:left="720" w:hanging="720"/>
        <w:jc w:val="both"/>
        <w:rPr>
          <w:noProof w:val="0"/>
        </w:rPr>
      </w:pPr>
      <w:r w:rsidRPr="00607787">
        <w:rPr>
          <w:noProof w:val="0"/>
        </w:rPr>
        <w:t xml:space="preserve">Heidari, S., Palmer-Ross, A., &amp; Goodman, T. (2021). A </w:t>
      </w:r>
      <w:r w:rsidR="00ED20C5" w:rsidRPr="00607787">
        <w:rPr>
          <w:noProof w:val="0"/>
        </w:rPr>
        <w:t>systematic</w:t>
      </w:r>
      <w:r w:rsidR="005C0708" w:rsidRPr="00607787">
        <w:rPr>
          <w:noProof w:val="0"/>
        </w:rPr>
        <w:t xml:space="preserve"> review </w:t>
      </w:r>
      <w:r w:rsidRPr="00607787">
        <w:rPr>
          <w:noProof w:val="0"/>
        </w:rPr>
        <w:t xml:space="preserve">of the </w:t>
      </w:r>
      <w:r w:rsidR="005C0708" w:rsidRPr="00607787">
        <w:rPr>
          <w:noProof w:val="0"/>
        </w:rPr>
        <w:t xml:space="preserve">sex </w:t>
      </w:r>
      <w:r w:rsidRPr="00607787">
        <w:rPr>
          <w:noProof w:val="0"/>
        </w:rPr>
        <w:t xml:space="preserve">and </w:t>
      </w:r>
      <w:r w:rsidR="005C0708" w:rsidRPr="00607787">
        <w:rPr>
          <w:noProof w:val="0"/>
        </w:rPr>
        <w:t xml:space="preserve">gender reporting </w:t>
      </w:r>
      <w:r w:rsidRPr="00607787">
        <w:rPr>
          <w:noProof w:val="0"/>
        </w:rPr>
        <w:t xml:space="preserve">in COVID-19 </w:t>
      </w:r>
      <w:r w:rsidR="005C0708" w:rsidRPr="00607787">
        <w:rPr>
          <w:noProof w:val="0"/>
        </w:rPr>
        <w:t>clinical trials</w:t>
      </w:r>
      <w:r w:rsidRPr="00607787">
        <w:rPr>
          <w:noProof w:val="0"/>
        </w:rPr>
        <w:t xml:space="preserve">. </w:t>
      </w:r>
      <w:r w:rsidRPr="00607787">
        <w:rPr>
          <w:i/>
          <w:noProof w:val="0"/>
        </w:rPr>
        <w:t>Vaccines, 9</w:t>
      </w:r>
      <w:r w:rsidRPr="00607787">
        <w:rPr>
          <w:noProof w:val="0"/>
        </w:rPr>
        <w:t xml:space="preserve">(11). </w:t>
      </w:r>
      <w:r w:rsidR="005C0708" w:rsidRPr="00607787">
        <w:rPr>
          <w:noProof w:val="0"/>
        </w:rPr>
        <w:t>DOI:</w:t>
      </w:r>
      <w:r w:rsidRPr="00607787">
        <w:rPr>
          <w:rStyle w:val="Hyperlink"/>
          <w:noProof w:val="0"/>
        </w:rPr>
        <w:t>10.3390/vaccines9111322</w:t>
      </w:r>
      <w:r w:rsidRPr="00607787">
        <w:rPr>
          <w:noProof w:val="0"/>
        </w:rPr>
        <w:t xml:space="preserve"> </w:t>
      </w:r>
    </w:p>
    <w:p w14:paraId="45FEF5F6" w14:textId="7E5C7F1F" w:rsidR="00EB2B55" w:rsidRPr="00607787" w:rsidRDefault="001F2D72" w:rsidP="003414BB">
      <w:pPr>
        <w:pStyle w:val="EndNoteBibliography"/>
        <w:ind w:left="720" w:hanging="720"/>
        <w:jc w:val="both"/>
        <w:rPr>
          <w:noProof w:val="0"/>
        </w:rPr>
      </w:pPr>
      <w:r w:rsidRPr="00607787">
        <w:rPr>
          <w:rFonts w:asciiTheme="minorHAnsi" w:hAnsiTheme="minorHAnsi" w:cstheme="minorHAnsi"/>
          <w:noProof w:val="0"/>
          <w:shd w:val="clear" w:color="auto" w:fill="FFFFFF"/>
        </w:rPr>
        <w:t>Heise, L., Greene, M.E., Opper, N., Stavropoulou, M., Harper, C., Nascimento, M., Zewdie, D., Darmstadt, G.L., Greene, M.E., Hawkes, S. and Henry, S.</w:t>
      </w:r>
      <w:r w:rsidRPr="00607787" w:rsidDel="001F2D72">
        <w:rPr>
          <w:noProof w:val="0"/>
        </w:rPr>
        <w:t xml:space="preserve"> </w:t>
      </w:r>
      <w:r w:rsidR="00EB2B55" w:rsidRPr="00607787">
        <w:rPr>
          <w:noProof w:val="0"/>
        </w:rPr>
        <w:t xml:space="preserve">(2019). Gender inequality and restrictive gender norms: framing the challenges to health. </w:t>
      </w:r>
      <w:r w:rsidR="00EB2B55" w:rsidRPr="00607787">
        <w:rPr>
          <w:i/>
          <w:noProof w:val="0"/>
        </w:rPr>
        <w:t>Lancet, 393</w:t>
      </w:r>
      <w:r w:rsidR="00EB2B55" w:rsidRPr="00607787">
        <w:rPr>
          <w:noProof w:val="0"/>
        </w:rPr>
        <w:t xml:space="preserve">(10189), 2440-2454. </w:t>
      </w:r>
      <w:r w:rsidR="00D85F27" w:rsidRPr="00607787">
        <w:rPr>
          <w:noProof w:val="0"/>
        </w:rPr>
        <w:t>DOI:</w:t>
      </w:r>
      <w:r w:rsidR="00EB2B55" w:rsidRPr="00607787">
        <w:rPr>
          <w:rStyle w:val="Hyperlink"/>
          <w:noProof w:val="0"/>
        </w:rPr>
        <w:t>10.1016/S0140-6736(19)30652-X</w:t>
      </w:r>
      <w:r w:rsidR="00EB2B55" w:rsidRPr="00607787">
        <w:rPr>
          <w:noProof w:val="0"/>
        </w:rPr>
        <w:t xml:space="preserve"> </w:t>
      </w:r>
    </w:p>
    <w:p w14:paraId="612EBBA7" w14:textId="3D85BE93" w:rsidR="00EB2B55" w:rsidRPr="00607787" w:rsidRDefault="00EB2B55" w:rsidP="00A23956">
      <w:pPr>
        <w:pStyle w:val="EndNoteBibliography"/>
        <w:ind w:left="720" w:hanging="720"/>
        <w:rPr>
          <w:noProof w:val="0"/>
        </w:rPr>
      </w:pPr>
      <w:r w:rsidRPr="00607787">
        <w:rPr>
          <w:noProof w:val="0"/>
        </w:rPr>
        <w:t xml:space="preserve">Heise, L., &amp; Manji, K. (2016). </w:t>
      </w:r>
      <w:r w:rsidRPr="00607787">
        <w:rPr>
          <w:i/>
          <w:noProof w:val="0"/>
        </w:rPr>
        <w:t xml:space="preserve">Social Norms. GSDRC Professional Development Reading Pack no. 31. </w:t>
      </w:r>
      <w:r w:rsidRPr="00607787">
        <w:rPr>
          <w:iCs/>
          <w:noProof w:val="0"/>
        </w:rPr>
        <w:t>University of Birmingham</w:t>
      </w:r>
      <w:r w:rsidR="001F2D72" w:rsidRPr="00607787">
        <w:rPr>
          <w:iCs/>
          <w:noProof w:val="0"/>
        </w:rPr>
        <w:t>, UK</w:t>
      </w:r>
      <w:r w:rsidRPr="00607787">
        <w:rPr>
          <w:iCs/>
          <w:noProof w:val="0"/>
        </w:rPr>
        <w:t>.</w:t>
      </w:r>
      <w:r w:rsidRPr="00607787">
        <w:rPr>
          <w:noProof w:val="0"/>
        </w:rPr>
        <w:t xml:space="preserve"> </w:t>
      </w:r>
      <w:r w:rsidRPr="00607787">
        <w:rPr>
          <w:rStyle w:val="Hyperlink"/>
          <w:noProof w:val="0"/>
        </w:rPr>
        <w:t>https://assets.publishing.service.gov.uk/media/597f335640f0b61e48000023/Social-Norms_RP.pdf</w:t>
      </w:r>
    </w:p>
    <w:p w14:paraId="58E1D4FA" w14:textId="4EECE00C" w:rsidR="00EB2B55" w:rsidRPr="00607787" w:rsidRDefault="00EB2B55" w:rsidP="003414BB">
      <w:pPr>
        <w:pStyle w:val="EndNoteBibliography"/>
        <w:ind w:left="720" w:hanging="720"/>
        <w:jc w:val="both"/>
        <w:rPr>
          <w:noProof w:val="0"/>
        </w:rPr>
      </w:pPr>
      <w:r w:rsidRPr="00607787">
        <w:rPr>
          <w:noProof w:val="0"/>
        </w:rPr>
        <w:lastRenderedPageBreak/>
        <w:t xml:space="preserve">Highet, N., &amp; Expert Working Group </w:t>
      </w:r>
      <w:r w:rsidR="001F2D72" w:rsidRPr="00607787">
        <w:rPr>
          <w:noProof w:val="0"/>
        </w:rPr>
        <w:t xml:space="preserve">&amp; </w:t>
      </w:r>
      <w:r w:rsidRPr="00607787">
        <w:rPr>
          <w:noProof w:val="0"/>
        </w:rPr>
        <w:t xml:space="preserve">Expert Subcommittees. (2023). </w:t>
      </w:r>
      <w:r w:rsidRPr="00607787">
        <w:rPr>
          <w:i/>
          <w:noProof w:val="0"/>
        </w:rPr>
        <w:t xml:space="preserve">Mental Health Care in the Perinatal Period: Australian Clinical Practice Guideline. </w:t>
      </w:r>
      <w:r w:rsidRPr="00607787">
        <w:rPr>
          <w:iCs/>
          <w:noProof w:val="0"/>
        </w:rPr>
        <w:t>Melbourne: Centre of Perinatal Excellence (COPE).</w:t>
      </w:r>
      <w:r w:rsidRPr="00607787">
        <w:rPr>
          <w:noProof w:val="0"/>
        </w:rPr>
        <w:t xml:space="preserve"> </w:t>
      </w:r>
      <w:r w:rsidRPr="00607787">
        <w:rPr>
          <w:rStyle w:val="Hyperlink"/>
          <w:noProof w:val="0"/>
        </w:rPr>
        <w:t>https://www.cope.org.au/wp-content/uploads/2023/06/COPE_2023_Perinatal_Mental_Health_Practice_Guideline.pdf</w:t>
      </w:r>
    </w:p>
    <w:p w14:paraId="6AB45675" w14:textId="70D6613F" w:rsidR="00EB2B55" w:rsidRPr="00607787" w:rsidRDefault="00EB2B55" w:rsidP="003414BB">
      <w:pPr>
        <w:pStyle w:val="EndNoteBibliography"/>
        <w:ind w:left="720" w:hanging="720"/>
        <w:jc w:val="both"/>
        <w:rPr>
          <w:noProof w:val="0"/>
        </w:rPr>
      </w:pPr>
      <w:r w:rsidRPr="00607787">
        <w:rPr>
          <w:noProof w:val="0"/>
        </w:rPr>
        <w:t xml:space="preserve">Hostetter, C., Call, J., Gerke, D.R., Holloway, B.T., Eugene Walls, N.E., &amp; Greenfield, J.C. (2022). “We </w:t>
      </w:r>
      <w:r w:rsidR="001F2D72" w:rsidRPr="00607787">
        <w:rPr>
          <w:noProof w:val="0"/>
        </w:rPr>
        <w:t>are doing the absolute most that we can, and no one is listening</w:t>
      </w:r>
      <w:r w:rsidRPr="00607787">
        <w:rPr>
          <w:noProof w:val="0"/>
        </w:rPr>
        <w:t xml:space="preserve">”: Barriers </w:t>
      </w:r>
      <w:r w:rsidR="001F2D72" w:rsidRPr="00607787">
        <w:rPr>
          <w:noProof w:val="0"/>
        </w:rPr>
        <w:t>and facilitators to health literacy within transgender and nonbinary communities</w:t>
      </w:r>
      <w:r w:rsidRPr="00607787">
        <w:rPr>
          <w:noProof w:val="0"/>
        </w:rPr>
        <w:t xml:space="preserve">. </w:t>
      </w:r>
      <w:r w:rsidR="00D22A52" w:rsidRPr="00607787">
        <w:rPr>
          <w:i/>
          <w:noProof w:val="0"/>
        </w:rPr>
        <w:t>Int</w:t>
      </w:r>
      <w:r w:rsidRPr="00607787">
        <w:rPr>
          <w:i/>
          <w:noProof w:val="0"/>
        </w:rPr>
        <w:t xml:space="preserve"> J Environmental Research </w:t>
      </w:r>
      <w:r w:rsidR="001F2D72" w:rsidRPr="00607787">
        <w:rPr>
          <w:i/>
          <w:noProof w:val="0"/>
        </w:rPr>
        <w:t xml:space="preserve">&amp; </w:t>
      </w:r>
      <w:r w:rsidRPr="00607787">
        <w:rPr>
          <w:i/>
          <w:noProof w:val="0"/>
        </w:rPr>
        <w:t>Public Health, 19</w:t>
      </w:r>
      <w:r w:rsidRPr="00607787">
        <w:rPr>
          <w:noProof w:val="0"/>
        </w:rPr>
        <w:t>(1229).</w:t>
      </w:r>
      <w:r w:rsidR="001F2D72" w:rsidRPr="00607787">
        <w:rPr>
          <w:noProof w:val="0"/>
        </w:rPr>
        <w:t xml:space="preserve"> DOI:</w:t>
      </w:r>
      <w:r w:rsidRPr="00607787">
        <w:rPr>
          <w:rStyle w:val="Hyperlink"/>
          <w:noProof w:val="0"/>
        </w:rPr>
        <w:t>10.3390/ijerph19031229</w:t>
      </w:r>
      <w:r w:rsidRPr="00607787">
        <w:rPr>
          <w:noProof w:val="0"/>
        </w:rPr>
        <w:t xml:space="preserve"> </w:t>
      </w:r>
    </w:p>
    <w:p w14:paraId="2365A5F7" w14:textId="045E8E51" w:rsidR="00EB2B55" w:rsidRPr="00607787" w:rsidRDefault="00EB2B55" w:rsidP="003414BB">
      <w:pPr>
        <w:pStyle w:val="EndNoteBibliography"/>
        <w:ind w:left="720" w:hanging="720"/>
        <w:jc w:val="both"/>
        <w:rPr>
          <w:noProof w:val="0"/>
        </w:rPr>
      </w:pPr>
      <w:proofErr w:type="spellStart"/>
      <w:r w:rsidRPr="00607787">
        <w:rPr>
          <w:noProof w:val="0"/>
        </w:rPr>
        <w:t>Huded</w:t>
      </w:r>
      <w:proofErr w:type="spellEnd"/>
      <w:r w:rsidRPr="00607787">
        <w:rPr>
          <w:noProof w:val="0"/>
        </w:rPr>
        <w:t xml:space="preserve">, C.P., Johnson, M., Kravitz, K., Menon, V., Abdallah, M., Gullett, T.C., Hantz, S., Ellis, S.G., Podolsky, S.R., Meldon, S.W., Kralovic, D.M., </w:t>
      </w:r>
      <w:proofErr w:type="spellStart"/>
      <w:r w:rsidRPr="00607787">
        <w:rPr>
          <w:noProof w:val="0"/>
        </w:rPr>
        <w:t>Brosovich</w:t>
      </w:r>
      <w:proofErr w:type="spellEnd"/>
      <w:r w:rsidRPr="00607787">
        <w:rPr>
          <w:noProof w:val="0"/>
        </w:rPr>
        <w:t>, D., Smith, E., Kapadia, S.R., &amp; Khot, U.N. (2018). 4-</w:t>
      </w:r>
      <w:r w:rsidR="002A52CB" w:rsidRPr="00607787">
        <w:rPr>
          <w:noProof w:val="0"/>
        </w:rPr>
        <w:t xml:space="preserve">step protocol for disparities </w:t>
      </w:r>
      <w:r w:rsidRPr="00607787">
        <w:rPr>
          <w:noProof w:val="0"/>
        </w:rPr>
        <w:t xml:space="preserve">in STEMI </w:t>
      </w:r>
      <w:r w:rsidR="002A52CB" w:rsidRPr="00607787">
        <w:rPr>
          <w:noProof w:val="0"/>
        </w:rPr>
        <w:t>care and outcomes in women</w:t>
      </w:r>
      <w:r w:rsidRPr="00607787">
        <w:rPr>
          <w:noProof w:val="0"/>
        </w:rPr>
        <w:t xml:space="preserve">. </w:t>
      </w:r>
      <w:r w:rsidRPr="00607787">
        <w:rPr>
          <w:i/>
          <w:noProof w:val="0"/>
        </w:rPr>
        <w:t>J American College of Cardiology, 71</w:t>
      </w:r>
      <w:r w:rsidRPr="00607787">
        <w:rPr>
          <w:noProof w:val="0"/>
        </w:rPr>
        <w:t xml:space="preserve">(19), 2122-2132. </w:t>
      </w:r>
      <w:proofErr w:type="gramStart"/>
      <w:r w:rsidR="002A52CB" w:rsidRPr="00607787">
        <w:rPr>
          <w:noProof w:val="0"/>
        </w:rPr>
        <w:t>DOI:</w:t>
      </w:r>
      <w:r w:rsidRPr="00607787">
        <w:rPr>
          <w:rStyle w:val="Hyperlink"/>
          <w:noProof w:val="0"/>
        </w:rPr>
        <w:t>10.1016/j.jacc</w:t>
      </w:r>
      <w:proofErr w:type="gramEnd"/>
      <w:r w:rsidRPr="00607787">
        <w:rPr>
          <w:rStyle w:val="Hyperlink"/>
          <w:noProof w:val="0"/>
        </w:rPr>
        <w:t>.2018.02.039</w:t>
      </w:r>
      <w:r w:rsidRPr="00607787">
        <w:rPr>
          <w:noProof w:val="0"/>
        </w:rPr>
        <w:t xml:space="preserve"> </w:t>
      </w:r>
    </w:p>
    <w:p w14:paraId="0D9CB7F2" w14:textId="4F4D6074" w:rsidR="00EB2B55" w:rsidRPr="00607787" w:rsidRDefault="00EB2B55" w:rsidP="003414BB">
      <w:pPr>
        <w:pStyle w:val="EndNoteBibliography"/>
        <w:ind w:left="720" w:hanging="720"/>
        <w:jc w:val="both"/>
        <w:rPr>
          <w:noProof w:val="0"/>
        </w:rPr>
      </w:pPr>
      <w:r w:rsidRPr="00607787">
        <w:rPr>
          <w:noProof w:val="0"/>
        </w:rPr>
        <w:t xml:space="preserve">Hyun, K.K., Redfern, J., Patel, A., Peiris, D., Brieger, D., Sullivan, D., Harris, M., Usherwood, T., MacMahon, S., Lyford, M., &amp; Woodward, M. (2017). Gender inequalities in cardiovascular risk factor assessment and management in primary healthcare. </w:t>
      </w:r>
      <w:r w:rsidRPr="00607787">
        <w:rPr>
          <w:i/>
          <w:noProof w:val="0"/>
        </w:rPr>
        <w:t>Heart, 103</w:t>
      </w:r>
      <w:r w:rsidRPr="00607787">
        <w:rPr>
          <w:noProof w:val="0"/>
        </w:rPr>
        <w:t xml:space="preserve">(7), 492-498. </w:t>
      </w:r>
      <w:r w:rsidR="00A87A0A" w:rsidRPr="00607787">
        <w:rPr>
          <w:noProof w:val="0"/>
        </w:rPr>
        <w:t>DOI:</w:t>
      </w:r>
      <w:r w:rsidRPr="00607787">
        <w:rPr>
          <w:rStyle w:val="Hyperlink"/>
          <w:noProof w:val="0"/>
        </w:rPr>
        <w:t>10.1136/heartjnl-2016-310216</w:t>
      </w:r>
      <w:r w:rsidRPr="00607787">
        <w:rPr>
          <w:noProof w:val="0"/>
        </w:rPr>
        <w:t xml:space="preserve"> </w:t>
      </w:r>
    </w:p>
    <w:p w14:paraId="50496FC4" w14:textId="64EECAA2" w:rsidR="00EB2B55" w:rsidRPr="00607787" w:rsidRDefault="00EB2B55" w:rsidP="003414BB">
      <w:pPr>
        <w:pStyle w:val="EndNoteBibliography"/>
        <w:ind w:left="720" w:hanging="720"/>
        <w:jc w:val="both"/>
        <w:rPr>
          <w:noProof w:val="0"/>
        </w:rPr>
      </w:pPr>
      <w:r w:rsidRPr="00607787">
        <w:rPr>
          <w:noProof w:val="0"/>
        </w:rPr>
        <w:t xml:space="preserve">Ireland, S., &amp; </w:t>
      </w:r>
      <w:proofErr w:type="spellStart"/>
      <w:r w:rsidRPr="00607787">
        <w:rPr>
          <w:noProof w:val="0"/>
        </w:rPr>
        <w:t>Maypilama</w:t>
      </w:r>
      <w:proofErr w:type="spellEnd"/>
      <w:r w:rsidRPr="00607787">
        <w:rPr>
          <w:noProof w:val="0"/>
        </w:rPr>
        <w:t xml:space="preserve">, E.L. (2021). "We are sacred": An intercultural and multilingual approach to understanding reproductive health literacy for </w:t>
      </w:r>
      <w:proofErr w:type="spellStart"/>
      <w:r w:rsidRPr="00607787">
        <w:rPr>
          <w:noProof w:val="0"/>
        </w:rPr>
        <w:t>Yolŋu</w:t>
      </w:r>
      <w:proofErr w:type="spellEnd"/>
      <w:r w:rsidRPr="00607787">
        <w:rPr>
          <w:noProof w:val="0"/>
        </w:rPr>
        <w:t xml:space="preserve"> girls and women in remote Northern Australia. </w:t>
      </w:r>
      <w:r w:rsidRPr="00607787">
        <w:rPr>
          <w:i/>
          <w:noProof w:val="0"/>
        </w:rPr>
        <w:t xml:space="preserve">Health </w:t>
      </w:r>
      <w:proofErr w:type="spellStart"/>
      <w:r w:rsidRPr="00607787">
        <w:rPr>
          <w:i/>
          <w:noProof w:val="0"/>
        </w:rPr>
        <w:t>Promot</w:t>
      </w:r>
      <w:proofErr w:type="spellEnd"/>
      <w:r w:rsidRPr="00607787">
        <w:rPr>
          <w:i/>
          <w:noProof w:val="0"/>
        </w:rPr>
        <w:t xml:space="preserve"> J </w:t>
      </w:r>
      <w:proofErr w:type="spellStart"/>
      <w:r w:rsidRPr="00607787">
        <w:rPr>
          <w:i/>
          <w:noProof w:val="0"/>
        </w:rPr>
        <w:t>Austr</w:t>
      </w:r>
      <w:proofErr w:type="spellEnd"/>
      <w:r w:rsidRPr="00607787">
        <w:rPr>
          <w:i/>
          <w:noProof w:val="0"/>
        </w:rPr>
        <w:t>, 32 Suppl 1</w:t>
      </w:r>
      <w:r w:rsidRPr="00607787">
        <w:rPr>
          <w:noProof w:val="0"/>
        </w:rPr>
        <w:t xml:space="preserve">, 192-202. </w:t>
      </w:r>
      <w:r w:rsidR="00F21CB0" w:rsidRPr="00607787">
        <w:rPr>
          <w:noProof w:val="0"/>
        </w:rPr>
        <w:t>DOI:</w:t>
      </w:r>
      <w:r w:rsidRPr="00607787">
        <w:rPr>
          <w:rStyle w:val="Hyperlink"/>
          <w:noProof w:val="0"/>
        </w:rPr>
        <w:t>10.1002/hpja.439</w:t>
      </w:r>
      <w:r w:rsidRPr="00607787">
        <w:rPr>
          <w:noProof w:val="0"/>
        </w:rPr>
        <w:t xml:space="preserve"> </w:t>
      </w:r>
    </w:p>
    <w:p w14:paraId="2C519C87" w14:textId="7D4FFAF7" w:rsidR="00EB2B55" w:rsidRPr="00607787" w:rsidRDefault="00EB2B55" w:rsidP="003414BB">
      <w:pPr>
        <w:pStyle w:val="EndNoteBibliography"/>
        <w:ind w:left="720" w:hanging="720"/>
        <w:jc w:val="both"/>
        <w:rPr>
          <w:noProof w:val="0"/>
        </w:rPr>
      </w:pPr>
      <w:r w:rsidRPr="00607787">
        <w:rPr>
          <w:noProof w:val="0"/>
        </w:rPr>
        <w:t xml:space="preserve">Isgro, V., Sultana, J., Fontana, A., Ientile, V., Alecci, U., Scoglio, R., </w:t>
      </w:r>
      <w:proofErr w:type="spellStart"/>
      <w:r w:rsidRPr="00607787">
        <w:rPr>
          <w:noProof w:val="0"/>
        </w:rPr>
        <w:t>Magliozzo</w:t>
      </w:r>
      <w:proofErr w:type="spellEnd"/>
      <w:r w:rsidRPr="00607787">
        <w:rPr>
          <w:noProof w:val="0"/>
        </w:rPr>
        <w:t xml:space="preserve">, F., </w:t>
      </w:r>
      <w:proofErr w:type="spellStart"/>
      <w:r w:rsidRPr="00607787">
        <w:rPr>
          <w:noProof w:val="0"/>
        </w:rPr>
        <w:t>Scondotto</w:t>
      </w:r>
      <w:proofErr w:type="spellEnd"/>
      <w:r w:rsidRPr="00607787">
        <w:rPr>
          <w:noProof w:val="0"/>
        </w:rPr>
        <w:t xml:space="preserve">, S., </w:t>
      </w:r>
      <w:proofErr w:type="spellStart"/>
      <w:r w:rsidRPr="00607787">
        <w:rPr>
          <w:noProof w:val="0"/>
        </w:rPr>
        <w:t>Caramori</w:t>
      </w:r>
      <w:proofErr w:type="spellEnd"/>
      <w:r w:rsidRPr="00607787">
        <w:rPr>
          <w:noProof w:val="0"/>
        </w:rPr>
        <w:t xml:space="preserve">, G., Cazzola, M., &amp; Trifiro, G. (2020). Gender differences in COPD management in a Sicilian general practice setting: a cohort study evaluating the impact of educational interventions. </w:t>
      </w:r>
      <w:r w:rsidRPr="00607787">
        <w:rPr>
          <w:i/>
          <w:noProof w:val="0"/>
        </w:rPr>
        <w:t xml:space="preserve">ERJ </w:t>
      </w:r>
      <w:r w:rsidR="00D22A52">
        <w:rPr>
          <w:i/>
          <w:noProof w:val="0"/>
        </w:rPr>
        <w:t>O</w:t>
      </w:r>
      <w:r w:rsidRPr="00607787">
        <w:rPr>
          <w:i/>
          <w:noProof w:val="0"/>
        </w:rPr>
        <w:t xml:space="preserve">pen </w:t>
      </w:r>
      <w:r w:rsidR="00D22A52">
        <w:rPr>
          <w:i/>
          <w:noProof w:val="0"/>
        </w:rPr>
        <w:t>R</w:t>
      </w:r>
      <w:r w:rsidRPr="00607787">
        <w:rPr>
          <w:i/>
          <w:noProof w:val="0"/>
        </w:rPr>
        <w:t>esearch, 6</w:t>
      </w:r>
      <w:r w:rsidRPr="00607787">
        <w:rPr>
          <w:noProof w:val="0"/>
        </w:rPr>
        <w:t xml:space="preserve">(3). </w:t>
      </w:r>
      <w:r w:rsidR="002764E0" w:rsidRPr="00607787">
        <w:rPr>
          <w:noProof w:val="0"/>
        </w:rPr>
        <w:t>DOI:</w:t>
      </w:r>
      <w:r w:rsidRPr="00607787">
        <w:rPr>
          <w:rStyle w:val="Hyperlink"/>
          <w:noProof w:val="0"/>
        </w:rPr>
        <w:t>10.1183/23120541.00279-2020</w:t>
      </w:r>
      <w:r w:rsidRPr="00607787">
        <w:rPr>
          <w:noProof w:val="0"/>
        </w:rPr>
        <w:t xml:space="preserve"> </w:t>
      </w:r>
    </w:p>
    <w:p w14:paraId="51EEB737" w14:textId="77C80581" w:rsidR="00EB2B55" w:rsidRPr="00607787" w:rsidRDefault="00EB2B55" w:rsidP="003414BB">
      <w:pPr>
        <w:pStyle w:val="EndNoteBibliography"/>
        <w:ind w:left="720" w:hanging="720"/>
        <w:jc w:val="both"/>
        <w:rPr>
          <w:noProof w:val="0"/>
        </w:rPr>
      </w:pPr>
      <w:r w:rsidRPr="00607787">
        <w:rPr>
          <w:noProof w:val="0"/>
        </w:rPr>
        <w:t xml:space="preserve">Jarallah, Y., &amp; Baxter, J. (2019). Gender disparities and psychological distress among humanitarian migrants in Australia: a moderating role of migration pathway? </w:t>
      </w:r>
      <w:proofErr w:type="spellStart"/>
      <w:r w:rsidRPr="00607787">
        <w:rPr>
          <w:i/>
          <w:noProof w:val="0"/>
        </w:rPr>
        <w:t>Confl</w:t>
      </w:r>
      <w:proofErr w:type="spellEnd"/>
      <w:r w:rsidRPr="00607787">
        <w:rPr>
          <w:i/>
          <w:noProof w:val="0"/>
        </w:rPr>
        <w:t xml:space="preserve"> Health, 13</w:t>
      </w:r>
      <w:r w:rsidRPr="00607787">
        <w:rPr>
          <w:noProof w:val="0"/>
        </w:rPr>
        <w:t xml:space="preserve">, 13. </w:t>
      </w:r>
      <w:r w:rsidR="00567220" w:rsidRPr="00607787">
        <w:rPr>
          <w:noProof w:val="0"/>
        </w:rPr>
        <w:t>DOI:</w:t>
      </w:r>
      <w:r w:rsidRPr="00607787">
        <w:rPr>
          <w:rStyle w:val="Hyperlink"/>
          <w:noProof w:val="0"/>
        </w:rPr>
        <w:t>10.1186/s13031-019-0196-y</w:t>
      </w:r>
      <w:r w:rsidRPr="00607787">
        <w:rPr>
          <w:noProof w:val="0"/>
        </w:rPr>
        <w:t xml:space="preserve"> </w:t>
      </w:r>
    </w:p>
    <w:p w14:paraId="4DF7A075" w14:textId="36B5DA14" w:rsidR="00EB2B55" w:rsidRPr="00607787" w:rsidRDefault="00EB2B55" w:rsidP="003414BB">
      <w:pPr>
        <w:pStyle w:val="EndNoteBibliography"/>
        <w:ind w:left="720" w:hanging="720"/>
        <w:jc w:val="both"/>
        <w:rPr>
          <w:noProof w:val="0"/>
        </w:rPr>
      </w:pPr>
      <w:r w:rsidRPr="00607787">
        <w:rPr>
          <w:noProof w:val="0"/>
        </w:rPr>
        <w:t xml:space="preserve">Jawahar, Z., Elmer, S., Hawkins, M., &amp; Osborne, R.H. (2023). Application of the optimizing health literacy and access (Ophelia) process in partnership with a refugee community in Australia: Study protocol. </w:t>
      </w:r>
      <w:r w:rsidRPr="00607787">
        <w:rPr>
          <w:i/>
          <w:noProof w:val="0"/>
        </w:rPr>
        <w:t>Front Public Health, 11</w:t>
      </w:r>
      <w:r w:rsidRPr="00607787">
        <w:rPr>
          <w:noProof w:val="0"/>
        </w:rPr>
        <w:t xml:space="preserve">, 1112538. </w:t>
      </w:r>
      <w:r w:rsidR="00ED1C88" w:rsidRPr="00607787">
        <w:rPr>
          <w:noProof w:val="0"/>
        </w:rPr>
        <w:t>DOI:</w:t>
      </w:r>
      <w:r w:rsidRPr="00607787">
        <w:rPr>
          <w:rStyle w:val="Hyperlink"/>
          <w:noProof w:val="0"/>
        </w:rPr>
        <w:t>10.3389/fpubh.2023.1112538</w:t>
      </w:r>
      <w:r w:rsidRPr="00607787">
        <w:rPr>
          <w:noProof w:val="0"/>
        </w:rPr>
        <w:t xml:space="preserve"> </w:t>
      </w:r>
    </w:p>
    <w:p w14:paraId="2FD37C6D" w14:textId="4E6CA2C6" w:rsidR="00EB2B55" w:rsidRPr="00607787" w:rsidRDefault="00EB2B55" w:rsidP="003414BB">
      <w:pPr>
        <w:pStyle w:val="EndNoteBibliography"/>
        <w:ind w:left="720" w:hanging="720"/>
        <w:jc w:val="both"/>
        <w:rPr>
          <w:noProof w:val="0"/>
        </w:rPr>
      </w:pPr>
      <w:r w:rsidRPr="00607787">
        <w:rPr>
          <w:noProof w:val="0"/>
        </w:rPr>
        <w:t xml:space="preserve">Johansson, A., Torge, C.J., </w:t>
      </w:r>
      <w:proofErr w:type="spellStart"/>
      <w:r w:rsidRPr="00607787">
        <w:rPr>
          <w:noProof w:val="0"/>
        </w:rPr>
        <w:t>Fristedt</w:t>
      </w:r>
      <w:proofErr w:type="spellEnd"/>
      <w:r w:rsidRPr="00607787">
        <w:rPr>
          <w:noProof w:val="0"/>
        </w:rPr>
        <w:t xml:space="preserve">, S., &amp; Bravell, M.E. (2022). Relationships and gender differences within and between assessments used in Swedish home rehabilitation - a cross-sectional study. </w:t>
      </w:r>
      <w:r w:rsidRPr="00607787">
        <w:rPr>
          <w:i/>
          <w:noProof w:val="0"/>
        </w:rPr>
        <w:t>BMC Health Services Research, 22</w:t>
      </w:r>
      <w:r w:rsidRPr="00607787">
        <w:rPr>
          <w:noProof w:val="0"/>
        </w:rPr>
        <w:t xml:space="preserve">(1), 807. </w:t>
      </w:r>
      <w:r w:rsidR="00C1779B" w:rsidRPr="00607787">
        <w:rPr>
          <w:noProof w:val="0"/>
        </w:rPr>
        <w:t>DOI:</w:t>
      </w:r>
      <w:r w:rsidRPr="00607787">
        <w:rPr>
          <w:noProof w:val="0"/>
        </w:rPr>
        <w:t>10.1186/s12913-022-08177-x</w:t>
      </w:r>
    </w:p>
    <w:p w14:paraId="5F5925DB" w14:textId="1A2ED38C" w:rsidR="00EB2B55" w:rsidRPr="00607787" w:rsidRDefault="00EB2B55" w:rsidP="003414BB">
      <w:pPr>
        <w:pStyle w:val="EndNoteBibliography"/>
        <w:ind w:left="720" w:hanging="720"/>
        <w:jc w:val="both"/>
        <w:rPr>
          <w:noProof w:val="0"/>
        </w:rPr>
      </w:pPr>
      <w:r w:rsidRPr="00607787">
        <w:rPr>
          <w:noProof w:val="0"/>
        </w:rPr>
        <w:t xml:space="preserve">Kim, S., van </w:t>
      </w:r>
      <w:proofErr w:type="spellStart"/>
      <w:r w:rsidRPr="00607787">
        <w:rPr>
          <w:noProof w:val="0"/>
        </w:rPr>
        <w:t>Zwieten</w:t>
      </w:r>
      <w:proofErr w:type="spellEnd"/>
      <w:r w:rsidRPr="00607787">
        <w:rPr>
          <w:noProof w:val="0"/>
        </w:rPr>
        <w:t xml:space="preserve">, A., Wyld, M., Ladhani, M., Guha, C., Dominello, A., </w:t>
      </w:r>
      <w:proofErr w:type="spellStart"/>
      <w:r w:rsidRPr="00607787">
        <w:rPr>
          <w:noProof w:val="0"/>
        </w:rPr>
        <w:t>Mallitt</w:t>
      </w:r>
      <w:proofErr w:type="spellEnd"/>
      <w:r w:rsidRPr="00607787">
        <w:rPr>
          <w:noProof w:val="0"/>
        </w:rPr>
        <w:t xml:space="preserve">, K.A., Francis, A., Mannon, R.B., &amp; Wong, G. (2023). Sociodemographic </w:t>
      </w:r>
      <w:r w:rsidR="00C1779B" w:rsidRPr="00607787">
        <w:rPr>
          <w:noProof w:val="0"/>
        </w:rPr>
        <w:t>drivers of donor and recipient gender disparities in living kidney donation</w:t>
      </w:r>
      <w:r w:rsidRPr="00607787">
        <w:rPr>
          <w:noProof w:val="0"/>
        </w:rPr>
        <w:t xml:space="preserve"> in Australia. </w:t>
      </w:r>
      <w:r w:rsidRPr="00607787">
        <w:rPr>
          <w:i/>
          <w:noProof w:val="0"/>
        </w:rPr>
        <w:t>Kidney International Reports, 8</w:t>
      </w:r>
      <w:r w:rsidRPr="00607787">
        <w:rPr>
          <w:noProof w:val="0"/>
        </w:rPr>
        <w:t xml:space="preserve">(8), 1553-1561. </w:t>
      </w:r>
      <w:proofErr w:type="gramStart"/>
      <w:r w:rsidR="00C1779B" w:rsidRPr="00607787">
        <w:rPr>
          <w:noProof w:val="0"/>
        </w:rPr>
        <w:t>DOI:</w:t>
      </w:r>
      <w:r w:rsidRPr="00607787">
        <w:rPr>
          <w:rStyle w:val="Hyperlink"/>
          <w:noProof w:val="0"/>
        </w:rPr>
        <w:t>10.1016/j.ekir</w:t>
      </w:r>
      <w:proofErr w:type="gramEnd"/>
      <w:r w:rsidRPr="00607787">
        <w:rPr>
          <w:rStyle w:val="Hyperlink"/>
          <w:noProof w:val="0"/>
        </w:rPr>
        <w:t>.2023.05.016</w:t>
      </w:r>
      <w:r w:rsidRPr="00607787">
        <w:rPr>
          <w:noProof w:val="0"/>
        </w:rPr>
        <w:t xml:space="preserve"> </w:t>
      </w:r>
    </w:p>
    <w:p w14:paraId="7A0E2E9A" w14:textId="07ED654B" w:rsidR="00EB2B55" w:rsidRPr="00607787" w:rsidRDefault="00EB2B55" w:rsidP="003414BB">
      <w:pPr>
        <w:pStyle w:val="EndNoteBibliography"/>
        <w:ind w:left="720" w:hanging="720"/>
        <w:jc w:val="both"/>
        <w:rPr>
          <w:noProof w:val="0"/>
        </w:rPr>
      </w:pPr>
      <w:r w:rsidRPr="00607787">
        <w:rPr>
          <w:noProof w:val="0"/>
        </w:rPr>
        <w:t xml:space="preserve">Ladhani, M., Craig, J.C., &amp; Wong, G. (2019). Obesity and gender-biased access to deceased donor kidney transplantation. </w:t>
      </w:r>
      <w:r w:rsidRPr="00607787">
        <w:rPr>
          <w:i/>
          <w:noProof w:val="0"/>
        </w:rPr>
        <w:t>Nephrology Dialysis Transplantation, 35</w:t>
      </w:r>
      <w:r w:rsidRPr="00607787">
        <w:rPr>
          <w:noProof w:val="0"/>
        </w:rPr>
        <w:t xml:space="preserve">(1), 184-189. </w:t>
      </w:r>
      <w:r w:rsidR="00F97C97" w:rsidRPr="00607787">
        <w:rPr>
          <w:noProof w:val="0"/>
        </w:rPr>
        <w:t>DOI:</w:t>
      </w:r>
      <w:r w:rsidRPr="00607787">
        <w:rPr>
          <w:rStyle w:val="Hyperlink"/>
          <w:noProof w:val="0"/>
        </w:rPr>
        <w:t>10.1093/</w:t>
      </w:r>
      <w:proofErr w:type="spellStart"/>
      <w:r w:rsidRPr="00607787">
        <w:rPr>
          <w:rStyle w:val="Hyperlink"/>
          <w:noProof w:val="0"/>
        </w:rPr>
        <w:t>ndt</w:t>
      </w:r>
      <w:proofErr w:type="spellEnd"/>
      <w:r w:rsidRPr="00607787">
        <w:rPr>
          <w:rStyle w:val="Hyperlink"/>
          <w:noProof w:val="0"/>
        </w:rPr>
        <w:t>/gfz100</w:t>
      </w:r>
      <w:r w:rsidRPr="00607787">
        <w:rPr>
          <w:noProof w:val="0"/>
        </w:rPr>
        <w:t xml:space="preserve"> </w:t>
      </w:r>
    </w:p>
    <w:p w14:paraId="0D1EC74E" w14:textId="29DF77B9" w:rsidR="00EB2B55" w:rsidRPr="00607787" w:rsidRDefault="00EB2B55" w:rsidP="003414BB">
      <w:pPr>
        <w:pStyle w:val="EndNoteBibliography"/>
        <w:ind w:left="720" w:hanging="720"/>
        <w:jc w:val="both"/>
        <w:rPr>
          <w:noProof w:val="0"/>
        </w:rPr>
      </w:pPr>
      <w:r w:rsidRPr="00607787">
        <w:rPr>
          <w:noProof w:val="0"/>
        </w:rPr>
        <w:t xml:space="preserve">Lee, C.M.Y., </w:t>
      </w:r>
      <w:proofErr w:type="spellStart"/>
      <w:r w:rsidRPr="00607787">
        <w:rPr>
          <w:noProof w:val="0"/>
        </w:rPr>
        <w:t>Mnatzaganian</w:t>
      </w:r>
      <w:proofErr w:type="spellEnd"/>
      <w:r w:rsidRPr="00607787">
        <w:rPr>
          <w:noProof w:val="0"/>
        </w:rPr>
        <w:t xml:space="preserve">, G., Woodward, M., Chow, C.K., </w:t>
      </w:r>
      <w:proofErr w:type="spellStart"/>
      <w:r w:rsidRPr="00607787">
        <w:rPr>
          <w:noProof w:val="0"/>
        </w:rPr>
        <w:t>Sitas</w:t>
      </w:r>
      <w:proofErr w:type="spellEnd"/>
      <w:r w:rsidRPr="00607787">
        <w:rPr>
          <w:noProof w:val="0"/>
        </w:rPr>
        <w:t xml:space="preserve">, F., Robinson, S., &amp; Huxley, R.R. (2019). Sex disparities in the management of coronary heart disease in general practices in Australia. </w:t>
      </w:r>
      <w:r w:rsidRPr="00607787">
        <w:rPr>
          <w:i/>
          <w:noProof w:val="0"/>
        </w:rPr>
        <w:t>Heart, 105</w:t>
      </w:r>
      <w:r w:rsidRPr="00607787">
        <w:rPr>
          <w:noProof w:val="0"/>
        </w:rPr>
        <w:t xml:space="preserve">(24), 1898-1904. </w:t>
      </w:r>
      <w:r w:rsidR="00CC1B36" w:rsidRPr="00607787">
        <w:rPr>
          <w:noProof w:val="0"/>
        </w:rPr>
        <w:t>DOI:</w:t>
      </w:r>
      <w:r w:rsidRPr="00607787">
        <w:rPr>
          <w:rStyle w:val="Hyperlink"/>
          <w:noProof w:val="0"/>
        </w:rPr>
        <w:t>10.1136/heartjnl-2019-315134</w:t>
      </w:r>
      <w:r w:rsidRPr="00607787">
        <w:rPr>
          <w:noProof w:val="0"/>
        </w:rPr>
        <w:t xml:space="preserve"> </w:t>
      </w:r>
    </w:p>
    <w:p w14:paraId="70D0AA77" w14:textId="1ECE837F" w:rsidR="00EB2B55" w:rsidRPr="00607787" w:rsidRDefault="00EB2B55" w:rsidP="003414BB">
      <w:pPr>
        <w:pStyle w:val="EndNoteBibliography"/>
        <w:ind w:left="720" w:hanging="720"/>
        <w:jc w:val="both"/>
        <w:rPr>
          <w:noProof w:val="0"/>
        </w:rPr>
      </w:pPr>
      <w:r w:rsidRPr="00607787">
        <w:rPr>
          <w:noProof w:val="0"/>
        </w:rPr>
        <w:t xml:space="preserve">Lego, V.D. (2023). Uncovering the gender health data gap. </w:t>
      </w:r>
      <w:r w:rsidRPr="00607787">
        <w:rPr>
          <w:i/>
          <w:noProof w:val="0"/>
        </w:rPr>
        <w:t>Cad Saude Publica, 39</w:t>
      </w:r>
      <w:r w:rsidRPr="00607787">
        <w:rPr>
          <w:noProof w:val="0"/>
        </w:rPr>
        <w:t xml:space="preserve">(7), e00065423. </w:t>
      </w:r>
      <w:r w:rsidR="00F1580A" w:rsidRPr="00607787">
        <w:rPr>
          <w:noProof w:val="0"/>
        </w:rPr>
        <w:t>DOI:</w:t>
      </w:r>
      <w:r w:rsidRPr="00607787">
        <w:rPr>
          <w:rStyle w:val="Hyperlink"/>
          <w:noProof w:val="0"/>
        </w:rPr>
        <w:t>10.1590/0102-311xen065423</w:t>
      </w:r>
      <w:r w:rsidRPr="00607787">
        <w:rPr>
          <w:noProof w:val="0"/>
        </w:rPr>
        <w:t xml:space="preserve"> </w:t>
      </w:r>
    </w:p>
    <w:p w14:paraId="10287ABD" w14:textId="264E189D" w:rsidR="00EB2B55" w:rsidRPr="001568C5" w:rsidRDefault="00EB2B55" w:rsidP="003414BB">
      <w:pPr>
        <w:pStyle w:val="EndNoteBibliography"/>
        <w:ind w:left="720" w:hanging="720"/>
        <w:jc w:val="both"/>
        <w:rPr>
          <w:noProof w:val="0"/>
        </w:rPr>
      </w:pPr>
      <w:r w:rsidRPr="001568C5">
        <w:rPr>
          <w:noProof w:val="0"/>
        </w:rPr>
        <w:lastRenderedPageBreak/>
        <w:t xml:space="preserve">Looi, K.-L., Sidhu, K., Cooper, L., Dawson, L., Slipper, D., Gavin, A., &amp; Lever, N. (2018). Gender differences in the use of primary prevention ICDs in New Zealand patients with heart failure. </w:t>
      </w:r>
      <w:r w:rsidRPr="001568C5">
        <w:rPr>
          <w:i/>
          <w:noProof w:val="0"/>
        </w:rPr>
        <w:t>Heart Asia, 10</w:t>
      </w:r>
      <w:r w:rsidRPr="001568C5">
        <w:rPr>
          <w:noProof w:val="0"/>
        </w:rPr>
        <w:t xml:space="preserve">(1), e010985. </w:t>
      </w:r>
      <w:r w:rsidR="00513DF4" w:rsidRPr="001568C5">
        <w:rPr>
          <w:noProof w:val="0"/>
        </w:rPr>
        <w:t>DOI:</w:t>
      </w:r>
      <w:r w:rsidRPr="00806C15">
        <w:rPr>
          <w:rStyle w:val="Hyperlink"/>
          <w:noProof w:val="0"/>
          <w:color w:val="auto"/>
        </w:rPr>
        <w:t>10.1136/heartasia-2017-010985</w:t>
      </w:r>
      <w:r w:rsidRPr="001568C5">
        <w:rPr>
          <w:noProof w:val="0"/>
        </w:rPr>
        <w:t xml:space="preserve"> </w:t>
      </w:r>
    </w:p>
    <w:p w14:paraId="1D12FF53" w14:textId="1A1D783C" w:rsidR="00D518A5" w:rsidRPr="001568C5" w:rsidRDefault="00B978FA"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shd w:val="clear" w:color="auto" w:fill="FFFFFF"/>
        </w:rPr>
        <w:t xml:space="preserve">Lubel, J.S., Strasser, S.I., Thompson, A.J., Cowie, B.C., MacLachlan, J., Allard, N.L., ... &amp; Matthews, G.V. </w:t>
      </w:r>
      <w:r w:rsidR="00FB3976" w:rsidRPr="001568C5">
        <w:rPr>
          <w:rFonts w:asciiTheme="minorHAnsi" w:hAnsiTheme="minorHAnsi" w:cstheme="minorHAnsi"/>
          <w:shd w:val="clear" w:color="auto" w:fill="FFFFFF"/>
        </w:rPr>
        <w:t xml:space="preserve">(2022). Australian consensus recommendations for the management of hepatitis B. </w:t>
      </w:r>
      <w:r w:rsidR="00FB3976" w:rsidRPr="001568C5">
        <w:rPr>
          <w:rFonts w:asciiTheme="minorHAnsi" w:hAnsiTheme="minorHAnsi" w:cstheme="minorHAnsi"/>
          <w:i/>
          <w:iCs/>
          <w:shd w:val="clear" w:color="auto" w:fill="FFFFFF"/>
        </w:rPr>
        <w:t>Med J Aust</w:t>
      </w:r>
      <w:r w:rsidR="00FB3976" w:rsidRPr="001568C5">
        <w:rPr>
          <w:rFonts w:asciiTheme="minorHAnsi" w:hAnsiTheme="minorHAnsi" w:cstheme="minorHAnsi"/>
          <w:shd w:val="clear" w:color="auto" w:fill="FFFFFF"/>
        </w:rPr>
        <w:t xml:space="preserve">, </w:t>
      </w:r>
      <w:r w:rsidR="00FB3976" w:rsidRPr="001568C5">
        <w:rPr>
          <w:rFonts w:asciiTheme="minorHAnsi" w:hAnsiTheme="minorHAnsi" w:cstheme="minorHAnsi"/>
          <w:i/>
          <w:iCs/>
          <w:shd w:val="clear" w:color="auto" w:fill="FFFFFF"/>
        </w:rPr>
        <w:t>216</w:t>
      </w:r>
      <w:r w:rsidR="00FB3976" w:rsidRPr="001568C5">
        <w:rPr>
          <w:rFonts w:asciiTheme="minorHAnsi" w:hAnsiTheme="minorHAnsi" w:cstheme="minorHAnsi"/>
          <w:shd w:val="clear" w:color="auto" w:fill="FFFFFF"/>
        </w:rPr>
        <w:t>(9), 478-486.</w:t>
      </w:r>
      <w:r w:rsidR="00FB3976" w:rsidRPr="001568C5">
        <w:rPr>
          <w:rFonts w:asciiTheme="minorHAnsi" w:hAnsiTheme="minorHAnsi" w:cstheme="minorHAnsi"/>
          <w:spacing w:val="-2"/>
        </w:rPr>
        <w:t xml:space="preserve"> DOI:10.5694/mja2.51430</w:t>
      </w:r>
    </w:p>
    <w:p w14:paraId="7BF96086" w14:textId="561503F7" w:rsidR="00EB2B55" w:rsidRPr="001568C5" w:rsidRDefault="00EB2B55" w:rsidP="003414BB">
      <w:pPr>
        <w:pStyle w:val="EndNoteBibliography"/>
        <w:ind w:left="720" w:hanging="720"/>
        <w:jc w:val="both"/>
        <w:rPr>
          <w:noProof w:val="0"/>
        </w:rPr>
      </w:pPr>
      <w:proofErr w:type="spellStart"/>
      <w:r w:rsidRPr="001568C5">
        <w:rPr>
          <w:noProof w:val="0"/>
        </w:rPr>
        <w:t>Łyszczarz</w:t>
      </w:r>
      <w:proofErr w:type="spellEnd"/>
      <w:r w:rsidRPr="001568C5">
        <w:rPr>
          <w:noProof w:val="0"/>
        </w:rPr>
        <w:t xml:space="preserve">, B. (2017). Gender bias and sex-based differences in health care efficiency in Polish regions. </w:t>
      </w:r>
      <w:r w:rsidRPr="001568C5">
        <w:rPr>
          <w:i/>
          <w:noProof w:val="0"/>
        </w:rPr>
        <w:t>Int J Equity Health, 16</w:t>
      </w:r>
      <w:r w:rsidRPr="001568C5">
        <w:rPr>
          <w:noProof w:val="0"/>
        </w:rPr>
        <w:t xml:space="preserve">(1), 8. </w:t>
      </w:r>
      <w:r w:rsidR="00070C9E" w:rsidRPr="001568C5">
        <w:rPr>
          <w:noProof w:val="0"/>
        </w:rPr>
        <w:t>DOI:</w:t>
      </w:r>
      <w:r w:rsidRPr="001568C5">
        <w:rPr>
          <w:rStyle w:val="Hyperlink"/>
          <w:noProof w:val="0"/>
          <w:color w:val="auto"/>
        </w:rPr>
        <w:t>10.1186/s12939-016-0501-y</w:t>
      </w:r>
      <w:r w:rsidRPr="001568C5">
        <w:rPr>
          <w:noProof w:val="0"/>
        </w:rPr>
        <w:t xml:space="preserve"> </w:t>
      </w:r>
    </w:p>
    <w:p w14:paraId="28F8F9E7" w14:textId="566D81B6" w:rsidR="00EB2B55" w:rsidRPr="001568C5" w:rsidRDefault="00FA7F7D" w:rsidP="003414BB">
      <w:pPr>
        <w:pStyle w:val="EndNoteBibliography"/>
        <w:ind w:left="720" w:hanging="720"/>
        <w:jc w:val="both"/>
        <w:rPr>
          <w:noProof w:val="0"/>
        </w:rPr>
      </w:pPr>
      <w:r w:rsidRPr="001568C5">
        <w:rPr>
          <w:rFonts w:asciiTheme="minorHAnsi" w:hAnsiTheme="minorHAnsi" w:cstheme="minorHAnsi"/>
          <w:shd w:val="clear" w:color="auto" w:fill="FFFFFF"/>
        </w:rPr>
        <w:t xml:space="preserve">Malhi, G.S., Bell, E., Bassett, D., Boyce, P., Bryant, R., Hazell, P., ... &amp; Murray, G. (2021). </w:t>
      </w:r>
      <w:r w:rsidR="00701FC8" w:rsidRPr="001568C5">
        <w:rPr>
          <w:rFonts w:asciiTheme="minorHAnsi" w:hAnsiTheme="minorHAnsi" w:cstheme="minorHAnsi"/>
        </w:rPr>
        <w:t>The 2020 Royal Australian and New Zealand College of Psychiatrists</w:t>
      </w:r>
      <w:r w:rsidR="00701FC8" w:rsidRPr="001568C5">
        <w:rPr>
          <w:rFonts w:asciiTheme="minorHAnsi" w:hAnsiTheme="minorHAnsi" w:cstheme="minorHAnsi"/>
          <w:spacing w:val="-12"/>
        </w:rPr>
        <w:t xml:space="preserve"> </w:t>
      </w:r>
      <w:r w:rsidR="00701FC8" w:rsidRPr="001568C5">
        <w:rPr>
          <w:rFonts w:asciiTheme="minorHAnsi" w:hAnsiTheme="minorHAnsi" w:cstheme="minorHAnsi"/>
        </w:rPr>
        <w:t>clinical</w:t>
      </w:r>
      <w:r w:rsidR="00701FC8" w:rsidRPr="001568C5">
        <w:rPr>
          <w:rFonts w:asciiTheme="minorHAnsi" w:hAnsiTheme="minorHAnsi" w:cstheme="minorHAnsi"/>
          <w:spacing w:val="-12"/>
        </w:rPr>
        <w:t xml:space="preserve"> </w:t>
      </w:r>
      <w:r w:rsidR="00701FC8" w:rsidRPr="001568C5">
        <w:rPr>
          <w:rFonts w:asciiTheme="minorHAnsi" w:hAnsiTheme="minorHAnsi" w:cstheme="minorHAnsi"/>
        </w:rPr>
        <w:t>practice</w:t>
      </w:r>
      <w:r w:rsidR="00701FC8" w:rsidRPr="001568C5">
        <w:rPr>
          <w:rFonts w:asciiTheme="minorHAnsi" w:hAnsiTheme="minorHAnsi" w:cstheme="minorHAnsi"/>
          <w:spacing w:val="-12"/>
        </w:rPr>
        <w:t xml:space="preserve"> </w:t>
      </w:r>
      <w:r w:rsidR="00701FC8" w:rsidRPr="001568C5">
        <w:rPr>
          <w:rFonts w:asciiTheme="minorHAnsi" w:hAnsiTheme="minorHAnsi" w:cstheme="minorHAnsi"/>
        </w:rPr>
        <w:t xml:space="preserve">guidelines for mood disorders. </w:t>
      </w:r>
      <w:r w:rsidR="00701FC8" w:rsidRPr="001568C5">
        <w:rPr>
          <w:rFonts w:asciiTheme="minorHAnsi" w:hAnsiTheme="minorHAnsi" w:cstheme="minorHAnsi"/>
          <w:i/>
        </w:rPr>
        <w:t>ANZJ Psychiatr,</w:t>
      </w:r>
      <w:r w:rsidR="00701FC8" w:rsidRPr="001568C5">
        <w:rPr>
          <w:rFonts w:asciiTheme="minorHAnsi" w:hAnsiTheme="minorHAnsi" w:cstheme="minorHAnsi"/>
          <w:spacing w:val="-2"/>
        </w:rPr>
        <w:t xml:space="preserve"> 55(1):7-117. doi:10.1177/0004867420979353</w:t>
      </w:r>
    </w:p>
    <w:p w14:paraId="492922BC" w14:textId="24D2F062" w:rsidR="00EB2B55" w:rsidRPr="001568C5" w:rsidRDefault="00EB2B55" w:rsidP="003414BB">
      <w:pPr>
        <w:pStyle w:val="EndNoteBibliography"/>
        <w:ind w:left="720" w:hanging="720"/>
        <w:jc w:val="both"/>
        <w:rPr>
          <w:noProof w:val="0"/>
        </w:rPr>
      </w:pPr>
      <w:r w:rsidRPr="001568C5">
        <w:rPr>
          <w:noProof w:val="0"/>
        </w:rPr>
        <w:t xml:space="preserve">Mansukhani, N.A., Yoon, D.Y., Teter, K.A., Stubbs, V.C., </w:t>
      </w:r>
      <w:proofErr w:type="spellStart"/>
      <w:r w:rsidRPr="001568C5">
        <w:rPr>
          <w:noProof w:val="0"/>
        </w:rPr>
        <w:t>Helenowski</w:t>
      </w:r>
      <w:proofErr w:type="spellEnd"/>
      <w:r w:rsidRPr="001568C5">
        <w:rPr>
          <w:noProof w:val="0"/>
        </w:rPr>
        <w:t xml:space="preserve">, I.B., Woodruff, T.K., &amp; Kibbe, M.R. (2016). Determining </w:t>
      </w:r>
      <w:r w:rsidR="007C4480" w:rsidRPr="001568C5">
        <w:rPr>
          <w:noProof w:val="0"/>
        </w:rPr>
        <w:t>if sex bias exists in human surgical clinical research</w:t>
      </w:r>
      <w:r w:rsidRPr="001568C5">
        <w:rPr>
          <w:noProof w:val="0"/>
        </w:rPr>
        <w:t xml:space="preserve">. </w:t>
      </w:r>
      <w:r w:rsidRPr="001568C5">
        <w:rPr>
          <w:i/>
          <w:noProof w:val="0"/>
        </w:rPr>
        <w:t>JAMA Surg, 151</w:t>
      </w:r>
      <w:r w:rsidRPr="001568C5">
        <w:rPr>
          <w:noProof w:val="0"/>
        </w:rPr>
        <w:t xml:space="preserve">(11), 1022-1030. </w:t>
      </w:r>
      <w:r w:rsidR="007C4480" w:rsidRPr="001568C5">
        <w:rPr>
          <w:noProof w:val="0"/>
        </w:rPr>
        <w:t>DOI:</w:t>
      </w:r>
      <w:r w:rsidRPr="001568C5">
        <w:rPr>
          <w:rStyle w:val="Hyperlink"/>
          <w:noProof w:val="0"/>
          <w:color w:val="auto"/>
        </w:rPr>
        <w:t>10.1001/jamasurg.2016.2032</w:t>
      </w:r>
      <w:r w:rsidRPr="001568C5">
        <w:rPr>
          <w:noProof w:val="0"/>
        </w:rPr>
        <w:t xml:space="preserve"> </w:t>
      </w:r>
    </w:p>
    <w:p w14:paraId="54F906AE" w14:textId="4987509E" w:rsidR="00CA49C2" w:rsidRPr="0002455F" w:rsidRDefault="00CA49C2" w:rsidP="003414BB">
      <w:pPr>
        <w:pStyle w:val="EndNoteBibliography"/>
        <w:ind w:left="720" w:hanging="720"/>
        <w:jc w:val="both"/>
        <w:rPr>
          <w:rFonts w:asciiTheme="minorHAnsi" w:hAnsiTheme="minorHAnsi" w:cstheme="minorHAnsi"/>
        </w:rPr>
      </w:pPr>
      <w:r w:rsidRPr="0002455F">
        <w:rPr>
          <w:rFonts w:asciiTheme="minorHAnsi" w:hAnsiTheme="minorHAnsi" w:cstheme="minorHAnsi"/>
        </w:rPr>
        <w:t xml:space="preserve">McBride, K., Nguyen, J., Dowling, A., Howard, N.J., Franks, C., Hillier, S., </w:t>
      </w:r>
      <w:r w:rsidR="0002455F">
        <w:rPr>
          <w:rFonts w:asciiTheme="minorHAnsi" w:hAnsiTheme="minorHAnsi" w:cstheme="minorHAnsi"/>
          <w:color w:val="222222"/>
          <w:shd w:val="clear" w:color="auto" w:fill="FFFFFF"/>
        </w:rPr>
        <w:t xml:space="preserve">. . . </w:t>
      </w:r>
      <w:r w:rsidR="0002455F" w:rsidRPr="0002455F">
        <w:rPr>
          <w:rFonts w:asciiTheme="minorHAnsi" w:hAnsiTheme="minorHAnsi" w:cstheme="minorHAnsi"/>
          <w:color w:val="00313C"/>
          <w:shd w:val="clear" w:color="auto" w:fill="FFFFFF"/>
        </w:rPr>
        <w:t>&amp; Brown, A</w:t>
      </w:r>
      <w:r w:rsidRPr="0002455F">
        <w:rPr>
          <w:rFonts w:asciiTheme="minorHAnsi" w:hAnsiTheme="minorHAnsi" w:cstheme="minorHAnsi"/>
        </w:rPr>
        <w:t xml:space="preserve">. (2022). A systematic review on assessment and management of preventive cardiovascular care in primary health for Aboriginal and Torres Strait Islander women and men. </w:t>
      </w:r>
      <w:r w:rsidRPr="0002455F">
        <w:rPr>
          <w:rFonts w:asciiTheme="minorHAnsi" w:hAnsiTheme="minorHAnsi" w:cstheme="minorHAnsi"/>
          <w:i/>
        </w:rPr>
        <w:t>Aust J Prim Health, 28</w:t>
      </w:r>
      <w:r w:rsidRPr="0002455F">
        <w:rPr>
          <w:rFonts w:asciiTheme="minorHAnsi" w:hAnsiTheme="minorHAnsi" w:cstheme="minorHAnsi"/>
        </w:rPr>
        <w:t>(3), 179-199. DOI:10.1071/PY21219</w:t>
      </w:r>
      <w:r w:rsidR="0002455F" w:rsidRPr="0002455F">
        <w:rPr>
          <w:rFonts w:asciiTheme="minorHAnsi" w:hAnsiTheme="minorHAnsi" w:cstheme="minorHAnsi"/>
        </w:rPr>
        <w:t xml:space="preserve"> </w:t>
      </w:r>
    </w:p>
    <w:p w14:paraId="4B5CB3BF" w14:textId="1438754F" w:rsidR="00293810" w:rsidRPr="001568C5" w:rsidRDefault="000011CA"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shd w:val="clear" w:color="auto" w:fill="FFFFFF"/>
        </w:rPr>
        <w:t xml:space="preserve">McTaggart, S., Danchin, M., Ditchfield, M., Hewitt, I., Kausman, J., Kennedy, S., ... &amp; Williams, G. </w:t>
      </w:r>
      <w:r w:rsidR="00293810" w:rsidRPr="001568C5">
        <w:rPr>
          <w:rFonts w:asciiTheme="minorHAnsi" w:hAnsiTheme="minorHAnsi" w:cstheme="minorHAnsi"/>
          <w:shd w:val="clear" w:color="auto" w:fill="FFFFFF"/>
        </w:rPr>
        <w:t xml:space="preserve">(2015). KHA‐CARI guideline: diagnosis and treatment of urinary tract infection in children. </w:t>
      </w:r>
      <w:r w:rsidR="00293810" w:rsidRPr="001568C5">
        <w:rPr>
          <w:rFonts w:asciiTheme="minorHAnsi" w:hAnsiTheme="minorHAnsi" w:cstheme="minorHAnsi"/>
          <w:i/>
          <w:iCs/>
          <w:shd w:val="clear" w:color="auto" w:fill="FFFFFF"/>
        </w:rPr>
        <w:t>Nephrology</w:t>
      </w:r>
      <w:r w:rsidR="00293810" w:rsidRPr="001568C5">
        <w:rPr>
          <w:rFonts w:asciiTheme="minorHAnsi" w:hAnsiTheme="minorHAnsi" w:cstheme="minorHAnsi"/>
          <w:shd w:val="clear" w:color="auto" w:fill="FFFFFF"/>
        </w:rPr>
        <w:t xml:space="preserve">, </w:t>
      </w:r>
      <w:r w:rsidR="00293810" w:rsidRPr="001568C5">
        <w:rPr>
          <w:rFonts w:asciiTheme="minorHAnsi" w:hAnsiTheme="minorHAnsi" w:cstheme="minorHAnsi"/>
          <w:i/>
          <w:iCs/>
          <w:shd w:val="clear" w:color="auto" w:fill="FFFFFF"/>
        </w:rPr>
        <w:t>20</w:t>
      </w:r>
      <w:r w:rsidR="00293810" w:rsidRPr="001568C5">
        <w:rPr>
          <w:rFonts w:asciiTheme="minorHAnsi" w:hAnsiTheme="minorHAnsi" w:cstheme="minorHAnsi"/>
          <w:shd w:val="clear" w:color="auto" w:fill="FFFFFF"/>
        </w:rPr>
        <w:t xml:space="preserve">(2), 55-60. </w:t>
      </w:r>
      <w:r w:rsidR="00293810" w:rsidRPr="001568C5">
        <w:rPr>
          <w:rFonts w:asciiTheme="minorHAnsi" w:hAnsiTheme="minorHAnsi" w:cstheme="minorHAnsi"/>
        </w:rPr>
        <w:t>DOI:10.1111/nep.12349</w:t>
      </w:r>
    </w:p>
    <w:p w14:paraId="78AF52DA" w14:textId="3889A462" w:rsidR="00CF46B0" w:rsidRPr="001568C5" w:rsidRDefault="00CF46B0"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shd w:val="clear" w:color="auto" w:fill="FFFFFF"/>
        </w:rPr>
        <w:t xml:space="preserve">Medley, T.L., Miteff, C., Andrews, I., Ware, T., Cheung, M., Monagle, P., ... &amp; Mackay, M.T. (2019). </w:t>
      </w:r>
      <w:r w:rsidRPr="001568C5">
        <w:rPr>
          <w:rFonts w:asciiTheme="minorHAnsi" w:hAnsiTheme="minorHAnsi" w:cstheme="minorHAnsi"/>
        </w:rPr>
        <w:t xml:space="preserve">Australian Clinical Consensus Guideline: The diagnosis and acute management of childhood stroke. </w:t>
      </w:r>
      <w:r w:rsidRPr="001568C5">
        <w:rPr>
          <w:rFonts w:asciiTheme="minorHAnsi" w:hAnsiTheme="minorHAnsi" w:cstheme="minorHAnsi"/>
          <w:i/>
          <w:iCs/>
        </w:rPr>
        <w:t>In</w:t>
      </w:r>
      <w:r w:rsidR="00D22A52">
        <w:rPr>
          <w:rFonts w:asciiTheme="minorHAnsi" w:hAnsiTheme="minorHAnsi" w:cstheme="minorHAnsi"/>
          <w:i/>
          <w:iCs/>
        </w:rPr>
        <w:t>t</w:t>
      </w:r>
      <w:r w:rsidRPr="001568C5">
        <w:rPr>
          <w:rFonts w:asciiTheme="minorHAnsi" w:hAnsiTheme="minorHAnsi" w:cstheme="minorHAnsi"/>
          <w:i/>
          <w:iCs/>
        </w:rPr>
        <w:t xml:space="preserve"> J Stroke, 14</w:t>
      </w:r>
      <w:r w:rsidRPr="001568C5">
        <w:rPr>
          <w:rFonts w:asciiTheme="minorHAnsi" w:hAnsiTheme="minorHAnsi" w:cstheme="minorHAnsi"/>
        </w:rPr>
        <w:t>(1):94-106. DOI:10.1177/1747493018799958</w:t>
      </w:r>
    </w:p>
    <w:p w14:paraId="4A266588" w14:textId="0FE2A9D8" w:rsidR="00EB2B55" w:rsidRDefault="00EB2B55" w:rsidP="003414BB">
      <w:pPr>
        <w:pStyle w:val="EndNoteBibliography"/>
        <w:ind w:left="720" w:hanging="720"/>
        <w:jc w:val="both"/>
        <w:rPr>
          <w:noProof w:val="0"/>
        </w:rPr>
      </w:pPr>
      <w:proofErr w:type="spellStart"/>
      <w:r w:rsidRPr="00607787">
        <w:rPr>
          <w:noProof w:val="0"/>
        </w:rPr>
        <w:t>Meidert</w:t>
      </w:r>
      <w:proofErr w:type="spellEnd"/>
      <w:r w:rsidRPr="00607787">
        <w:rPr>
          <w:noProof w:val="0"/>
        </w:rPr>
        <w:t xml:space="preserve">, U., </w:t>
      </w:r>
      <w:proofErr w:type="spellStart"/>
      <w:r w:rsidRPr="00607787">
        <w:rPr>
          <w:noProof w:val="0"/>
        </w:rPr>
        <w:t>Dönnges</w:t>
      </w:r>
      <w:proofErr w:type="spellEnd"/>
      <w:r w:rsidRPr="00607787">
        <w:rPr>
          <w:noProof w:val="0"/>
        </w:rPr>
        <w:t xml:space="preserve">, G., Bucher, T., Wieber, F., &amp; Gerber-Grote, A. (2023). Unconscious </w:t>
      </w:r>
      <w:r w:rsidR="00852042" w:rsidRPr="00607787">
        <w:rPr>
          <w:noProof w:val="0"/>
        </w:rPr>
        <w:t>bias among health professionals</w:t>
      </w:r>
      <w:r w:rsidRPr="00607787">
        <w:rPr>
          <w:noProof w:val="0"/>
        </w:rPr>
        <w:t xml:space="preserve">: A </w:t>
      </w:r>
      <w:r w:rsidR="00852042" w:rsidRPr="00607787">
        <w:rPr>
          <w:noProof w:val="0"/>
        </w:rPr>
        <w:t>scoping review</w:t>
      </w:r>
      <w:r w:rsidRPr="00607787">
        <w:rPr>
          <w:noProof w:val="0"/>
        </w:rPr>
        <w:t xml:space="preserve">. </w:t>
      </w:r>
      <w:r w:rsidRPr="00607787">
        <w:rPr>
          <w:i/>
          <w:noProof w:val="0"/>
        </w:rPr>
        <w:t>Int J Environ Res Public Health, 20</w:t>
      </w:r>
      <w:r w:rsidRPr="00607787">
        <w:rPr>
          <w:noProof w:val="0"/>
        </w:rPr>
        <w:t xml:space="preserve">(16). </w:t>
      </w:r>
      <w:r w:rsidR="00852042" w:rsidRPr="00607787">
        <w:rPr>
          <w:noProof w:val="0"/>
        </w:rPr>
        <w:t>DOI:</w:t>
      </w:r>
      <w:r w:rsidRPr="00607787">
        <w:rPr>
          <w:rStyle w:val="Hyperlink"/>
          <w:noProof w:val="0"/>
        </w:rPr>
        <w:t>10.3390/ijerph20166569</w:t>
      </w:r>
      <w:r w:rsidRPr="00607787">
        <w:rPr>
          <w:noProof w:val="0"/>
        </w:rPr>
        <w:t xml:space="preserve"> </w:t>
      </w:r>
    </w:p>
    <w:p w14:paraId="42312235" w14:textId="457BDC0F" w:rsidR="00DD5C1C" w:rsidRPr="00607787" w:rsidRDefault="00DD5C1C" w:rsidP="003414BB">
      <w:pPr>
        <w:pStyle w:val="EndNoteBibliography"/>
        <w:ind w:left="720" w:hanging="720"/>
        <w:jc w:val="both"/>
        <w:rPr>
          <w:noProof w:val="0"/>
        </w:rPr>
      </w:pPr>
      <w:r w:rsidRPr="00607787">
        <w:rPr>
          <w:shd w:val="clear" w:color="auto" w:fill="FFFFFF"/>
        </w:rPr>
        <w:t xml:space="preserve">Mena, E., &amp; Bolte, G. (2019). Intersectionality-based quantitative health research and sex/gender sensitivity: a scoping review. </w:t>
      </w:r>
      <w:r w:rsidRPr="00607787">
        <w:rPr>
          <w:i/>
          <w:iCs/>
          <w:shd w:val="clear" w:color="auto" w:fill="FFFFFF"/>
        </w:rPr>
        <w:t>Int J Equity Health, 18</w:t>
      </w:r>
      <w:r w:rsidRPr="00607787">
        <w:rPr>
          <w:shd w:val="clear" w:color="auto" w:fill="FFFFFF"/>
        </w:rPr>
        <w:t>(1), 199. DOI:10.1186/s12939-019-1098-8</w:t>
      </w:r>
    </w:p>
    <w:p w14:paraId="3E11E713" w14:textId="13BD7D79" w:rsidR="00EB2B55" w:rsidRPr="00607787" w:rsidRDefault="00EB2B55" w:rsidP="003414BB">
      <w:pPr>
        <w:pStyle w:val="EndNoteBibliography"/>
        <w:ind w:left="720" w:hanging="720"/>
        <w:jc w:val="both"/>
        <w:rPr>
          <w:noProof w:val="0"/>
        </w:rPr>
      </w:pPr>
      <w:r w:rsidRPr="00607787">
        <w:rPr>
          <w:noProof w:val="0"/>
        </w:rPr>
        <w:t xml:space="preserve">Merone, L., </w:t>
      </w:r>
      <w:proofErr w:type="spellStart"/>
      <w:r w:rsidRPr="00607787">
        <w:rPr>
          <w:noProof w:val="0"/>
        </w:rPr>
        <w:t>Tsey</w:t>
      </w:r>
      <w:proofErr w:type="spellEnd"/>
      <w:r w:rsidRPr="00607787">
        <w:rPr>
          <w:noProof w:val="0"/>
        </w:rPr>
        <w:t xml:space="preserve">, K., Russell, D., &amp; Nagle, C. (2022). Sex </w:t>
      </w:r>
      <w:r w:rsidR="00383374" w:rsidRPr="00607787">
        <w:rPr>
          <w:noProof w:val="0"/>
        </w:rPr>
        <w:t>inequalities in medical research</w:t>
      </w:r>
      <w:r w:rsidRPr="00607787">
        <w:rPr>
          <w:noProof w:val="0"/>
        </w:rPr>
        <w:t xml:space="preserve">: A </w:t>
      </w:r>
      <w:r w:rsidR="00383374" w:rsidRPr="00607787">
        <w:rPr>
          <w:noProof w:val="0"/>
        </w:rPr>
        <w:t>systematic scoping review of the literature.</w:t>
      </w:r>
      <w:r w:rsidRPr="00607787">
        <w:rPr>
          <w:noProof w:val="0"/>
        </w:rPr>
        <w:t xml:space="preserve"> </w:t>
      </w:r>
      <w:r w:rsidRPr="00607787">
        <w:rPr>
          <w:i/>
          <w:noProof w:val="0"/>
        </w:rPr>
        <w:t>Women</w:t>
      </w:r>
      <w:r w:rsidR="00827924">
        <w:rPr>
          <w:i/>
          <w:noProof w:val="0"/>
        </w:rPr>
        <w:t>’</w:t>
      </w:r>
      <w:r w:rsidRPr="00607787">
        <w:rPr>
          <w:i/>
          <w:noProof w:val="0"/>
        </w:rPr>
        <w:t>s Health Rep, 3</w:t>
      </w:r>
      <w:r w:rsidRPr="00607787">
        <w:rPr>
          <w:noProof w:val="0"/>
        </w:rPr>
        <w:t xml:space="preserve">(1), 49-59. </w:t>
      </w:r>
      <w:r w:rsidR="00383374" w:rsidRPr="00607787">
        <w:rPr>
          <w:noProof w:val="0"/>
        </w:rPr>
        <w:t>DOI:</w:t>
      </w:r>
      <w:r w:rsidRPr="00607787">
        <w:rPr>
          <w:rStyle w:val="Hyperlink"/>
          <w:noProof w:val="0"/>
        </w:rPr>
        <w:t>10.1089/whr.2021.0083</w:t>
      </w:r>
      <w:r w:rsidRPr="00607787">
        <w:rPr>
          <w:noProof w:val="0"/>
        </w:rPr>
        <w:t xml:space="preserve"> </w:t>
      </w:r>
    </w:p>
    <w:p w14:paraId="4FDAA77B" w14:textId="2F916C75" w:rsidR="00EB2B55" w:rsidRPr="00607787" w:rsidRDefault="00EB2B55" w:rsidP="003414BB">
      <w:pPr>
        <w:pStyle w:val="EndNoteBibliography"/>
        <w:ind w:left="720" w:hanging="720"/>
        <w:jc w:val="both"/>
        <w:rPr>
          <w:noProof w:val="0"/>
        </w:rPr>
      </w:pPr>
      <w:proofErr w:type="spellStart"/>
      <w:r w:rsidRPr="00607787">
        <w:rPr>
          <w:noProof w:val="0"/>
        </w:rPr>
        <w:t>Mnatzaganian</w:t>
      </w:r>
      <w:proofErr w:type="spellEnd"/>
      <w:r w:rsidRPr="00607787">
        <w:rPr>
          <w:noProof w:val="0"/>
        </w:rPr>
        <w:t xml:space="preserve">, G., </w:t>
      </w:r>
      <w:proofErr w:type="spellStart"/>
      <w:r w:rsidRPr="00607787">
        <w:rPr>
          <w:noProof w:val="0"/>
        </w:rPr>
        <w:t>Braitberg</w:t>
      </w:r>
      <w:proofErr w:type="spellEnd"/>
      <w:r w:rsidRPr="00607787">
        <w:rPr>
          <w:noProof w:val="0"/>
        </w:rPr>
        <w:t xml:space="preserve">, G., Hiller, J.E., Kuhn, L., &amp; Chapman, R. (2016). Sex differences in in-hospital mortality following a first acute myocardial infarction: symptomatology, delayed presentation, and hospital setting. </w:t>
      </w:r>
      <w:r w:rsidRPr="00607787">
        <w:rPr>
          <w:i/>
          <w:noProof w:val="0"/>
        </w:rPr>
        <w:t>BMC Cardiovascular Disorders, 16</w:t>
      </w:r>
      <w:r w:rsidRPr="00607787">
        <w:rPr>
          <w:noProof w:val="0"/>
        </w:rPr>
        <w:t xml:space="preserve">(1), 109. </w:t>
      </w:r>
      <w:r w:rsidR="00420A91" w:rsidRPr="00607787">
        <w:rPr>
          <w:noProof w:val="0"/>
        </w:rPr>
        <w:t>DOI:</w:t>
      </w:r>
      <w:r w:rsidRPr="00607787">
        <w:rPr>
          <w:rStyle w:val="Hyperlink"/>
          <w:noProof w:val="0"/>
        </w:rPr>
        <w:t>10.1186/s12872-016-0276-5</w:t>
      </w:r>
      <w:r w:rsidRPr="00607787">
        <w:rPr>
          <w:noProof w:val="0"/>
        </w:rPr>
        <w:t xml:space="preserve"> </w:t>
      </w:r>
    </w:p>
    <w:p w14:paraId="125802E3" w14:textId="7B6B971F" w:rsidR="00EB2B55" w:rsidRPr="00607787" w:rsidRDefault="00EB2B55" w:rsidP="003414BB">
      <w:pPr>
        <w:pStyle w:val="EndNoteBibliography"/>
        <w:ind w:left="720" w:hanging="720"/>
        <w:jc w:val="both"/>
        <w:rPr>
          <w:noProof w:val="0"/>
        </w:rPr>
      </w:pPr>
      <w:proofErr w:type="spellStart"/>
      <w:r w:rsidRPr="00607787">
        <w:rPr>
          <w:noProof w:val="0"/>
        </w:rPr>
        <w:t>Mnatzaganian</w:t>
      </w:r>
      <w:proofErr w:type="spellEnd"/>
      <w:r w:rsidRPr="00607787">
        <w:rPr>
          <w:noProof w:val="0"/>
        </w:rPr>
        <w:t xml:space="preserve">, G., Hiller, J.E., </w:t>
      </w:r>
      <w:proofErr w:type="spellStart"/>
      <w:r w:rsidRPr="00607787">
        <w:rPr>
          <w:noProof w:val="0"/>
        </w:rPr>
        <w:t>Braitberg</w:t>
      </w:r>
      <w:proofErr w:type="spellEnd"/>
      <w:r w:rsidRPr="00607787">
        <w:rPr>
          <w:noProof w:val="0"/>
        </w:rPr>
        <w:t xml:space="preserve">, G., Kingsley, M., </w:t>
      </w:r>
      <w:proofErr w:type="spellStart"/>
      <w:r w:rsidRPr="00607787">
        <w:rPr>
          <w:noProof w:val="0"/>
        </w:rPr>
        <w:t>Putland</w:t>
      </w:r>
      <w:proofErr w:type="spellEnd"/>
      <w:r w:rsidRPr="00607787">
        <w:rPr>
          <w:noProof w:val="0"/>
        </w:rPr>
        <w:t xml:space="preserve">, M., Bish, M., Tori, K., &amp; Huxley, R. (2020). Sex disparities in the assessment and outcomes of chest pain presentations in emergency departments. </w:t>
      </w:r>
      <w:r w:rsidRPr="00607787">
        <w:rPr>
          <w:i/>
          <w:noProof w:val="0"/>
        </w:rPr>
        <w:t>Heart, 106</w:t>
      </w:r>
      <w:r w:rsidRPr="00607787">
        <w:rPr>
          <w:noProof w:val="0"/>
        </w:rPr>
        <w:t>(2), 111-118.</w:t>
      </w:r>
      <w:r w:rsidR="008B49EA" w:rsidRPr="00607787">
        <w:rPr>
          <w:noProof w:val="0"/>
        </w:rPr>
        <w:t xml:space="preserve"> DOI:</w:t>
      </w:r>
      <w:r w:rsidRPr="00607787">
        <w:rPr>
          <w:rStyle w:val="Hyperlink"/>
          <w:noProof w:val="0"/>
        </w:rPr>
        <w:t>10.1136/heartjnl-2019-</w:t>
      </w:r>
      <w:r w:rsidRPr="00607787">
        <w:rPr>
          <w:noProof w:val="0"/>
        </w:rPr>
        <w:t xml:space="preserve">315667 </w:t>
      </w:r>
    </w:p>
    <w:p w14:paraId="557372D7" w14:textId="451B6C9D" w:rsidR="00EB2B55" w:rsidRPr="00607787" w:rsidRDefault="00EB2B55" w:rsidP="003414BB">
      <w:pPr>
        <w:pStyle w:val="EndNoteBibliography"/>
        <w:ind w:left="720" w:hanging="720"/>
        <w:jc w:val="both"/>
        <w:rPr>
          <w:noProof w:val="0"/>
        </w:rPr>
      </w:pPr>
      <w:r w:rsidRPr="00607787">
        <w:rPr>
          <w:noProof w:val="0"/>
        </w:rPr>
        <w:t xml:space="preserve">Mondini </w:t>
      </w:r>
      <w:proofErr w:type="spellStart"/>
      <w:r w:rsidRPr="00607787">
        <w:rPr>
          <w:noProof w:val="0"/>
        </w:rPr>
        <w:t>Trissino</w:t>
      </w:r>
      <w:proofErr w:type="spellEnd"/>
      <w:r w:rsidRPr="00607787">
        <w:rPr>
          <w:noProof w:val="0"/>
        </w:rPr>
        <w:t xml:space="preserve"> da Lodi, C., Landini, M.P., </w:t>
      </w:r>
      <w:proofErr w:type="spellStart"/>
      <w:r w:rsidRPr="00607787">
        <w:rPr>
          <w:noProof w:val="0"/>
        </w:rPr>
        <w:t>Asunis</w:t>
      </w:r>
      <w:proofErr w:type="spellEnd"/>
      <w:r w:rsidRPr="00607787">
        <w:rPr>
          <w:noProof w:val="0"/>
        </w:rPr>
        <w:t xml:space="preserve">, E., &amp; Filardo, G. (2022). Women </w:t>
      </w:r>
      <w:r w:rsidR="0073113B" w:rsidRPr="00607787">
        <w:rPr>
          <w:noProof w:val="0"/>
        </w:rPr>
        <w:t>have tendons… and tendinopathy</w:t>
      </w:r>
      <w:r w:rsidRPr="00607787">
        <w:rPr>
          <w:noProof w:val="0"/>
        </w:rPr>
        <w:t xml:space="preserve">: Gender </w:t>
      </w:r>
      <w:r w:rsidR="0073113B" w:rsidRPr="00607787">
        <w:rPr>
          <w:noProof w:val="0"/>
        </w:rPr>
        <w:t>bias is a "gender void" in sports medicine with a lack of women data on patellar tendinopathy. A systematic review</w:t>
      </w:r>
      <w:r w:rsidRPr="00607787">
        <w:rPr>
          <w:noProof w:val="0"/>
        </w:rPr>
        <w:t xml:space="preserve">. </w:t>
      </w:r>
      <w:r w:rsidRPr="00607787">
        <w:rPr>
          <w:i/>
          <w:noProof w:val="0"/>
        </w:rPr>
        <w:t>Sports Med Open, 8</w:t>
      </w:r>
      <w:r w:rsidRPr="00607787">
        <w:rPr>
          <w:noProof w:val="0"/>
        </w:rPr>
        <w:t xml:space="preserve">(1), 74. </w:t>
      </w:r>
      <w:r w:rsidR="0073113B" w:rsidRPr="00607787">
        <w:rPr>
          <w:noProof w:val="0"/>
        </w:rPr>
        <w:t>DOI:</w:t>
      </w:r>
      <w:r w:rsidRPr="00607787">
        <w:rPr>
          <w:rStyle w:val="Hyperlink"/>
          <w:noProof w:val="0"/>
        </w:rPr>
        <w:t>10.1186/s40798-022-00455-6</w:t>
      </w:r>
      <w:r w:rsidRPr="00607787">
        <w:rPr>
          <w:noProof w:val="0"/>
        </w:rPr>
        <w:t xml:space="preserve"> </w:t>
      </w:r>
    </w:p>
    <w:p w14:paraId="49097AAC" w14:textId="40E3FED8" w:rsidR="00EB2B55" w:rsidRDefault="00EB2B55" w:rsidP="003414BB">
      <w:pPr>
        <w:pStyle w:val="EndNoteBibliography"/>
        <w:ind w:left="720" w:hanging="720"/>
        <w:jc w:val="both"/>
        <w:rPr>
          <w:noProof w:val="0"/>
        </w:rPr>
      </w:pPr>
      <w:r w:rsidRPr="00607787">
        <w:rPr>
          <w:noProof w:val="0"/>
        </w:rPr>
        <w:lastRenderedPageBreak/>
        <w:t xml:space="preserve">Murphy, A.C., Yudi, M.B., </w:t>
      </w:r>
      <w:proofErr w:type="spellStart"/>
      <w:r w:rsidRPr="00607787">
        <w:rPr>
          <w:noProof w:val="0"/>
        </w:rPr>
        <w:t>Farouque</w:t>
      </w:r>
      <w:proofErr w:type="spellEnd"/>
      <w:r w:rsidRPr="00607787">
        <w:rPr>
          <w:noProof w:val="0"/>
        </w:rPr>
        <w:t xml:space="preserve">, O., Dinh, D., Duffy, S.J., Brennan, A., Reid, C.M., Andrianopoulos, N., Koshy, A.N., Martin, L., Dagan, M., Freeman, M., </w:t>
      </w:r>
      <w:proofErr w:type="spellStart"/>
      <w:r w:rsidRPr="00607787">
        <w:rPr>
          <w:noProof w:val="0"/>
        </w:rPr>
        <w:t>Blusztein</w:t>
      </w:r>
      <w:proofErr w:type="spellEnd"/>
      <w:r w:rsidRPr="00607787">
        <w:rPr>
          <w:noProof w:val="0"/>
        </w:rPr>
        <w:t xml:space="preserve">, D., Ajani, A.E., &amp; Clark, D.J. (2019). Impact of </w:t>
      </w:r>
      <w:r w:rsidR="009252FC" w:rsidRPr="00607787">
        <w:rPr>
          <w:noProof w:val="0"/>
        </w:rPr>
        <w:t>gender and door-to-balloon times on long-term mortality in patients presenting with</w:t>
      </w:r>
      <w:r w:rsidRPr="00607787">
        <w:rPr>
          <w:noProof w:val="0"/>
        </w:rPr>
        <w:t xml:space="preserve"> ST-</w:t>
      </w:r>
      <w:r w:rsidR="009252FC" w:rsidRPr="00607787">
        <w:rPr>
          <w:noProof w:val="0"/>
        </w:rPr>
        <w:t xml:space="preserve">elevation myocardial infarction </w:t>
      </w:r>
      <w:r w:rsidRPr="00607787">
        <w:rPr>
          <w:noProof w:val="0"/>
        </w:rPr>
        <w:t>[</w:t>
      </w:r>
      <w:proofErr w:type="spellStart"/>
      <w:r w:rsidRPr="00607787">
        <w:rPr>
          <w:noProof w:val="0"/>
        </w:rPr>
        <w:t>Multicenter</w:t>
      </w:r>
      <w:proofErr w:type="spellEnd"/>
      <w:r w:rsidRPr="00607787">
        <w:rPr>
          <w:noProof w:val="0"/>
        </w:rPr>
        <w:t xml:space="preserve"> </w:t>
      </w:r>
      <w:r w:rsidR="009252FC" w:rsidRPr="00607787">
        <w:rPr>
          <w:noProof w:val="0"/>
        </w:rPr>
        <w:t>study</w:t>
      </w:r>
      <w:r w:rsidRPr="00607787">
        <w:rPr>
          <w:noProof w:val="0"/>
        </w:rPr>
        <w:t xml:space="preserve">]. </w:t>
      </w:r>
      <w:r w:rsidRPr="00607787">
        <w:rPr>
          <w:i/>
          <w:noProof w:val="0"/>
        </w:rPr>
        <w:t>Am J Cardiology, 124</w:t>
      </w:r>
      <w:r w:rsidRPr="00607787">
        <w:rPr>
          <w:noProof w:val="0"/>
        </w:rPr>
        <w:t>(6), 833-841.</w:t>
      </w:r>
      <w:r w:rsidR="009252FC" w:rsidRPr="00607787">
        <w:rPr>
          <w:noProof w:val="0"/>
        </w:rPr>
        <w:t xml:space="preserve"> </w:t>
      </w:r>
      <w:proofErr w:type="gramStart"/>
      <w:r w:rsidR="009252FC" w:rsidRPr="00607787">
        <w:rPr>
          <w:noProof w:val="0"/>
        </w:rPr>
        <w:t>DOI:</w:t>
      </w:r>
      <w:r w:rsidRPr="00607787">
        <w:rPr>
          <w:noProof w:val="0"/>
        </w:rPr>
        <w:t>10.1016/j.amjcard</w:t>
      </w:r>
      <w:proofErr w:type="gramEnd"/>
      <w:r w:rsidRPr="00607787">
        <w:rPr>
          <w:noProof w:val="0"/>
        </w:rPr>
        <w:t xml:space="preserve">.2019.06.008 </w:t>
      </w:r>
    </w:p>
    <w:p w14:paraId="6128ABD7" w14:textId="58CFDCCA" w:rsidR="00160FD0" w:rsidRPr="001568C5" w:rsidRDefault="000004B9"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color w:val="222222"/>
          <w:shd w:val="clear" w:color="auto" w:fill="FFFFFF"/>
        </w:rPr>
        <w:t xml:space="preserve">Nelson, M.R., Banks, E., Brown, A., Chow, C.K., Peiris, D.P., Stocks, N.P., ... &amp; Jennings, G. </w:t>
      </w:r>
      <w:r w:rsidR="00160FD0" w:rsidRPr="00A53ABD">
        <w:rPr>
          <w:rFonts w:asciiTheme="minorHAnsi" w:hAnsiTheme="minorHAnsi" w:cstheme="minorHAnsi"/>
          <w:shd w:val="clear" w:color="auto" w:fill="FFFFFF"/>
        </w:rPr>
        <w:t xml:space="preserve">(2024). 2023 Australian guideline for assessing and managing cardiovascular disease risk. </w:t>
      </w:r>
      <w:r w:rsidR="00160FD0" w:rsidRPr="005C2A40">
        <w:rPr>
          <w:rFonts w:asciiTheme="minorHAnsi" w:hAnsiTheme="minorHAnsi" w:cstheme="minorHAnsi"/>
          <w:i/>
          <w:iCs/>
          <w:shd w:val="clear" w:color="auto" w:fill="FFFFFF"/>
        </w:rPr>
        <w:t>Med J</w:t>
      </w:r>
      <w:r w:rsidR="00160FD0" w:rsidRPr="000004B9">
        <w:rPr>
          <w:rFonts w:asciiTheme="minorHAnsi" w:hAnsiTheme="minorHAnsi" w:cstheme="minorHAnsi"/>
          <w:i/>
          <w:iCs/>
          <w:shd w:val="clear" w:color="auto" w:fill="FFFFFF"/>
        </w:rPr>
        <w:t xml:space="preserve"> Aust</w:t>
      </w:r>
      <w:r w:rsidR="00160FD0" w:rsidRPr="000004B9">
        <w:rPr>
          <w:rFonts w:asciiTheme="minorHAnsi" w:hAnsiTheme="minorHAnsi" w:cstheme="minorHAnsi"/>
          <w:b/>
        </w:rPr>
        <w:t xml:space="preserve"> </w:t>
      </w:r>
      <w:r w:rsidR="00160FD0" w:rsidRPr="000004B9">
        <w:rPr>
          <w:rFonts w:asciiTheme="minorHAnsi" w:hAnsiTheme="minorHAnsi" w:cstheme="minorHAnsi"/>
          <w:spacing w:val="-2"/>
        </w:rPr>
        <w:t>DOI:10.5694/mja2.52280</w:t>
      </w:r>
    </w:p>
    <w:p w14:paraId="0BB3E6CA" w14:textId="5B7D44A2" w:rsidR="00EB2B55" w:rsidRPr="00607787" w:rsidRDefault="00EB2B55" w:rsidP="003414BB">
      <w:pPr>
        <w:pStyle w:val="EndNoteBibliography"/>
        <w:ind w:left="720" w:hanging="720"/>
        <w:jc w:val="both"/>
        <w:rPr>
          <w:noProof w:val="0"/>
        </w:rPr>
      </w:pPr>
      <w:r w:rsidRPr="00607787">
        <w:rPr>
          <w:noProof w:val="0"/>
        </w:rPr>
        <w:t xml:space="preserve">Nicolette, J. (2000). Searching for women's health: a resident's perspective. </w:t>
      </w:r>
      <w:r w:rsidRPr="00607787">
        <w:rPr>
          <w:i/>
          <w:noProof w:val="0"/>
        </w:rPr>
        <w:t>J Women</w:t>
      </w:r>
      <w:r w:rsidR="00712D95">
        <w:rPr>
          <w:i/>
          <w:noProof w:val="0"/>
        </w:rPr>
        <w:t>’</w:t>
      </w:r>
      <w:r w:rsidRPr="00607787">
        <w:rPr>
          <w:i/>
          <w:noProof w:val="0"/>
        </w:rPr>
        <w:t>s Health Gend Based Med, 9</w:t>
      </w:r>
      <w:r w:rsidRPr="00607787">
        <w:rPr>
          <w:noProof w:val="0"/>
        </w:rPr>
        <w:t>(7), 697-701.</w:t>
      </w:r>
      <w:r w:rsidR="000034E2" w:rsidRPr="00607787">
        <w:rPr>
          <w:noProof w:val="0"/>
        </w:rPr>
        <w:t xml:space="preserve"> DOI:</w:t>
      </w:r>
      <w:r w:rsidRPr="00607787">
        <w:rPr>
          <w:rStyle w:val="Hyperlink"/>
          <w:noProof w:val="0"/>
        </w:rPr>
        <w:t>10.1089/15246090050147583</w:t>
      </w:r>
      <w:r w:rsidRPr="00607787">
        <w:rPr>
          <w:noProof w:val="0"/>
        </w:rPr>
        <w:t xml:space="preserve"> </w:t>
      </w:r>
    </w:p>
    <w:p w14:paraId="0FA97FBE" w14:textId="67A1D08D" w:rsidR="00EB2B55" w:rsidRPr="001568C5" w:rsidRDefault="00EB2B55" w:rsidP="003414BB">
      <w:pPr>
        <w:pStyle w:val="EndNoteBibliography"/>
        <w:ind w:left="720" w:hanging="720"/>
        <w:jc w:val="both"/>
        <w:rPr>
          <w:rFonts w:asciiTheme="minorHAnsi" w:hAnsiTheme="minorHAnsi" w:cstheme="minorHAnsi"/>
          <w:noProof w:val="0"/>
        </w:rPr>
      </w:pPr>
      <w:proofErr w:type="spellStart"/>
      <w:r w:rsidRPr="00607787">
        <w:rPr>
          <w:noProof w:val="0"/>
        </w:rPr>
        <w:t>Noubiap</w:t>
      </w:r>
      <w:proofErr w:type="spellEnd"/>
      <w:r w:rsidRPr="00607787">
        <w:rPr>
          <w:noProof w:val="0"/>
        </w:rPr>
        <w:t xml:space="preserve">, J.J., Thomas, G., Nyaga, U.F., Fitzgerald, J.L., Gallagher, C., </w:t>
      </w:r>
      <w:proofErr w:type="spellStart"/>
      <w:r w:rsidRPr="00607787">
        <w:rPr>
          <w:noProof w:val="0"/>
        </w:rPr>
        <w:t>Middeldorp</w:t>
      </w:r>
      <w:proofErr w:type="spellEnd"/>
      <w:r w:rsidRPr="00607787">
        <w:rPr>
          <w:noProof w:val="0"/>
        </w:rPr>
        <w:t xml:space="preserve">, M.E., &amp; Sanders, P. (2022). Sex disparities in </w:t>
      </w:r>
      <w:proofErr w:type="spellStart"/>
      <w:r w:rsidRPr="00607787">
        <w:rPr>
          <w:noProof w:val="0"/>
        </w:rPr>
        <w:t>enrollment</w:t>
      </w:r>
      <w:proofErr w:type="spellEnd"/>
      <w:r w:rsidRPr="00607787">
        <w:rPr>
          <w:noProof w:val="0"/>
        </w:rPr>
        <w:t xml:space="preserve"> and reporting of outcomes by sex in contemporary clinical trials of atrial fibrillation. </w:t>
      </w:r>
      <w:r w:rsidRPr="00607787">
        <w:rPr>
          <w:i/>
          <w:noProof w:val="0"/>
        </w:rPr>
        <w:t>J Cardiovascular Electrophysiology, 33(5)</w:t>
      </w:r>
      <w:r w:rsidRPr="00607787">
        <w:rPr>
          <w:noProof w:val="0"/>
        </w:rPr>
        <w:t xml:space="preserve">, 845-854. </w:t>
      </w:r>
      <w:r w:rsidR="009618D6" w:rsidRPr="001568C5">
        <w:rPr>
          <w:rFonts w:asciiTheme="minorHAnsi" w:hAnsiTheme="minorHAnsi" w:cstheme="minorHAnsi"/>
          <w:noProof w:val="0"/>
        </w:rPr>
        <w:t>DOI:</w:t>
      </w:r>
      <w:r w:rsidRPr="001568C5">
        <w:rPr>
          <w:rFonts w:asciiTheme="minorHAnsi" w:hAnsiTheme="minorHAnsi" w:cstheme="minorHAnsi"/>
          <w:noProof w:val="0"/>
        </w:rPr>
        <w:t xml:space="preserve">10.1111/jce.15421 </w:t>
      </w:r>
    </w:p>
    <w:p w14:paraId="5DACB92C" w14:textId="79A03249" w:rsidR="00AF322B" w:rsidRPr="001568C5" w:rsidRDefault="00681AC2" w:rsidP="003414BB">
      <w:pPr>
        <w:pStyle w:val="EndNoteBibliography"/>
        <w:ind w:left="720" w:hanging="720"/>
        <w:jc w:val="both"/>
        <w:rPr>
          <w:rFonts w:asciiTheme="minorHAnsi" w:hAnsiTheme="minorHAnsi" w:cstheme="minorHAnsi"/>
          <w:noProof w:val="0"/>
        </w:rPr>
      </w:pPr>
      <w:r w:rsidRPr="001568C5">
        <w:rPr>
          <w:rFonts w:asciiTheme="minorHAnsi" w:hAnsiTheme="minorHAnsi" w:cstheme="minorHAnsi"/>
          <w:shd w:val="clear" w:color="auto" w:fill="FFFFFF"/>
        </w:rPr>
        <w:t>Ong, J.J., Bourne, C., Dean, J.A., Ryder, N., Cornelisse, V.J., Murray, S., ... &amp; Medland, N.A</w:t>
      </w:r>
      <w:r w:rsidR="00AF322B" w:rsidRPr="001568C5">
        <w:rPr>
          <w:rFonts w:asciiTheme="minorHAnsi" w:hAnsiTheme="minorHAnsi" w:cstheme="minorHAnsi"/>
        </w:rPr>
        <w:t>.</w:t>
      </w:r>
      <w:r w:rsidR="00AF322B" w:rsidRPr="001568C5">
        <w:rPr>
          <w:rFonts w:asciiTheme="minorHAnsi" w:hAnsiTheme="minorHAnsi" w:cstheme="minorHAnsi"/>
          <w:spacing w:val="-6"/>
        </w:rPr>
        <w:t xml:space="preserve"> </w:t>
      </w:r>
      <w:r w:rsidR="00AF322B" w:rsidRPr="001568C5">
        <w:rPr>
          <w:rFonts w:asciiTheme="minorHAnsi" w:hAnsiTheme="minorHAnsi" w:cstheme="minorHAnsi"/>
        </w:rPr>
        <w:t xml:space="preserve">(2023). </w:t>
      </w:r>
      <w:r w:rsidR="00AF322B" w:rsidRPr="001568C5">
        <w:rPr>
          <w:rFonts w:asciiTheme="minorHAnsi" w:hAnsiTheme="minorHAnsi" w:cstheme="minorHAnsi"/>
          <w:shd w:val="clear" w:color="auto" w:fill="FFFFFF"/>
        </w:rPr>
        <w:t xml:space="preserve">Australian sexually transmitted infection (STI) management guidelines for use in primary care, 2022 update. </w:t>
      </w:r>
      <w:r w:rsidR="00AF322B" w:rsidRPr="001568C5">
        <w:rPr>
          <w:rFonts w:asciiTheme="minorHAnsi" w:hAnsiTheme="minorHAnsi" w:cstheme="minorHAnsi"/>
          <w:i/>
          <w:iCs/>
          <w:shd w:val="clear" w:color="auto" w:fill="FFFFFF"/>
        </w:rPr>
        <w:t>Sexual Health</w:t>
      </w:r>
      <w:r w:rsidR="00AF322B" w:rsidRPr="001568C5">
        <w:rPr>
          <w:rFonts w:asciiTheme="minorHAnsi" w:hAnsiTheme="minorHAnsi" w:cstheme="minorHAnsi"/>
          <w:shd w:val="clear" w:color="auto" w:fill="FFFFFF"/>
        </w:rPr>
        <w:t xml:space="preserve">, </w:t>
      </w:r>
      <w:r w:rsidR="00AF322B" w:rsidRPr="001568C5">
        <w:rPr>
          <w:rFonts w:asciiTheme="minorHAnsi" w:hAnsiTheme="minorHAnsi" w:cstheme="minorHAnsi"/>
          <w:i/>
          <w:iCs/>
          <w:shd w:val="clear" w:color="auto" w:fill="FFFFFF"/>
        </w:rPr>
        <w:t>20</w:t>
      </w:r>
      <w:r w:rsidR="00AF322B" w:rsidRPr="001568C5">
        <w:rPr>
          <w:rFonts w:asciiTheme="minorHAnsi" w:hAnsiTheme="minorHAnsi" w:cstheme="minorHAnsi"/>
          <w:shd w:val="clear" w:color="auto" w:fill="FFFFFF"/>
        </w:rPr>
        <w:t>(1), 1-8.</w:t>
      </w:r>
      <w:r w:rsidR="00AF322B" w:rsidRPr="001568C5">
        <w:rPr>
          <w:rFonts w:asciiTheme="minorHAnsi" w:hAnsiTheme="minorHAnsi" w:cstheme="minorHAnsi"/>
        </w:rPr>
        <w:t xml:space="preserve"> DOI:10.1071/SH22134</w:t>
      </w:r>
      <w:r w:rsidRPr="001568C5">
        <w:rPr>
          <w:rFonts w:asciiTheme="minorHAnsi" w:hAnsiTheme="minorHAnsi" w:cstheme="minorHAnsi"/>
        </w:rPr>
        <w:t xml:space="preserve">  </w:t>
      </w:r>
    </w:p>
    <w:p w14:paraId="749663E0" w14:textId="54F47E7D" w:rsidR="00EB2B55" w:rsidRPr="00607787" w:rsidRDefault="00EB2B55" w:rsidP="003414BB">
      <w:pPr>
        <w:pStyle w:val="EndNoteBibliography"/>
        <w:ind w:left="720" w:hanging="720"/>
        <w:jc w:val="both"/>
        <w:rPr>
          <w:noProof w:val="0"/>
        </w:rPr>
      </w:pPr>
      <w:r w:rsidRPr="00607787">
        <w:rPr>
          <w:noProof w:val="0"/>
        </w:rPr>
        <w:t xml:space="preserve">Page, A.T., Falster, M.O., Litchfield, M., Pearson, S.A., &amp; Etherton-Beer, C. (2019). Polypharmacy among older Australians, 2006-2017: a population-based study. </w:t>
      </w:r>
      <w:r w:rsidRPr="00607787">
        <w:rPr>
          <w:i/>
          <w:noProof w:val="0"/>
        </w:rPr>
        <w:t>Med J Aust, 211</w:t>
      </w:r>
      <w:r w:rsidRPr="00607787">
        <w:rPr>
          <w:noProof w:val="0"/>
        </w:rPr>
        <w:t xml:space="preserve">(2), 71-75. </w:t>
      </w:r>
      <w:r w:rsidR="001D3649" w:rsidRPr="00607787">
        <w:rPr>
          <w:noProof w:val="0"/>
        </w:rPr>
        <w:t>DOI:</w:t>
      </w:r>
      <w:r w:rsidRPr="00607787">
        <w:rPr>
          <w:rStyle w:val="Hyperlink"/>
          <w:noProof w:val="0"/>
        </w:rPr>
        <w:t>10.5694/mja2.50244</w:t>
      </w:r>
      <w:r w:rsidRPr="00607787">
        <w:rPr>
          <w:noProof w:val="0"/>
        </w:rPr>
        <w:t xml:space="preserve"> </w:t>
      </w:r>
    </w:p>
    <w:p w14:paraId="08B79D2F" w14:textId="586E5DF8" w:rsidR="00C6312C" w:rsidRPr="00C6312C" w:rsidRDefault="00C6312C" w:rsidP="00C6312C">
      <w:pPr>
        <w:pStyle w:val="EndNoteBibliography"/>
        <w:ind w:left="720" w:hanging="720"/>
      </w:pPr>
      <w:r w:rsidRPr="00C6312C">
        <w:fldChar w:fldCharType="begin"/>
      </w:r>
      <w:r w:rsidRPr="00C6312C">
        <w:instrText xml:space="preserve"> ADDIN EN.REFLIST </w:instrText>
      </w:r>
      <w:r w:rsidRPr="00C6312C">
        <w:fldChar w:fldCharType="separate"/>
      </w:r>
      <w:r w:rsidRPr="00C6312C">
        <w:t xml:space="preserve">Page, M.J., McKenzie, J.E., Bossuyt, P.M., Boutron, I., Hoffmann, T.C., Mulrow, C.D., . . . Moher, D. (2021). The PRISMA 2020 statement: an updated guideline for reporting systematic reviews. </w:t>
      </w:r>
      <w:r w:rsidRPr="00C6312C">
        <w:rPr>
          <w:i/>
        </w:rPr>
        <w:t>BMJ, 372</w:t>
      </w:r>
      <w:r w:rsidRPr="00C6312C">
        <w:t>, n71. DOI:10.1136/bmj.n71</w:t>
      </w:r>
    </w:p>
    <w:p w14:paraId="48828FFF" w14:textId="61E0272B" w:rsidR="00EB2B55" w:rsidRPr="00607787" w:rsidRDefault="00C6312C" w:rsidP="00C6312C">
      <w:pPr>
        <w:pStyle w:val="EndNoteBibliography"/>
        <w:ind w:left="720" w:hanging="720"/>
        <w:jc w:val="both"/>
        <w:rPr>
          <w:noProof w:val="0"/>
        </w:rPr>
      </w:pPr>
      <w:r w:rsidRPr="00C6312C">
        <w:fldChar w:fldCharType="end"/>
      </w:r>
      <w:r w:rsidR="00EB2B55" w:rsidRPr="00607787">
        <w:rPr>
          <w:noProof w:val="0"/>
        </w:rPr>
        <w:t xml:space="preserve">PAHO. </w:t>
      </w:r>
      <w:r w:rsidR="00EB2B55" w:rsidRPr="00607787">
        <w:rPr>
          <w:i/>
          <w:noProof w:val="0"/>
        </w:rPr>
        <w:t xml:space="preserve">Gender Equality in Health. </w:t>
      </w:r>
      <w:r w:rsidR="00EB2B55" w:rsidRPr="00607787">
        <w:rPr>
          <w:iCs/>
          <w:noProof w:val="0"/>
        </w:rPr>
        <w:t>Pan</w:t>
      </w:r>
      <w:r w:rsidR="000C450E" w:rsidRPr="00607787">
        <w:rPr>
          <w:iCs/>
          <w:noProof w:val="0"/>
        </w:rPr>
        <w:t>-</w:t>
      </w:r>
      <w:r w:rsidR="00EB2B55" w:rsidRPr="00607787">
        <w:rPr>
          <w:iCs/>
          <w:noProof w:val="0"/>
        </w:rPr>
        <w:t>American Health Organization.</w:t>
      </w:r>
      <w:r w:rsidR="00EB2B55" w:rsidRPr="00607787">
        <w:rPr>
          <w:i/>
          <w:noProof w:val="0"/>
        </w:rPr>
        <w:t xml:space="preserve"> </w:t>
      </w:r>
      <w:r w:rsidR="00EB2B55" w:rsidRPr="00607787">
        <w:rPr>
          <w:rStyle w:val="Hyperlink"/>
          <w:noProof w:val="0"/>
        </w:rPr>
        <w:t>https://www.paho.org/en/topics/gender-equality-health</w:t>
      </w:r>
    </w:p>
    <w:p w14:paraId="53DAFAC8" w14:textId="2B9FA33E" w:rsidR="00EB2B55" w:rsidRPr="00806C15" w:rsidRDefault="00EB2B55" w:rsidP="003414BB">
      <w:pPr>
        <w:pStyle w:val="EndNoteBibliography"/>
        <w:ind w:left="720" w:hanging="720"/>
        <w:jc w:val="both"/>
        <w:rPr>
          <w:rFonts w:asciiTheme="minorHAnsi" w:hAnsiTheme="minorHAnsi" w:cstheme="minorHAnsi"/>
          <w:noProof w:val="0"/>
        </w:rPr>
      </w:pPr>
      <w:r w:rsidRPr="00607787">
        <w:rPr>
          <w:noProof w:val="0"/>
        </w:rPr>
        <w:t xml:space="preserve">Perera, S., Aslam, A., Stehli, J., Kaye, D., Layland, J., Nicholls, S.J., Cameron, J., &amp; Zaman, S. (2021). Gender </w:t>
      </w:r>
      <w:r w:rsidR="000C450E" w:rsidRPr="00607787">
        <w:rPr>
          <w:noProof w:val="0"/>
        </w:rPr>
        <w:t>differences in healthy lifestyle adherence following percutaneous coronary intervention for coronary artery disease</w:t>
      </w:r>
      <w:r w:rsidRPr="00607787">
        <w:rPr>
          <w:noProof w:val="0"/>
        </w:rPr>
        <w:t xml:space="preserve">. </w:t>
      </w:r>
      <w:r w:rsidRPr="00607787">
        <w:rPr>
          <w:i/>
          <w:noProof w:val="0"/>
        </w:rPr>
        <w:t>Heart, Lung &amp; Circulation, 30</w:t>
      </w:r>
      <w:r w:rsidRPr="00607787">
        <w:rPr>
          <w:noProof w:val="0"/>
        </w:rPr>
        <w:t xml:space="preserve">(1), e37-e40. </w:t>
      </w:r>
      <w:proofErr w:type="gramStart"/>
      <w:r w:rsidR="000C450E" w:rsidRPr="00806C15">
        <w:rPr>
          <w:rFonts w:asciiTheme="minorHAnsi" w:hAnsiTheme="minorHAnsi" w:cstheme="minorHAnsi"/>
          <w:noProof w:val="0"/>
        </w:rPr>
        <w:t>DOI:</w:t>
      </w:r>
      <w:r w:rsidRPr="00806C15">
        <w:rPr>
          <w:rStyle w:val="Hyperlink"/>
          <w:rFonts w:asciiTheme="minorHAnsi" w:hAnsiTheme="minorHAnsi" w:cstheme="minorHAnsi"/>
          <w:noProof w:val="0"/>
        </w:rPr>
        <w:t>10.1016/j.hlc</w:t>
      </w:r>
      <w:proofErr w:type="gramEnd"/>
      <w:r w:rsidRPr="00806C15">
        <w:rPr>
          <w:rStyle w:val="Hyperlink"/>
          <w:rFonts w:asciiTheme="minorHAnsi" w:hAnsiTheme="minorHAnsi" w:cstheme="minorHAnsi"/>
          <w:noProof w:val="0"/>
        </w:rPr>
        <w:t>.2020.06.024</w:t>
      </w:r>
      <w:r w:rsidRPr="00806C15">
        <w:rPr>
          <w:rFonts w:asciiTheme="minorHAnsi" w:hAnsiTheme="minorHAnsi" w:cstheme="minorHAnsi"/>
          <w:noProof w:val="0"/>
        </w:rPr>
        <w:t xml:space="preserve"> </w:t>
      </w:r>
    </w:p>
    <w:p w14:paraId="26465C0A" w14:textId="2F1DC0F5" w:rsidR="00D92CD9" w:rsidRPr="00806C15" w:rsidRDefault="00BE5EB6" w:rsidP="003414BB">
      <w:pPr>
        <w:pStyle w:val="EndNoteBibliography"/>
        <w:ind w:left="720" w:hanging="720"/>
        <w:jc w:val="both"/>
        <w:rPr>
          <w:rFonts w:asciiTheme="minorHAnsi" w:hAnsiTheme="minorHAnsi" w:cstheme="minorHAnsi"/>
          <w:noProof w:val="0"/>
        </w:rPr>
      </w:pPr>
      <w:r w:rsidRPr="00806C15">
        <w:rPr>
          <w:rFonts w:asciiTheme="minorHAnsi" w:hAnsiTheme="minorHAnsi" w:cstheme="minorHAnsi"/>
          <w:color w:val="222222"/>
          <w:shd w:val="clear" w:color="auto" w:fill="FFFFFF"/>
        </w:rPr>
        <w:t xml:space="preserve">Perros, P., Boelaert, K., Colley, S., Evans, C., Evans, R.M., Gerrard B.A., ... &amp; Williams, G.R. </w:t>
      </w:r>
      <w:r w:rsidR="00D92CD9" w:rsidRPr="00A53ABD">
        <w:rPr>
          <w:rFonts w:asciiTheme="minorHAnsi" w:hAnsiTheme="minorHAnsi" w:cstheme="minorHAnsi"/>
        </w:rPr>
        <w:t>(2014).</w:t>
      </w:r>
      <w:r w:rsidR="00D92CD9" w:rsidRPr="005C2A40">
        <w:rPr>
          <w:rFonts w:asciiTheme="minorHAnsi" w:hAnsiTheme="minorHAnsi" w:cstheme="minorHAnsi"/>
          <w:spacing w:val="-7"/>
        </w:rPr>
        <w:t xml:space="preserve"> </w:t>
      </w:r>
      <w:r w:rsidR="00D92CD9" w:rsidRPr="00BE5EB6">
        <w:rPr>
          <w:rFonts w:asciiTheme="minorHAnsi" w:hAnsiTheme="minorHAnsi" w:cstheme="minorHAnsi"/>
        </w:rPr>
        <w:t>Guidelines</w:t>
      </w:r>
      <w:r w:rsidR="00D92CD9" w:rsidRPr="00BE5EB6">
        <w:rPr>
          <w:rFonts w:asciiTheme="minorHAnsi" w:hAnsiTheme="minorHAnsi" w:cstheme="minorHAnsi"/>
          <w:spacing w:val="-7"/>
        </w:rPr>
        <w:t xml:space="preserve"> </w:t>
      </w:r>
      <w:r w:rsidR="00D92CD9" w:rsidRPr="00BE5EB6">
        <w:rPr>
          <w:rFonts w:asciiTheme="minorHAnsi" w:hAnsiTheme="minorHAnsi" w:cstheme="minorHAnsi"/>
        </w:rPr>
        <w:t xml:space="preserve">for the management of thyroid cancer. </w:t>
      </w:r>
      <w:r w:rsidR="00D92CD9" w:rsidRPr="00BE5EB6">
        <w:rPr>
          <w:rFonts w:asciiTheme="minorHAnsi" w:hAnsiTheme="minorHAnsi" w:cstheme="minorHAnsi"/>
          <w:i/>
        </w:rPr>
        <w:t>Clinical Endocrinology</w:t>
      </w:r>
      <w:r w:rsidR="00D92CD9" w:rsidRPr="00BE5EB6">
        <w:rPr>
          <w:rFonts w:asciiTheme="minorHAnsi" w:hAnsiTheme="minorHAnsi" w:cstheme="minorHAnsi"/>
        </w:rPr>
        <w:t xml:space="preserve">, </w:t>
      </w:r>
      <w:r w:rsidR="00D92CD9" w:rsidRPr="00BE5EB6">
        <w:rPr>
          <w:rFonts w:asciiTheme="minorHAnsi" w:hAnsiTheme="minorHAnsi" w:cstheme="minorHAnsi"/>
          <w:i/>
        </w:rPr>
        <w:t>81</w:t>
      </w:r>
      <w:r w:rsidR="00D92CD9" w:rsidRPr="00BE5EB6">
        <w:rPr>
          <w:rFonts w:asciiTheme="minorHAnsi" w:hAnsiTheme="minorHAnsi" w:cstheme="minorHAnsi"/>
        </w:rPr>
        <w:t xml:space="preserve">, 1-122. </w:t>
      </w:r>
      <w:r w:rsidR="00D92CD9" w:rsidRPr="00BE5EB6">
        <w:rPr>
          <w:rFonts w:asciiTheme="minorHAnsi" w:hAnsiTheme="minorHAnsi" w:cstheme="minorHAnsi"/>
          <w:spacing w:val="-2"/>
        </w:rPr>
        <w:t>DOI:</w:t>
      </w:r>
      <w:r w:rsidR="00D92CD9" w:rsidRPr="00BE5EB6">
        <w:rPr>
          <w:rFonts w:asciiTheme="minorHAnsi" w:hAnsiTheme="minorHAnsi" w:cstheme="minorHAnsi"/>
          <w:spacing w:val="-2"/>
          <w:u w:val="single"/>
        </w:rPr>
        <w:t>10.1111/cen.12515</w:t>
      </w:r>
    </w:p>
    <w:p w14:paraId="12D3BFFF" w14:textId="3894D733" w:rsidR="00EB2B55" w:rsidRPr="00607787" w:rsidRDefault="00EB2B55" w:rsidP="003414BB">
      <w:pPr>
        <w:pStyle w:val="EndNoteBibliography"/>
        <w:ind w:left="720" w:hanging="720"/>
        <w:jc w:val="both"/>
        <w:rPr>
          <w:noProof w:val="0"/>
        </w:rPr>
      </w:pPr>
      <w:r w:rsidRPr="00607787">
        <w:rPr>
          <w:noProof w:val="0"/>
        </w:rPr>
        <w:t xml:space="preserve">Pinn, V.W. (2003). Sex and gender factors in medical studies: implications for health and clinical practice. </w:t>
      </w:r>
      <w:r w:rsidRPr="00607787">
        <w:rPr>
          <w:i/>
          <w:noProof w:val="0"/>
        </w:rPr>
        <w:t>JAMA, 289</w:t>
      </w:r>
      <w:r w:rsidRPr="00607787">
        <w:rPr>
          <w:noProof w:val="0"/>
        </w:rPr>
        <w:t>(4), 397-400.</w:t>
      </w:r>
      <w:r w:rsidR="00FC334E" w:rsidRPr="00607787">
        <w:rPr>
          <w:noProof w:val="0"/>
        </w:rPr>
        <w:t xml:space="preserve"> DOI:</w:t>
      </w:r>
      <w:r w:rsidRPr="00607787">
        <w:rPr>
          <w:rStyle w:val="Hyperlink"/>
          <w:noProof w:val="0"/>
        </w:rPr>
        <w:t>10.1001/jama.289.4.397</w:t>
      </w:r>
      <w:r w:rsidRPr="00607787">
        <w:rPr>
          <w:noProof w:val="0"/>
        </w:rPr>
        <w:t xml:space="preserve"> </w:t>
      </w:r>
    </w:p>
    <w:p w14:paraId="60795E58" w14:textId="6491CB14" w:rsidR="00EB2B55" w:rsidRPr="00607787" w:rsidRDefault="00EB2B55" w:rsidP="003414BB">
      <w:pPr>
        <w:pStyle w:val="EndNoteBibliography"/>
        <w:ind w:left="720" w:hanging="720"/>
        <w:jc w:val="both"/>
        <w:rPr>
          <w:noProof w:val="0"/>
        </w:rPr>
      </w:pPr>
      <w:proofErr w:type="spellStart"/>
      <w:r w:rsidRPr="00607787">
        <w:rPr>
          <w:noProof w:val="0"/>
        </w:rPr>
        <w:t>Plevkova</w:t>
      </w:r>
      <w:proofErr w:type="spellEnd"/>
      <w:r w:rsidRPr="00607787">
        <w:rPr>
          <w:noProof w:val="0"/>
        </w:rPr>
        <w:t xml:space="preserve">, J., </w:t>
      </w:r>
      <w:proofErr w:type="spellStart"/>
      <w:r w:rsidRPr="00607787">
        <w:rPr>
          <w:noProof w:val="0"/>
        </w:rPr>
        <w:t>Brozmanova</w:t>
      </w:r>
      <w:proofErr w:type="spellEnd"/>
      <w:r w:rsidRPr="00607787">
        <w:rPr>
          <w:noProof w:val="0"/>
        </w:rPr>
        <w:t xml:space="preserve">, M., </w:t>
      </w:r>
      <w:proofErr w:type="spellStart"/>
      <w:r w:rsidRPr="00607787">
        <w:rPr>
          <w:noProof w:val="0"/>
        </w:rPr>
        <w:t>Harsanyiova</w:t>
      </w:r>
      <w:proofErr w:type="spellEnd"/>
      <w:r w:rsidRPr="00607787">
        <w:rPr>
          <w:noProof w:val="0"/>
        </w:rPr>
        <w:t xml:space="preserve">, J., </w:t>
      </w:r>
      <w:proofErr w:type="spellStart"/>
      <w:r w:rsidRPr="00607787">
        <w:rPr>
          <w:noProof w:val="0"/>
        </w:rPr>
        <w:t>Sterusky</w:t>
      </w:r>
      <w:proofErr w:type="spellEnd"/>
      <w:r w:rsidRPr="00607787">
        <w:rPr>
          <w:noProof w:val="0"/>
        </w:rPr>
        <w:t xml:space="preserve">, M., </w:t>
      </w:r>
      <w:proofErr w:type="spellStart"/>
      <w:r w:rsidRPr="00607787">
        <w:rPr>
          <w:noProof w:val="0"/>
        </w:rPr>
        <w:t>Honetschlager</w:t>
      </w:r>
      <w:proofErr w:type="spellEnd"/>
      <w:r w:rsidRPr="00607787">
        <w:rPr>
          <w:noProof w:val="0"/>
        </w:rPr>
        <w:t xml:space="preserve">, J., &amp; Buday, T. (2020). Various aspects of sex and gender bias in biomedical research. </w:t>
      </w:r>
      <w:proofErr w:type="spellStart"/>
      <w:r w:rsidRPr="00607787">
        <w:rPr>
          <w:i/>
          <w:noProof w:val="0"/>
        </w:rPr>
        <w:t>Physiol</w:t>
      </w:r>
      <w:proofErr w:type="spellEnd"/>
      <w:r w:rsidRPr="00607787">
        <w:rPr>
          <w:i/>
          <w:noProof w:val="0"/>
        </w:rPr>
        <w:t xml:space="preserve"> Res, 69</w:t>
      </w:r>
      <w:r w:rsidRPr="00607787">
        <w:rPr>
          <w:noProof w:val="0"/>
        </w:rPr>
        <w:t>(Suppl 3), S367-s378.</w:t>
      </w:r>
      <w:r w:rsidR="000E15EE" w:rsidRPr="00607787">
        <w:rPr>
          <w:noProof w:val="0"/>
        </w:rPr>
        <w:t xml:space="preserve"> DOI:</w:t>
      </w:r>
      <w:r w:rsidRPr="00607787">
        <w:rPr>
          <w:rStyle w:val="Hyperlink"/>
          <w:noProof w:val="0"/>
        </w:rPr>
        <w:t>10.33549/physiolres.934593</w:t>
      </w:r>
      <w:r w:rsidRPr="00607787">
        <w:rPr>
          <w:noProof w:val="0"/>
        </w:rPr>
        <w:t xml:space="preserve"> </w:t>
      </w:r>
    </w:p>
    <w:p w14:paraId="2B254577" w14:textId="11B3227F" w:rsidR="00EB2B55" w:rsidRPr="00607787" w:rsidRDefault="00EB2B55" w:rsidP="003414BB">
      <w:pPr>
        <w:pStyle w:val="EndNoteBibliography"/>
        <w:ind w:left="720" w:hanging="720"/>
        <w:jc w:val="both"/>
        <w:rPr>
          <w:noProof w:val="0"/>
        </w:rPr>
      </w:pPr>
      <w:r w:rsidRPr="00607787">
        <w:rPr>
          <w:noProof w:val="0"/>
        </w:rPr>
        <w:t xml:space="preserve">Prakash, V.S., Mansukhani, N.A., </w:t>
      </w:r>
      <w:proofErr w:type="spellStart"/>
      <w:r w:rsidRPr="00607787">
        <w:rPr>
          <w:noProof w:val="0"/>
        </w:rPr>
        <w:t>Helenowski</w:t>
      </w:r>
      <w:proofErr w:type="spellEnd"/>
      <w:r w:rsidRPr="00607787">
        <w:rPr>
          <w:noProof w:val="0"/>
        </w:rPr>
        <w:t xml:space="preserve">, I.B., Woodruff, T.K., &amp; Kibbe, M.R. (2018). </w:t>
      </w:r>
      <w:r w:rsidR="000525C7" w:rsidRPr="00607787">
        <w:rPr>
          <w:noProof w:val="0"/>
        </w:rPr>
        <w:t>Sex bias in interventional clinical trials.</w:t>
      </w:r>
      <w:r w:rsidRPr="00607787">
        <w:rPr>
          <w:noProof w:val="0"/>
        </w:rPr>
        <w:t xml:space="preserve"> </w:t>
      </w:r>
      <w:r w:rsidRPr="00607787">
        <w:rPr>
          <w:i/>
          <w:noProof w:val="0"/>
        </w:rPr>
        <w:t>J Women</w:t>
      </w:r>
      <w:r w:rsidR="00712D95">
        <w:rPr>
          <w:i/>
          <w:noProof w:val="0"/>
        </w:rPr>
        <w:t>’</w:t>
      </w:r>
      <w:r w:rsidRPr="00607787">
        <w:rPr>
          <w:i/>
          <w:noProof w:val="0"/>
        </w:rPr>
        <w:t>s Health, 27</w:t>
      </w:r>
      <w:r w:rsidRPr="00607787">
        <w:rPr>
          <w:noProof w:val="0"/>
        </w:rPr>
        <w:t xml:space="preserve">(11), 1342-1348. </w:t>
      </w:r>
      <w:r w:rsidR="000525C7" w:rsidRPr="00607787">
        <w:rPr>
          <w:noProof w:val="0"/>
        </w:rPr>
        <w:t>DOI:</w:t>
      </w:r>
      <w:r w:rsidRPr="00607787">
        <w:rPr>
          <w:rStyle w:val="Hyperlink"/>
          <w:noProof w:val="0"/>
        </w:rPr>
        <w:t>10.1089/jwh.2017.6873</w:t>
      </w:r>
      <w:r w:rsidRPr="00607787">
        <w:rPr>
          <w:noProof w:val="0"/>
        </w:rPr>
        <w:t xml:space="preserve"> </w:t>
      </w:r>
    </w:p>
    <w:p w14:paraId="5E4173CD" w14:textId="50DA51F0" w:rsidR="00EB2B55" w:rsidRPr="00607787" w:rsidRDefault="00EB2B55" w:rsidP="003414BB">
      <w:pPr>
        <w:pStyle w:val="EndNoteBibliography"/>
        <w:ind w:left="720" w:hanging="720"/>
        <w:jc w:val="both"/>
        <w:rPr>
          <w:noProof w:val="0"/>
        </w:rPr>
      </w:pPr>
      <w:proofErr w:type="spellStart"/>
      <w:r w:rsidRPr="00607787">
        <w:rPr>
          <w:noProof w:val="0"/>
        </w:rPr>
        <w:t>Prioste</w:t>
      </w:r>
      <w:proofErr w:type="spellEnd"/>
      <w:r w:rsidRPr="00607787">
        <w:rPr>
          <w:noProof w:val="0"/>
        </w:rPr>
        <w:t xml:space="preserve">, A., Fonseca, H., Sousa, P., Gaspar, P., &amp; Machado, M.D. (2017). Cross-sectional study showed psychosocial variables, gender and family involvement played an important role in an adolescent weight management programme. </w:t>
      </w:r>
      <w:r w:rsidRPr="00607787">
        <w:rPr>
          <w:i/>
          <w:noProof w:val="0"/>
        </w:rPr>
        <w:t xml:space="preserve">Acta </w:t>
      </w:r>
      <w:proofErr w:type="spellStart"/>
      <w:r w:rsidRPr="00607787">
        <w:rPr>
          <w:i/>
          <w:noProof w:val="0"/>
        </w:rPr>
        <w:t>Paediatrica</w:t>
      </w:r>
      <w:proofErr w:type="spellEnd"/>
      <w:r w:rsidRPr="00607787">
        <w:rPr>
          <w:i/>
          <w:noProof w:val="0"/>
        </w:rPr>
        <w:t>, 106</w:t>
      </w:r>
      <w:r w:rsidRPr="00607787">
        <w:rPr>
          <w:noProof w:val="0"/>
        </w:rPr>
        <w:t xml:space="preserve">(1), 105-111. </w:t>
      </w:r>
      <w:r w:rsidR="00A665CC" w:rsidRPr="00607787">
        <w:rPr>
          <w:noProof w:val="0"/>
        </w:rPr>
        <w:t>DOI:</w:t>
      </w:r>
      <w:r w:rsidRPr="00607787">
        <w:rPr>
          <w:noProof w:val="0"/>
        </w:rPr>
        <w:t xml:space="preserve">10.1111/apa.13616 </w:t>
      </w:r>
    </w:p>
    <w:p w14:paraId="10046D3F" w14:textId="39264F6F" w:rsidR="00EB2B55" w:rsidRPr="00607787" w:rsidRDefault="00EB2B55" w:rsidP="003414BB">
      <w:pPr>
        <w:pStyle w:val="EndNoteBibliography"/>
        <w:ind w:left="720" w:hanging="720"/>
        <w:jc w:val="both"/>
        <w:rPr>
          <w:noProof w:val="0"/>
        </w:rPr>
      </w:pPr>
      <w:r w:rsidRPr="00607787">
        <w:rPr>
          <w:noProof w:val="0"/>
        </w:rPr>
        <w:lastRenderedPageBreak/>
        <w:t xml:space="preserve">Riggs, D.W., Coleman, K., &amp; Due, C. (2014). Healthcare experiences of gender diverse Australians: a mixed-methods, self-report survey. </w:t>
      </w:r>
      <w:r w:rsidRPr="00607787">
        <w:rPr>
          <w:i/>
          <w:noProof w:val="0"/>
        </w:rPr>
        <w:t>BMC Public Health, 14</w:t>
      </w:r>
      <w:r w:rsidRPr="00607787">
        <w:rPr>
          <w:noProof w:val="0"/>
        </w:rPr>
        <w:t xml:space="preserve">(1), 230. </w:t>
      </w:r>
      <w:r w:rsidR="00B620F2" w:rsidRPr="00607787">
        <w:rPr>
          <w:noProof w:val="0"/>
        </w:rPr>
        <w:t>DOI:</w:t>
      </w:r>
      <w:r w:rsidRPr="00607787">
        <w:rPr>
          <w:rStyle w:val="Hyperlink"/>
          <w:noProof w:val="0"/>
        </w:rPr>
        <w:t>10.1186/1471-2458-14-230</w:t>
      </w:r>
      <w:r w:rsidRPr="00607787">
        <w:rPr>
          <w:noProof w:val="0"/>
        </w:rPr>
        <w:t xml:space="preserve"> </w:t>
      </w:r>
    </w:p>
    <w:p w14:paraId="14DFC156" w14:textId="4753EE1E" w:rsidR="00EB2B55" w:rsidRPr="00607787" w:rsidRDefault="00EB2B55" w:rsidP="003414BB">
      <w:pPr>
        <w:pStyle w:val="EndNoteBibliography"/>
        <w:ind w:left="720" w:hanging="720"/>
        <w:jc w:val="both"/>
        <w:rPr>
          <w:noProof w:val="0"/>
        </w:rPr>
      </w:pPr>
      <w:r w:rsidRPr="00607787">
        <w:rPr>
          <w:noProof w:val="0"/>
        </w:rPr>
        <w:t xml:space="preserve">Schutt, M., Zimmermann, A., Hood, R., Hummel, M., Seufert, J., Siegel, E., </w:t>
      </w:r>
      <w:proofErr w:type="spellStart"/>
      <w:r w:rsidRPr="00607787">
        <w:rPr>
          <w:noProof w:val="0"/>
        </w:rPr>
        <w:t>Tytko</w:t>
      </w:r>
      <w:proofErr w:type="spellEnd"/>
      <w:r w:rsidRPr="00607787">
        <w:rPr>
          <w:noProof w:val="0"/>
        </w:rPr>
        <w:t>, A., &amp; Holl, R.W. (2015). Gender-</w:t>
      </w:r>
      <w:r w:rsidR="004C7007" w:rsidRPr="00607787">
        <w:rPr>
          <w:noProof w:val="0"/>
        </w:rPr>
        <w:t xml:space="preserve">specific effects of treatment with lifestyle, metformin or sulfonylurea on </w:t>
      </w:r>
      <w:proofErr w:type="spellStart"/>
      <w:r w:rsidR="004C7007" w:rsidRPr="00607787">
        <w:rPr>
          <w:noProof w:val="0"/>
        </w:rPr>
        <w:t>glycemic</w:t>
      </w:r>
      <w:proofErr w:type="spellEnd"/>
      <w:r w:rsidR="004C7007" w:rsidRPr="00607787">
        <w:rPr>
          <w:noProof w:val="0"/>
        </w:rPr>
        <w:t xml:space="preserve"> control and body weight</w:t>
      </w:r>
      <w:r w:rsidRPr="00607787">
        <w:rPr>
          <w:noProof w:val="0"/>
        </w:rPr>
        <w:t xml:space="preserve">: A German </w:t>
      </w:r>
      <w:proofErr w:type="spellStart"/>
      <w:r w:rsidR="004C7007" w:rsidRPr="00607787">
        <w:rPr>
          <w:noProof w:val="0"/>
        </w:rPr>
        <w:t>multicenter</w:t>
      </w:r>
      <w:proofErr w:type="spellEnd"/>
      <w:r w:rsidR="004C7007" w:rsidRPr="00607787">
        <w:rPr>
          <w:noProof w:val="0"/>
        </w:rPr>
        <w:t xml:space="preserve"> analysis on 9,108 patients</w:t>
      </w:r>
      <w:r w:rsidRPr="00607787">
        <w:rPr>
          <w:noProof w:val="0"/>
        </w:rPr>
        <w:t xml:space="preserve">. </w:t>
      </w:r>
      <w:r w:rsidRPr="00607787">
        <w:rPr>
          <w:i/>
          <w:noProof w:val="0"/>
        </w:rPr>
        <w:t>Experimental &amp; Clinical Endocrinology &amp; Diabetes, 123</w:t>
      </w:r>
      <w:r w:rsidRPr="00607787">
        <w:rPr>
          <w:noProof w:val="0"/>
        </w:rPr>
        <w:t xml:space="preserve">(10), 622-626. </w:t>
      </w:r>
      <w:r w:rsidR="004C7007" w:rsidRPr="00607787">
        <w:rPr>
          <w:noProof w:val="0"/>
        </w:rPr>
        <w:t>DOI:</w:t>
      </w:r>
      <w:r w:rsidRPr="00607787">
        <w:rPr>
          <w:noProof w:val="0"/>
        </w:rPr>
        <w:t xml:space="preserve">10.1055/s-0035-1559608 </w:t>
      </w:r>
    </w:p>
    <w:p w14:paraId="178693CB" w14:textId="77777777" w:rsidR="00726823" w:rsidRDefault="00EB2B55" w:rsidP="003414BB">
      <w:pPr>
        <w:pStyle w:val="EndNoteBibliography"/>
        <w:ind w:left="720" w:hanging="720"/>
        <w:jc w:val="both"/>
        <w:rPr>
          <w:noProof w:val="0"/>
        </w:rPr>
      </w:pPr>
      <w:r w:rsidRPr="00607787">
        <w:rPr>
          <w:noProof w:val="0"/>
        </w:rPr>
        <w:t xml:space="preserve">Sen, G., &amp; </w:t>
      </w:r>
      <w:proofErr w:type="spellStart"/>
      <w:r w:rsidRPr="00607787">
        <w:rPr>
          <w:noProof w:val="0"/>
        </w:rPr>
        <w:t>Ostlin</w:t>
      </w:r>
      <w:proofErr w:type="spellEnd"/>
      <w:r w:rsidRPr="00607787">
        <w:rPr>
          <w:noProof w:val="0"/>
        </w:rPr>
        <w:t xml:space="preserve">, P. (2008). Gender inequity in health: why it exists and how we can change it. </w:t>
      </w:r>
      <w:r w:rsidRPr="00607787">
        <w:rPr>
          <w:i/>
          <w:noProof w:val="0"/>
        </w:rPr>
        <w:t>Glob Public Health, 3 Suppl 1</w:t>
      </w:r>
      <w:r w:rsidRPr="00607787">
        <w:rPr>
          <w:noProof w:val="0"/>
        </w:rPr>
        <w:t xml:space="preserve">, 1-12. </w:t>
      </w:r>
      <w:r w:rsidR="004717D7" w:rsidRPr="00607787">
        <w:rPr>
          <w:noProof w:val="0"/>
        </w:rPr>
        <w:t>DOI:</w:t>
      </w:r>
      <w:r w:rsidRPr="00607787">
        <w:rPr>
          <w:rStyle w:val="Hyperlink"/>
          <w:noProof w:val="0"/>
        </w:rPr>
        <w:t>10.1080/17441690801900795</w:t>
      </w:r>
      <w:r w:rsidRPr="00607787">
        <w:rPr>
          <w:noProof w:val="0"/>
        </w:rPr>
        <w:t xml:space="preserve"> </w:t>
      </w:r>
    </w:p>
    <w:p w14:paraId="6708C39A" w14:textId="0439FFED" w:rsidR="00EB2B55" w:rsidRPr="00726823" w:rsidRDefault="00726823" w:rsidP="003414BB">
      <w:pPr>
        <w:pStyle w:val="EndNoteBibliography"/>
        <w:ind w:left="720" w:hanging="720"/>
        <w:jc w:val="both"/>
        <w:rPr>
          <w:rFonts w:asciiTheme="minorHAnsi" w:hAnsiTheme="minorHAnsi" w:cstheme="minorHAnsi"/>
          <w:noProof w:val="0"/>
        </w:rPr>
      </w:pPr>
      <w:r w:rsidRPr="00726823">
        <w:rPr>
          <w:rFonts w:asciiTheme="minorHAnsi" w:hAnsiTheme="minorHAnsi" w:cstheme="minorHAnsi"/>
          <w:shd w:val="clear" w:color="auto" w:fill="FFFFFF"/>
        </w:rPr>
        <w:t xml:space="preserve">Shalit, A., Vallely, L., Nguyen, R., Bohren, M., Wilson, A., Homer, C.S., &amp; Vogel, J. (2023). The representation of women on Australian clinical practice guideline panels, 2010–2020. </w:t>
      </w:r>
      <w:r w:rsidRPr="00726823">
        <w:rPr>
          <w:rFonts w:asciiTheme="minorHAnsi" w:hAnsiTheme="minorHAnsi" w:cstheme="minorHAnsi"/>
          <w:i/>
          <w:iCs/>
          <w:shd w:val="clear" w:color="auto" w:fill="FFFFFF"/>
        </w:rPr>
        <w:t>Med J Aust</w:t>
      </w:r>
      <w:r w:rsidRPr="00726823">
        <w:rPr>
          <w:rFonts w:asciiTheme="minorHAnsi" w:hAnsiTheme="minorHAnsi" w:cstheme="minorHAnsi"/>
          <w:shd w:val="clear" w:color="auto" w:fill="FFFFFF"/>
        </w:rPr>
        <w:t xml:space="preserve">, </w:t>
      </w:r>
      <w:r w:rsidRPr="00726823">
        <w:rPr>
          <w:rFonts w:asciiTheme="minorHAnsi" w:hAnsiTheme="minorHAnsi" w:cstheme="minorHAnsi"/>
          <w:i/>
          <w:iCs/>
          <w:shd w:val="clear" w:color="auto" w:fill="FFFFFF"/>
        </w:rPr>
        <w:t>218</w:t>
      </w:r>
      <w:r w:rsidRPr="00726823">
        <w:rPr>
          <w:rFonts w:asciiTheme="minorHAnsi" w:hAnsiTheme="minorHAnsi" w:cstheme="minorHAnsi"/>
          <w:shd w:val="clear" w:color="auto" w:fill="FFFFFF"/>
        </w:rPr>
        <w:t>(2), 84-88. DOI:10.5694/mja2.51831</w:t>
      </w:r>
    </w:p>
    <w:p w14:paraId="5644D019" w14:textId="2F6D5CBD" w:rsidR="00EB2B55" w:rsidRDefault="00EB2B55" w:rsidP="003414BB">
      <w:pPr>
        <w:pStyle w:val="EndNoteBibliography"/>
        <w:ind w:left="720" w:hanging="720"/>
        <w:jc w:val="both"/>
        <w:rPr>
          <w:noProof w:val="0"/>
        </w:rPr>
      </w:pPr>
      <w:r w:rsidRPr="00607787">
        <w:rPr>
          <w:noProof w:val="0"/>
        </w:rPr>
        <w:t xml:space="preserve">Sivertsen, N., Abigail, W., Tieu, M., Eastman, M., McCloud, C., Thomson, W., &amp; Tonkin, H. (2022). What women want: Women's health in </w:t>
      </w:r>
      <w:r w:rsidR="00200834" w:rsidRPr="00607787">
        <w:rPr>
          <w:noProof w:val="0"/>
        </w:rPr>
        <w:t xml:space="preserve">rural </w:t>
      </w:r>
      <w:r w:rsidRPr="00607787">
        <w:rPr>
          <w:noProof w:val="0"/>
        </w:rPr>
        <w:t xml:space="preserve">and </w:t>
      </w:r>
      <w:r w:rsidR="00200834" w:rsidRPr="00607787">
        <w:rPr>
          <w:noProof w:val="0"/>
        </w:rPr>
        <w:t xml:space="preserve">regional </w:t>
      </w:r>
      <w:r w:rsidRPr="00607787">
        <w:rPr>
          <w:noProof w:val="0"/>
        </w:rPr>
        <w:t xml:space="preserve">Australia - Insights from an interprofessional research collaboration between academic researchers, nursing clinicians, and industry professionals. </w:t>
      </w:r>
      <w:r w:rsidRPr="00607787">
        <w:rPr>
          <w:i/>
          <w:noProof w:val="0"/>
        </w:rPr>
        <w:t>Health Soc Care Community, 30</w:t>
      </w:r>
      <w:r w:rsidRPr="00607787">
        <w:rPr>
          <w:noProof w:val="0"/>
        </w:rPr>
        <w:t xml:space="preserve">(5), e2236-e2244. </w:t>
      </w:r>
      <w:r w:rsidR="00200834" w:rsidRPr="00607787">
        <w:rPr>
          <w:noProof w:val="0"/>
        </w:rPr>
        <w:t>DOI:</w:t>
      </w:r>
      <w:r w:rsidRPr="00607787">
        <w:rPr>
          <w:rStyle w:val="Hyperlink"/>
          <w:noProof w:val="0"/>
        </w:rPr>
        <w:t>10.1111/hsc.13661</w:t>
      </w:r>
      <w:r w:rsidRPr="00607787">
        <w:rPr>
          <w:noProof w:val="0"/>
        </w:rPr>
        <w:t xml:space="preserve"> </w:t>
      </w:r>
    </w:p>
    <w:p w14:paraId="118B82A0" w14:textId="76967953" w:rsidR="00054C88" w:rsidRPr="00806C15" w:rsidRDefault="00981281" w:rsidP="003414BB">
      <w:pPr>
        <w:pStyle w:val="EndNoteBibliography"/>
        <w:ind w:left="720" w:hanging="720"/>
        <w:jc w:val="both"/>
        <w:rPr>
          <w:rFonts w:asciiTheme="minorHAnsi" w:hAnsiTheme="minorHAnsi" w:cstheme="minorHAnsi"/>
          <w:noProof w:val="0"/>
        </w:rPr>
      </w:pPr>
      <w:r w:rsidRPr="00806C15">
        <w:rPr>
          <w:rFonts w:asciiTheme="minorHAnsi" w:hAnsiTheme="minorHAnsi" w:cstheme="minorHAnsi"/>
          <w:color w:val="222222"/>
          <w:shd w:val="clear" w:color="auto" w:fill="FFFFFF"/>
        </w:rPr>
        <w:t xml:space="preserve">Sung, V., Downie, L., Paxton, G.A., Liddle, K., Birman, C.S., Chan, W.W., ... &amp; Amor, D.J. </w:t>
      </w:r>
      <w:r w:rsidR="00054C88" w:rsidRPr="00A53ABD">
        <w:rPr>
          <w:rFonts w:asciiTheme="minorHAnsi" w:hAnsiTheme="minorHAnsi" w:cstheme="minorHAnsi"/>
          <w:shd w:val="clear" w:color="auto" w:fill="FFFFFF"/>
        </w:rPr>
        <w:t>(2019)</w:t>
      </w:r>
      <w:r w:rsidRPr="005C2A40">
        <w:rPr>
          <w:rFonts w:asciiTheme="minorHAnsi" w:hAnsiTheme="minorHAnsi" w:cstheme="minorHAnsi"/>
          <w:shd w:val="clear" w:color="auto" w:fill="FFFFFF"/>
        </w:rPr>
        <w:t>.</w:t>
      </w:r>
      <w:r w:rsidR="00054C88" w:rsidRPr="00981281">
        <w:rPr>
          <w:rFonts w:asciiTheme="minorHAnsi" w:hAnsiTheme="minorHAnsi" w:cstheme="minorHAnsi"/>
          <w:shd w:val="clear" w:color="auto" w:fill="FFFFFF"/>
        </w:rPr>
        <w:t xml:space="preserve"> Childhood Hearing Australasian Medical Professionals network: Consensus guidelines on investigation and clinical management of childhood hearing loss. </w:t>
      </w:r>
      <w:r w:rsidR="00054C88" w:rsidRPr="00981281">
        <w:rPr>
          <w:rFonts w:asciiTheme="minorHAnsi" w:hAnsiTheme="minorHAnsi" w:cstheme="minorHAnsi"/>
          <w:i/>
          <w:iCs/>
          <w:shd w:val="clear" w:color="auto" w:fill="FFFFFF"/>
        </w:rPr>
        <w:t>J Paediatr Child Health, 55</w:t>
      </w:r>
      <w:r w:rsidR="00054C88" w:rsidRPr="00981281">
        <w:rPr>
          <w:rFonts w:asciiTheme="minorHAnsi" w:hAnsiTheme="minorHAnsi" w:cstheme="minorHAnsi"/>
          <w:shd w:val="clear" w:color="auto" w:fill="FFFFFF"/>
        </w:rPr>
        <w:t>: 1013-1022. DOI:</w:t>
      </w:r>
      <w:hyperlink r:id="rId18" w:history="1">
        <w:r w:rsidR="00054C88" w:rsidRPr="00981281">
          <w:rPr>
            <w:rStyle w:val="Hyperlink"/>
            <w:rFonts w:asciiTheme="minorHAnsi" w:hAnsiTheme="minorHAnsi" w:cstheme="minorHAnsi"/>
            <w:shd w:val="clear" w:color="auto" w:fill="FFFFFF"/>
          </w:rPr>
          <w:t>10.1111/jpc.14508</w:t>
        </w:r>
      </w:hyperlink>
    </w:p>
    <w:p w14:paraId="28F0312A" w14:textId="6DE55577" w:rsidR="00EB2B55" w:rsidRDefault="00EB2B55" w:rsidP="003414BB">
      <w:pPr>
        <w:pStyle w:val="EndNoteBibliography"/>
        <w:ind w:left="720" w:hanging="720"/>
        <w:jc w:val="both"/>
        <w:rPr>
          <w:noProof w:val="0"/>
        </w:rPr>
      </w:pPr>
      <w:r w:rsidRPr="00607787">
        <w:rPr>
          <w:noProof w:val="0"/>
        </w:rPr>
        <w:t xml:space="preserve">Tannenbaum, C., Clow, B., Haworth-Brockman, M., &amp; Voss, P. (2017,). Sex and gender considerations in Canadian clinical practice guidelines: a systematic review. </w:t>
      </w:r>
      <w:r w:rsidRPr="00607787">
        <w:rPr>
          <w:i/>
          <w:noProof w:val="0"/>
        </w:rPr>
        <w:t xml:space="preserve">CMAJ </w:t>
      </w:r>
      <w:r w:rsidR="00354059">
        <w:rPr>
          <w:i/>
          <w:noProof w:val="0"/>
        </w:rPr>
        <w:t>O</w:t>
      </w:r>
      <w:r w:rsidRPr="00607787">
        <w:rPr>
          <w:i/>
          <w:noProof w:val="0"/>
        </w:rPr>
        <w:t>pen, 5</w:t>
      </w:r>
      <w:r w:rsidRPr="00607787">
        <w:rPr>
          <w:noProof w:val="0"/>
        </w:rPr>
        <w:t xml:space="preserve">(1), E66-e73. </w:t>
      </w:r>
      <w:r w:rsidR="00970D41" w:rsidRPr="00607787">
        <w:rPr>
          <w:noProof w:val="0"/>
        </w:rPr>
        <w:t>DOI:</w:t>
      </w:r>
      <w:r w:rsidRPr="00607787">
        <w:rPr>
          <w:rStyle w:val="Hyperlink"/>
          <w:noProof w:val="0"/>
        </w:rPr>
        <w:t>10.9778/cmajo.20160051</w:t>
      </w:r>
      <w:r w:rsidRPr="00607787">
        <w:rPr>
          <w:noProof w:val="0"/>
        </w:rPr>
        <w:t xml:space="preserve"> </w:t>
      </w:r>
    </w:p>
    <w:p w14:paraId="4D98797D" w14:textId="6E09F29E" w:rsidR="004C428F" w:rsidRPr="00806C15" w:rsidRDefault="004C428F" w:rsidP="003414BB">
      <w:pPr>
        <w:pStyle w:val="EndNoteBibliography"/>
        <w:ind w:left="720" w:hanging="720"/>
        <w:jc w:val="both"/>
        <w:rPr>
          <w:rFonts w:asciiTheme="minorHAnsi" w:hAnsiTheme="minorHAnsi" w:cstheme="minorHAnsi"/>
          <w:noProof w:val="0"/>
        </w:rPr>
      </w:pPr>
      <w:r w:rsidRPr="00806C15">
        <w:rPr>
          <w:rFonts w:asciiTheme="minorHAnsi" w:hAnsiTheme="minorHAnsi" w:cstheme="minorHAnsi"/>
          <w:color w:val="222222"/>
          <w:shd w:val="clear" w:color="auto" w:fill="FFFFFF"/>
        </w:rPr>
        <w:t xml:space="preserve">Tran, H.A., Gibbs, H., Merriman, E., Curnow, J.L., Young, L., Bennett, A., ... &amp; Nandurkar, H. </w:t>
      </w:r>
      <w:r w:rsidRPr="00A53ABD">
        <w:rPr>
          <w:rFonts w:asciiTheme="minorHAnsi" w:hAnsiTheme="minorHAnsi" w:cstheme="minorHAnsi"/>
          <w:shd w:val="clear" w:color="auto" w:fill="FFFFFF"/>
        </w:rPr>
        <w:t xml:space="preserve">(2019). New guidelines from the Thrombosis and Haemostasis Society of Australia and New Zealand for the diagnosis and management of venous thromboembolism. </w:t>
      </w:r>
      <w:r w:rsidRPr="00A53ABD">
        <w:rPr>
          <w:rFonts w:asciiTheme="minorHAnsi" w:hAnsiTheme="minorHAnsi" w:cstheme="minorHAnsi"/>
          <w:i/>
          <w:iCs/>
          <w:shd w:val="clear" w:color="auto" w:fill="FFFFFF"/>
        </w:rPr>
        <w:t>Med J Aust, 210</w:t>
      </w:r>
      <w:r w:rsidRPr="005C2A40">
        <w:rPr>
          <w:rFonts w:asciiTheme="minorHAnsi" w:hAnsiTheme="minorHAnsi" w:cstheme="minorHAnsi"/>
          <w:shd w:val="clear" w:color="auto" w:fill="FFFFFF"/>
        </w:rPr>
        <w:t>: 227-235. DOI:</w:t>
      </w:r>
      <w:hyperlink r:id="rId19" w:history="1">
        <w:r w:rsidRPr="004C428F">
          <w:rPr>
            <w:rStyle w:val="Hyperlink"/>
            <w:rFonts w:asciiTheme="minorHAnsi" w:hAnsiTheme="minorHAnsi" w:cstheme="minorHAnsi"/>
            <w:shd w:val="clear" w:color="auto" w:fill="FFFFFF"/>
          </w:rPr>
          <w:t>10.5694/mja2.50004</w:t>
        </w:r>
      </w:hyperlink>
    </w:p>
    <w:p w14:paraId="4EF06A25" w14:textId="011CA417" w:rsidR="00EB2B55" w:rsidRDefault="00EB2B55" w:rsidP="003414BB">
      <w:pPr>
        <w:pStyle w:val="EndNoteBibliography"/>
        <w:ind w:left="720" w:hanging="720"/>
        <w:jc w:val="both"/>
        <w:rPr>
          <w:rStyle w:val="Hyperlink"/>
          <w:noProof w:val="0"/>
        </w:rPr>
      </w:pPr>
      <w:r w:rsidRPr="00607787">
        <w:rPr>
          <w:noProof w:val="0"/>
        </w:rPr>
        <w:t xml:space="preserve">United States Agency for International Development. </w:t>
      </w:r>
      <w:r w:rsidRPr="00607787">
        <w:rPr>
          <w:i/>
          <w:noProof w:val="0"/>
        </w:rPr>
        <w:t xml:space="preserve">Promoting Gender Equality through Health. </w:t>
      </w:r>
      <w:r w:rsidRPr="00607787">
        <w:rPr>
          <w:iCs/>
          <w:noProof w:val="0"/>
        </w:rPr>
        <w:t>Washington DC.</w:t>
      </w:r>
      <w:r w:rsidRPr="00607787">
        <w:rPr>
          <w:noProof w:val="0"/>
        </w:rPr>
        <w:t xml:space="preserve"> </w:t>
      </w:r>
      <w:hyperlink r:id="rId20" w:history="1">
        <w:r w:rsidR="00FB1A13" w:rsidRPr="003C35A5">
          <w:rPr>
            <w:rStyle w:val="Hyperlink"/>
            <w:noProof w:val="0"/>
          </w:rPr>
          <w:t>https://www.usaid.gov/global-health/health-systems-innovation/gender-and-health</w:t>
        </w:r>
      </w:hyperlink>
    </w:p>
    <w:p w14:paraId="08E6A67A" w14:textId="65677EF5" w:rsidR="00FB1A13" w:rsidRPr="00806C15" w:rsidRDefault="00FB1A13" w:rsidP="003414BB">
      <w:pPr>
        <w:pStyle w:val="EndNoteBibliography"/>
        <w:ind w:left="720" w:hanging="720"/>
        <w:jc w:val="both"/>
        <w:rPr>
          <w:rFonts w:asciiTheme="minorHAnsi" w:hAnsiTheme="minorHAnsi" w:cstheme="minorHAnsi"/>
          <w:noProof w:val="0"/>
        </w:rPr>
      </w:pPr>
      <w:r w:rsidRPr="00806C15">
        <w:rPr>
          <w:rFonts w:asciiTheme="minorHAnsi" w:hAnsiTheme="minorHAnsi" w:cstheme="minorHAnsi"/>
          <w:color w:val="222222"/>
          <w:shd w:val="clear" w:color="auto" w:fill="FFFFFF"/>
        </w:rPr>
        <w:t xml:space="preserve">Verdicchio, C., Freene, N., Hollings, M., Maiorana, A., Briffa, T., Gallagher, R., ... &amp; Redfern, J. </w:t>
      </w:r>
      <w:r w:rsidRPr="00A53ABD">
        <w:rPr>
          <w:rFonts w:asciiTheme="minorHAnsi" w:hAnsiTheme="minorHAnsi" w:cstheme="minorHAnsi"/>
        </w:rPr>
        <w:t>(2023). A clinical guide for assessment</w:t>
      </w:r>
      <w:r w:rsidRPr="005C2A40">
        <w:rPr>
          <w:rFonts w:asciiTheme="minorHAnsi" w:hAnsiTheme="minorHAnsi" w:cstheme="minorHAnsi"/>
          <w:spacing w:val="-10"/>
        </w:rPr>
        <w:t xml:space="preserve"> </w:t>
      </w:r>
      <w:r w:rsidRPr="00010FA1">
        <w:rPr>
          <w:rFonts w:asciiTheme="minorHAnsi" w:hAnsiTheme="minorHAnsi" w:cstheme="minorHAnsi"/>
        </w:rPr>
        <w:t>and</w:t>
      </w:r>
      <w:r w:rsidRPr="00010FA1">
        <w:rPr>
          <w:rFonts w:asciiTheme="minorHAnsi" w:hAnsiTheme="minorHAnsi" w:cstheme="minorHAnsi"/>
          <w:spacing w:val="-10"/>
        </w:rPr>
        <w:t xml:space="preserve"> </w:t>
      </w:r>
      <w:r w:rsidRPr="00010FA1">
        <w:rPr>
          <w:rFonts w:asciiTheme="minorHAnsi" w:hAnsiTheme="minorHAnsi" w:cstheme="minorHAnsi"/>
        </w:rPr>
        <w:t>prescription</w:t>
      </w:r>
      <w:r w:rsidRPr="00010FA1">
        <w:rPr>
          <w:rFonts w:asciiTheme="minorHAnsi" w:hAnsiTheme="minorHAnsi" w:cstheme="minorHAnsi"/>
          <w:spacing w:val="-10"/>
        </w:rPr>
        <w:t xml:space="preserve"> </w:t>
      </w:r>
      <w:r w:rsidRPr="00010FA1">
        <w:rPr>
          <w:rFonts w:asciiTheme="minorHAnsi" w:hAnsiTheme="minorHAnsi" w:cstheme="minorHAnsi"/>
        </w:rPr>
        <w:t>of</w:t>
      </w:r>
      <w:r w:rsidRPr="00010FA1">
        <w:rPr>
          <w:rFonts w:asciiTheme="minorHAnsi" w:hAnsiTheme="minorHAnsi" w:cstheme="minorHAnsi"/>
          <w:spacing w:val="-10"/>
        </w:rPr>
        <w:t xml:space="preserve"> </w:t>
      </w:r>
      <w:r w:rsidRPr="00010FA1">
        <w:rPr>
          <w:rFonts w:asciiTheme="minorHAnsi" w:hAnsiTheme="minorHAnsi" w:cstheme="minorHAnsi"/>
        </w:rPr>
        <w:t xml:space="preserve">exercise and physical activity in cardiac rehabilitation. A CSANZ Position Statement. </w:t>
      </w:r>
      <w:r w:rsidRPr="00010FA1">
        <w:rPr>
          <w:rFonts w:asciiTheme="minorHAnsi" w:hAnsiTheme="minorHAnsi" w:cstheme="minorHAnsi"/>
          <w:i/>
        </w:rPr>
        <w:t>Heart, Lung and Circulation</w:t>
      </w:r>
      <w:r w:rsidRPr="00010FA1">
        <w:rPr>
          <w:rFonts w:asciiTheme="minorHAnsi" w:hAnsiTheme="minorHAnsi" w:cstheme="minorHAnsi"/>
          <w:color w:val="222222"/>
          <w:shd w:val="clear" w:color="auto" w:fill="FFFFFF"/>
        </w:rPr>
        <w:t xml:space="preserve">, </w:t>
      </w:r>
      <w:r w:rsidRPr="00010FA1">
        <w:rPr>
          <w:rFonts w:asciiTheme="minorHAnsi" w:hAnsiTheme="minorHAnsi" w:cstheme="minorHAnsi"/>
          <w:i/>
          <w:iCs/>
          <w:color w:val="222222"/>
          <w:shd w:val="clear" w:color="auto" w:fill="FFFFFF"/>
        </w:rPr>
        <w:t>32</w:t>
      </w:r>
      <w:r w:rsidRPr="00010FA1">
        <w:rPr>
          <w:rFonts w:asciiTheme="minorHAnsi" w:hAnsiTheme="minorHAnsi" w:cstheme="minorHAnsi"/>
          <w:color w:val="222222"/>
          <w:shd w:val="clear" w:color="auto" w:fill="FFFFFF"/>
        </w:rPr>
        <w:t xml:space="preserve">(9), 1035-1048. </w:t>
      </w:r>
      <w:r w:rsidRPr="00010FA1">
        <w:rPr>
          <w:rFonts w:asciiTheme="minorHAnsi" w:hAnsiTheme="minorHAnsi" w:cstheme="minorHAnsi"/>
        </w:rPr>
        <w:t>DOI:10.1016/j.hlc.2023.06.854</w:t>
      </w:r>
    </w:p>
    <w:p w14:paraId="7824DE83" w14:textId="57BA13F1" w:rsidR="00E87B40" w:rsidRPr="00607787" w:rsidRDefault="00E87B40" w:rsidP="00E87B40">
      <w:pPr>
        <w:pStyle w:val="EndNoteBibliography"/>
        <w:ind w:left="720" w:hanging="720"/>
        <w:jc w:val="both"/>
        <w:rPr>
          <w:noProof w:val="0"/>
        </w:rPr>
      </w:pPr>
      <w:r w:rsidRPr="00607787">
        <w:rPr>
          <w:noProof w:val="0"/>
        </w:rPr>
        <w:t xml:space="preserve">Wainer, Z. et al.: Sex and Gender Sensitive Research Call to Action Group. (2020). Sex and gender in health research: updating policy to reflect evidence. </w:t>
      </w:r>
      <w:r w:rsidRPr="00607787">
        <w:rPr>
          <w:i/>
          <w:noProof w:val="0"/>
        </w:rPr>
        <w:t>Med J Aust, 212</w:t>
      </w:r>
      <w:r w:rsidRPr="00607787">
        <w:rPr>
          <w:noProof w:val="0"/>
        </w:rPr>
        <w:t>(2), 57-</w:t>
      </w:r>
      <w:proofErr w:type="gramStart"/>
      <w:r w:rsidRPr="00607787">
        <w:rPr>
          <w:noProof w:val="0"/>
        </w:rPr>
        <w:t>62.e</w:t>
      </w:r>
      <w:proofErr w:type="gramEnd"/>
      <w:r w:rsidRPr="00607787">
        <w:rPr>
          <w:noProof w:val="0"/>
        </w:rPr>
        <w:t xml:space="preserve">51. </w:t>
      </w:r>
      <w:r w:rsidR="00A2754D" w:rsidRPr="00607787">
        <w:rPr>
          <w:noProof w:val="0"/>
        </w:rPr>
        <w:t>DOI:</w:t>
      </w:r>
      <w:r w:rsidRPr="00607787">
        <w:rPr>
          <w:rStyle w:val="Hyperlink"/>
          <w:noProof w:val="0"/>
        </w:rPr>
        <w:t>10.5694/mja2.50426</w:t>
      </w:r>
      <w:r w:rsidRPr="00607787">
        <w:rPr>
          <w:noProof w:val="0"/>
        </w:rPr>
        <w:t xml:space="preserve"> </w:t>
      </w:r>
    </w:p>
    <w:p w14:paraId="0D7AF02F" w14:textId="77777777" w:rsidR="007C68E9" w:rsidRDefault="007C68E9" w:rsidP="003414BB">
      <w:pPr>
        <w:pStyle w:val="EndNoteBibliography"/>
        <w:ind w:left="720" w:hanging="720"/>
        <w:jc w:val="both"/>
      </w:pPr>
      <w:r w:rsidRPr="007C68E9">
        <w:t xml:space="preserve">Wang, X., Carcel, C., Hsu, B., Shajahan, S., Miller, M., Peters, S., . . . Woodward, M. (2022). Differences in the pre-hospital management of women and men with stroke by emergency medical services in New South Wales. </w:t>
      </w:r>
      <w:r w:rsidRPr="007C68E9">
        <w:rPr>
          <w:i/>
        </w:rPr>
        <w:t>Med J Aust, 217</w:t>
      </w:r>
      <w:r w:rsidRPr="007C68E9">
        <w:t>(3), 143-148. DOI:10.5694/mja2.51652</w:t>
      </w:r>
    </w:p>
    <w:p w14:paraId="7A17E745" w14:textId="19592F5E" w:rsidR="00EB2B55" w:rsidRDefault="00EB2B55" w:rsidP="007D66C4">
      <w:pPr>
        <w:pStyle w:val="EndNoteBibliography"/>
        <w:keepLines/>
        <w:ind w:left="720" w:hanging="720"/>
        <w:jc w:val="both"/>
        <w:rPr>
          <w:noProof w:val="0"/>
        </w:rPr>
      </w:pPr>
      <w:r w:rsidRPr="00607787">
        <w:rPr>
          <w:noProof w:val="0"/>
        </w:rPr>
        <w:lastRenderedPageBreak/>
        <w:t xml:space="preserve">Welch, V., Doull, M., </w:t>
      </w:r>
      <w:proofErr w:type="spellStart"/>
      <w:r w:rsidRPr="00607787">
        <w:rPr>
          <w:noProof w:val="0"/>
        </w:rPr>
        <w:t>Yoganathan</w:t>
      </w:r>
      <w:proofErr w:type="spellEnd"/>
      <w:r w:rsidRPr="00607787">
        <w:rPr>
          <w:noProof w:val="0"/>
        </w:rPr>
        <w:t xml:space="preserve">, M., Jull, J., Boscoe, M., Coen, S.E., Marshall, Z., Pardo, J.P., Pederson, A., Petkovic, J., </w:t>
      </w:r>
      <w:proofErr w:type="spellStart"/>
      <w:r w:rsidRPr="00607787">
        <w:rPr>
          <w:noProof w:val="0"/>
        </w:rPr>
        <w:t>Puil</w:t>
      </w:r>
      <w:proofErr w:type="spellEnd"/>
      <w:r w:rsidRPr="00607787">
        <w:rPr>
          <w:noProof w:val="0"/>
        </w:rPr>
        <w:t xml:space="preserve">, L., Quinlan, L., Shea, B., Rader, T., Runnels, V., &amp; </w:t>
      </w:r>
      <w:proofErr w:type="spellStart"/>
      <w:r w:rsidRPr="00607787">
        <w:rPr>
          <w:noProof w:val="0"/>
        </w:rPr>
        <w:t>Tudiver</w:t>
      </w:r>
      <w:proofErr w:type="spellEnd"/>
      <w:r w:rsidRPr="00607787">
        <w:rPr>
          <w:noProof w:val="0"/>
        </w:rPr>
        <w:t xml:space="preserve">, S. (2017). Reporting of sex and gender in randomized controlled trials in Canada: a cross-sectional methods study. </w:t>
      </w:r>
      <w:r w:rsidRPr="00607787">
        <w:rPr>
          <w:i/>
          <w:noProof w:val="0"/>
        </w:rPr>
        <w:t xml:space="preserve">Research </w:t>
      </w:r>
      <w:r w:rsidR="005E4F9F" w:rsidRPr="00607787">
        <w:rPr>
          <w:i/>
          <w:noProof w:val="0"/>
        </w:rPr>
        <w:t>Integrity &amp; Peer Review</w:t>
      </w:r>
      <w:r w:rsidRPr="00607787">
        <w:rPr>
          <w:i/>
          <w:noProof w:val="0"/>
        </w:rPr>
        <w:t>, 2</w:t>
      </w:r>
      <w:r w:rsidRPr="00607787">
        <w:rPr>
          <w:noProof w:val="0"/>
        </w:rPr>
        <w:t xml:space="preserve">, 15. </w:t>
      </w:r>
      <w:r w:rsidR="005E4F9F" w:rsidRPr="00607787">
        <w:rPr>
          <w:noProof w:val="0"/>
        </w:rPr>
        <w:t>DOI:</w:t>
      </w:r>
      <w:r w:rsidRPr="00607787">
        <w:rPr>
          <w:rStyle w:val="Hyperlink"/>
          <w:noProof w:val="0"/>
        </w:rPr>
        <w:t>10.1186/s41073-017-0039-6</w:t>
      </w:r>
      <w:r w:rsidRPr="00607787">
        <w:rPr>
          <w:noProof w:val="0"/>
        </w:rPr>
        <w:t xml:space="preserve"> </w:t>
      </w:r>
    </w:p>
    <w:p w14:paraId="28293C45" w14:textId="31F90AC9" w:rsidR="00C105B8" w:rsidRPr="00806C15" w:rsidRDefault="00AE0CF4" w:rsidP="003414BB">
      <w:pPr>
        <w:pStyle w:val="EndNoteBibliography"/>
        <w:ind w:left="720" w:hanging="720"/>
        <w:jc w:val="both"/>
        <w:rPr>
          <w:rFonts w:asciiTheme="minorHAnsi" w:hAnsiTheme="minorHAnsi" w:cstheme="minorHAnsi"/>
          <w:noProof w:val="0"/>
        </w:rPr>
      </w:pPr>
      <w:r w:rsidRPr="00806C15">
        <w:rPr>
          <w:rFonts w:asciiTheme="minorHAnsi" w:hAnsiTheme="minorHAnsi" w:cstheme="minorHAnsi"/>
          <w:color w:val="222222"/>
          <w:shd w:val="clear" w:color="auto" w:fill="FFFFFF"/>
        </w:rPr>
        <w:t xml:space="preserve">Whiteman, D.C., Appleyard, M., Bahin, F.F., Bobryshev, Y.V., Bourke, M.J., Brown, I., ... &amp; Yusoff, I.F. </w:t>
      </w:r>
      <w:r w:rsidR="00C105B8" w:rsidRPr="00A53ABD">
        <w:rPr>
          <w:rFonts w:asciiTheme="minorHAnsi" w:hAnsiTheme="minorHAnsi" w:cstheme="minorHAnsi"/>
        </w:rPr>
        <w:t>(2015). Australian clinical</w:t>
      </w:r>
      <w:r w:rsidR="00C105B8" w:rsidRPr="005C2A40">
        <w:rPr>
          <w:rFonts w:asciiTheme="minorHAnsi" w:hAnsiTheme="minorHAnsi" w:cstheme="minorHAnsi"/>
        </w:rPr>
        <w:t xml:space="preserve"> practice guidelines for BE and EAC.</w:t>
      </w:r>
      <w:r w:rsidR="00C105B8" w:rsidRPr="00AE0CF4">
        <w:rPr>
          <w:rFonts w:asciiTheme="minorHAnsi" w:hAnsiTheme="minorHAnsi" w:cstheme="minorHAnsi"/>
          <w:spacing w:val="-8"/>
        </w:rPr>
        <w:t xml:space="preserve"> </w:t>
      </w:r>
      <w:r w:rsidR="00C105B8" w:rsidRPr="00AE0CF4">
        <w:rPr>
          <w:rFonts w:asciiTheme="minorHAnsi" w:hAnsiTheme="minorHAnsi" w:cstheme="minorHAnsi"/>
          <w:i/>
        </w:rPr>
        <w:t>J</w:t>
      </w:r>
      <w:r w:rsidR="00C105B8" w:rsidRPr="00AE0CF4">
        <w:rPr>
          <w:rFonts w:asciiTheme="minorHAnsi" w:hAnsiTheme="minorHAnsi" w:cstheme="minorHAnsi"/>
          <w:i/>
          <w:spacing w:val="-8"/>
        </w:rPr>
        <w:t xml:space="preserve"> </w:t>
      </w:r>
      <w:r w:rsidR="00C105B8" w:rsidRPr="00AE0CF4">
        <w:rPr>
          <w:rFonts w:asciiTheme="minorHAnsi" w:hAnsiTheme="minorHAnsi" w:cstheme="minorHAnsi"/>
          <w:i/>
        </w:rPr>
        <w:t>Gastroenterol</w:t>
      </w:r>
      <w:r w:rsidR="00C105B8" w:rsidRPr="00AE0CF4">
        <w:rPr>
          <w:rFonts w:asciiTheme="minorHAnsi" w:hAnsiTheme="minorHAnsi" w:cstheme="minorHAnsi"/>
          <w:i/>
          <w:spacing w:val="-7"/>
        </w:rPr>
        <w:t xml:space="preserve"> </w:t>
      </w:r>
      <w:r w:rsidR="00C105B8" w:rsidRPr="00AE0CF4">
        <w:rPr>
          <w:rFonts w:asciiTheme="minorHAnsi" w:hAnsiTheme="minorHAnsi" w:cstheme="minorHAnsi"/>
          <w:i/>
        </w:rPr>
        <w:t>Hepatol</w:t>
      </w:r>
      <w:r w:rsidR="00C105B8" w:rsidRPr="00AE0CF4">
        <w:rPr>
          <w:rFonts w:asciiTheme="minorHAnsi" w:hAnsiTheme="minorHAnsi" w:cstheme="minorHAnsi"/>
        </w:rPr>
        <w:t>,</w:t>
      </w:r>
      <w:r w:rsidR="00C105B8" w:rsidRPr="00AE0CF4">
        <w:rPr>
          <w:rFonts w:asciiTheme="minorHAnsi" w:hAnsiTheme="minorHAnsi" w:cstheme="minorHAnsi"/>
          <w:spacing w:val="-8"/>
        </w:rPr>
        <w:t xml:space="preserve"> </w:t>
      </w:r>
      <w:r w:rsidR="00C105B8" w:rsidRPr="00AE0CF4">
        <w:rPr>
          <w:rFonts w:asciiTheme="minorHAnsi" w:hAnsiTheme="minorHAnsi" w:cstheme="minorHAnsi"/>
        </w:rPr>
        <w:t>30:</w:t>
      </w:r>
      <w:r w:rsidR="00C105B8" w:rsidRPr="00AE0CF4">
        <w:rPr>
          <w:rFonts w:asciiTheme="minorHAnsi" w:hAnsiTheme="minorHAnsi" w:cstheme="minorHAnsi"/>
          <w:spacing w:val="-8"/>
        </w:rPr>
        <w:t xml:space="preserve"> </w:t>
      </w:r>
      <w:r w:rsidR="00C105B8" w:rsidRPr="00AE0CF4">
        <w:rPr>
          <w:rFonts w:asciiTheme="minorHAnsi" w:hAnsiTheme="minorHAnsi" w:cstheme="minorHAnsi"/>
        </w:rPr>
        <w:t>804-820.</w:t>
      </w:r>
      <w:r w:rsidR="00C105B8" w:rsidRPr="00AE0CF4">
        <w:rPr>
          <w:rFonts w:asciiTheme="minorHAnsi" w:hAnsiTheme="minorHAnsi" w:cstheme="minorHAnsi"/>
          <w:spacing w:val="-4"/>
        </w:rPr>
        <w:t xml:space="preserve"> </w:t>
      </w:r>
      <w:r w:rsidR="00C105B8" w:rsidRPr="00AE0CF4">
        <w:rPr>
          <w:rFonts w:asciiTheme="minorHAnsi" w:hAnsiTheme="minorHAnsi" w:cstheme="minorHAnsi"/>
        </w:rPr>
        <w:t>DOI:</w:t>
      </w:r>
      <w:r w:rsidR="00C105B8" w:rsidRPr="00AE0CF4">
        <w:rPr>
          <w:rFonts w:asciiTheme="minorHAnsi" w:hAnsiTheme="minorHAnsi" w:cstheme="minorHAnsi"/>
          <w:spacing w:val="-2"/>
        </w:rPr>
        <w:t>10.1111/jgh.12913</w:t>
      </w:r>
    </w:p>
    <w:p w14:paraId="02103828" w14:textId="599812FE" w:rsidR="00EB2B55" w:rsidRPr="00607787" w:rsidRDefault="00EB2B55" w:rsidP="003414BB">
      <w:pPr>
        <w:pStyle w:val="EndNoteBibliography"/>
        <w:ind w:left="720" w:hanging="720"/>
        <w:jc w:val="both"/>
        <w:rPr>
          <w:noProof w:val="0"/>
        </w:rPr>
      </w:pPr>
      <w:r w:rsidRPr="00607787">
        <w:rPr>
          <w:noProof w:val="0"/>
        </w:rPr>
        <w:t xml:space="preserve">World Health Organization. </w:t>
      </w:r>
      <w:r w:rsidRPr="00607787">
        <w:rPr>
          <w:i/>
          <w:noProof w:val="0"/>
        </w:rPr>
        <w:t xml:space="preserve">Gender and Health. </w:t>
      </w:r>
      <w:r w:rsidRPr="00607787">
        <w:rPr>
          <w:iCs/>
          <w:noProof w:val="0"/>
        </w:rPr>
        <w:t>WHO. Geneva</w:t>
      </w:r>
      <w:r w:rsidRPr="00607787">
        <w:rPr>
          <w:i/>
          <w:noProof w:val="0"/>
        </w:rPr>
        <w:t>.</w:t>
      </w:r>
      <w:r w:rsidRPr="00607787">
        <w:rPr>
          <w:noProof w:val="0"/>
        </w:rPr>
        <w:t xml:space="preserve"> </w:t>
      </w:r>
      <w:r w:rsidRPr="00607787">
        <w:rPr>
          <w:rStyle w:val="Hyperlink"/>
          <w:noProof w:val="0"/>
        </w:rPr>
        <w:t>https://www.who.int/health-topics/gender#tab=tab_1</w:t>
      </w:r>
    </w:p>
    <w:p w14:paraId="43471433" w14:textId="0B946CBC" w:rsidR="00EB2B55" w:rsidRPr="00607787" w:rsidRDefault="00EB2B55" w:rsidP="003414BB">
      <w:pPr>
        <w:pStyle w:val="EndNoteBibliography"/>
        <w:ind w:left="720" w:hanging="720"/>
        <w:jc w:val="both"/>
        <w:rPr>
          <w:noProof w:val="0"/>
        </w:rPr>
      </w:pPr>
      <w:r w:rsidRPr="00607787">
        <w:rPr>
          <w:noProof w:val="0"/>
        </w:rPr>
        <w:t xml:space="preserve">Worrall-Carter, L., </w:t>
      </w:r>
      <w:proofErr w:type="spellStart"/>
      <w:r w:rsidRPr="00607787">
        <w:rPr>
          <w:noProof w:val="0"/>
        </w:rPr>
        <w:t>McEvedy</w:t>
      </w:r>
      <w:proofErr w:type="spellEnd"/>
      <w:r w:rsidRPr="00607787">
        <w:rPr>
          <w:noProof w:val="0"/>
        </w:rPr>
        <w:t xml:space="preserve">, S., Wilson, A., &amp; Rahman, M.A. (2016). Gender </w:t>
      </w:r>
      <w:r w:rsidR="001641B7" w:rsidRPr="00607787">
        <w:rPr>
          <w:noProof w:val="0"/>
        </w:rPr>
        <w:t>differences in presentation, coronary intervention, and outcomes of 28,985 acute coronary syndrome patients in</w:t>
      </w:r>
      <w:r w:rsidRPr="00607787">
        <w:rPr>
          <w:noProof w:val="0"/>
        </w:rPr>
        <w:t xml:space="preserve"> Victoria, Australia. </w:t>
      </w:r>
      <w:r w:rsidRPr="00607787">
        <w:rPr>
          <w:i/>
          <w:noProof w:val="0"/>
        </w:rPr>
        <w:t>Women</w:t>
      </w:r>
      <w:r w:rsidR="00CE3F53">
        <w:rPr>
          <w:i/>
          <w:noProof w:val="0"/>
        </w:rPr>
        <w:t>’</w:t>
      </w:r>
      <w:r w:rsidRPr="00607787">
        <w:rPr>
          <w:i/>
          <w:noProof w:val="0"/>
        </w:rPr>
        <w:t>s Health Issues, 26</w:t>
      </w:r>
      <w:r w:rsidRPr="00607787">
        <w:rPr>
          <w:noProof w:val="0"/>
        </w:rPr>
        <w:t xml:space="preserve">(1), 14-20. </w:t>
      </w:r>
      <w:proofErr w:type="gramStart"/>
      <w:r w:rsidR="001641B7" w:rsidRPr="00607787">
        <w:rPr>
          <w:noProof w:val="0"/>
        </w:rPr>
        <w:t>DOI:</w:t>
      </w:r>
      <w:r w:rsidRPr="00607787">
        <w:rPr>
          <w:noProof w:val="0"/>
        </w:rPr>
        <w:t>10.1016/j.whi</w:t>
      </w:r>
      <w:proofErr w:type="gramEnd"/>
      <w:r w:rsidRPr="00607787">
        <w:rPr>
          <w:noProof w:val="0"/>
        </w:rPr>
        <w:t xml:space="preserve">.2015.09.002 </w:t>
      </w:r>
    </w:p>
    <w:p w14:paraId="42DEFCBD" w14:textId="78FB45BF" w:rsidR="00E30595" w:rsidRDefault="00E30595">
      <w:pPr>
        <w:rPr>
          <w:rFonts w:ascii="Calibri" w:hAnsi="Calibri" w:cs="Calibri"/>
        </w:rPr>
      </w:pPr>
      <w:r>
        <w:br w:type="page"/>
      </w:r>
    </w:p>
    <w:p w14:paraId="27E667B4" w14:textId="77777777" w:rsidR="00EB2B55" w:rsidRPr="003300B8" w:rsidRDefault="00EB2B55" w:rsidP="003300B8">
      <w:pPr>
        <w:pStyle w:val="Heading1"/>
        <w:spacing w:before="0" w:after="160"/>
        <w:rPr>
          <w:rFonts w:asciiTheme="minorHAnsi" w:hAnsiTheme="minorHAnsi" w:cstheme="minorHAnsi"/>
          <w:b/>
          <w:color w:val="4C2863"/>
          <w:sz w:val="40"/>
          <w:szCs w:val="40"/>
        </w:rPr>
      </w:pPr>
      <w:bookmarkStart w:id="315" w:name="_Toc161757527"/>
      <w:bookmarkStart w:id="316" w:name="_Toc161763952"/>
      <w:bookmarkStart w:id="317" w:name="_Toc165205008"/>
      <w:bookmarkStart w:id="318" w:name="_Toc168390516"/>
      <w:bookmarkStart w:id="319" w:name="_Toc168390884"/>
      <w:bookmarkStart w:id="320" w:name="_Toc168390950"/>
      <w:bookmarkStart w:id="321" w:name="_Toc168392082"/>
      <w:bookmarkStart w:id="322" w:name="_Toc168392439"/>
      <w:bookmarkStart w:id="323" w:name="_Toc168393612"/>
      <w:bookmarkStart w:id="324" w:name="_Toc168393654"/>
      <w:bookmarkStart w:id="325" w:name="_Toc168394328"/>
      <w:bookmarkStart w:id="326" w:name="_Toc168394466"/>
      <w:r w:rsidRPr="003300B8">
        <w:rPr>
          <w:rFonts w:asciiTheme="minorHAnsi" w:hAnsiTheme="minorHAnsi" w:cstheme="minorHAnsi"/>
          <w:b/>
          <w:color w:val="4C2863"/>
          <w:sz w:val="40"/>
          <w:szCs w:val="40"/>
        </w:rPr>
        <w:lastRenderedPageBreak/>
        <w:t>Appendices</w:t>
      </w:r>
      <w:bookmarkEnd w:id="315"/>
      <w:bookmarkEnd w:id="316"/>
      <w:bookmarkEnd w:id="317"/>
      <w:bookmarkEnd w:id="318"/>
      <w:bookmarkEnd w:id="319"/>
      <w:bookmarkEnd w:id="320"/>
      <w:bookmarkEnd w:id="321"/>
      <w:bookmarkEnd w:id="322"/>
      <w:bookmarkEnd w:id="323"/>
      <w:bookmarkEnd w:id="324"/>
      <w:bookmarkEnd w:id="325"/>
      <w:bookmarkEnd w:id="326"/>
    </w:p>
    <w:p w14:paraId="1CA97E21" w14:textId="3EE7C401" w:rsidR="00EB2B55" w:rsidRPr="003300B8" w:rsidRDefault="00CC4682" w:rsidP="00C376D4">
      <w:pPr>
        <w:pStyle w:val="Heading2"/>
        <w:rPr>
          <w:rFonts w:asciiTheme="minorHAnsi" w:hAnsiTheme="minorHAnsi" w:cstheme="minorHAnsi"/>
          <w:color w:val="4C2863"/>
          <w:lang w:eastAsia="en-GB"/>
        </w:rPr>
      </w:pPr>
      <w:bookmarkStart w:id="327" w:name="_heading=h.239pot7flfy6" w:colFirst="0" w:colLast="0"/>
      <w:bookmarkStart w:id="328" w:name="_Toc168392083"/>
      <w:bookmarkStart w:id="329" w:name="_Toc168392440"/>
      <w:bookmarkStart w:id="330" w:name="_Toc168393613"/>
      <w:bookmarkStart w:id="331" w:name="_Toc168393655"/>
      <w:bookmarkStart w:id="332" w:name="_Toc168394329"/>
      <w:bookmarkStart w:id="333" w:name="_Toc168394467"/>
      <w:bookmarkEnd w:id="327"/>
      <w:r w:rsidRPr="003300B8">
        <w:rPr>
          <w:rFonts w:asciiTheme="minorHAnsi" w:hAnsiTheme="minorHAnsi" w:cstheme="minorHAnsi"/>
          <w:color w:val="4C2863"/>
          <w:lang w:eastAsia="en-GB"/>
        </w:rPr>
        <w:t>Appendix A</w:t>
      </w:r>
      <w:r w:rsidR="008D03A7" w:rsidRPr="003300B8">
        <w:rPr>
          <w:rFonts w:asciiTheme="minorHAnsi" w:hAnsiTheme="minorHAnsi" w:cstheme="minorHAnsi"/>
          <w:color w:val="4C2863"/>
          <w:lang w:eastAsia="en-GB"/>
        </w:rPr>
        <w:t xml:space="preserve">. </w:t>
      </w:r>
      <w:r w:rsidR="007D58D3" w:rsidRPr="003300B8">
        <w:rPr>
          <w:rFonts w:asciiTheme="minorHAnsi" w:hAnsiTheme="minorHAnsi" w:cstheme="minorHAnsi"/>
          <w:color w:val="4C2863"/>
          <w:lang w:eastAsia="en-GB"/>
        </w:rPr>
        <w:t xml:space="preserve"> </w:t>
      </w:r>
      <w:r w:rsidR="00CF26C1" w:rsidRPr="003300B8">
        <w:rPr>
          <w:rFonts w:asciiTheme="minorHAnsi" w:hAnsiTheme="minorHAnsi" w:cstheme="minorHAnsi"/>
          <w:color w:val="4C2863"/>
          <w:lang w:eastAsia="en-GB"/>
        </w:rPr>
        <w:t>Concept Grids and D</w:t>
      </w:r>
      <w:r w:rsidR="00F86CC4" w:rsidRPr="003300B8">
        <w:rPr>
          <w:rFonts w:asciiTheme="minorHAnsi" w:hAnsiTheme="minorHAnsi" w:cstheme="minorHAnsi"/>
          <w:color w:val="4C2863"/>
          <w:lang w:eastAsia="en-GB"/>
        </w:rPr>
        <w:t xml:space="preserve">atabase </w:t>
      </w:r>
      <w:r w:rsidR="00CF26C1" w:rsidRPr="003300B8">
        <w:rPr>
          <w:rFonts w:asciiTheme="minorHAnsi" w:hAnsiTheme="minorHAnsi" w:cstheme="minorHAnsi"/>
          <w:color w:val="4C2863"/>
          <w:lang w:eastAsia="en-GB"/>
        </w:rPr>
        <w:t>Search S</w:t>
      </w:r>
      <w:r w:rsidR="00EB2B55" w:rsidRPr="003300B8">
        <w:rPr>
          <w:rFonts w:asciiTheme="minorHAnsi" w:hAnsiTheme="minorHAnsi" w:cstheme="minorHAnsi"/>
          <w:color w:val="4C2863"/>
          <w:lang w:eastAsia="en-GB"/>
        </w:rPr>
        <w:t>trategies</w:t>
      </w:r>
      <w:r w:rsidR="00CF26C1" w:rsidRPr="003300B8">
        <w:rPr>
          <w:rFonts w:asciiTheme="minorHAnsi" w:hAnsiTheme="minorHAnsi" w:cstheme="minorHAnsi"/>
          <w:color w:val="4C2863"/>
          <w:lang w:eastAsia="en-GB"/>
        </w:rPr>
        <w:t xml:space="preserve"> for Each Q</w:t>
      </w:r>
      <w:r w:rsidR="00A72399" w:rsidRPr="003300B8">
        <w:rPr>
          <w:rFonts w:asciiTheme="minorHAnsi" w:hAnsiTheme="minorHAnsi" w:cstheme="minorHAnsi"/>
          <w:color w:val="4C2863"/>
          <w:lang w:eastAsia="en-GB"/>
        </w:rPr>
        <w:t>uestion</w:t>
      </w:r>
      <w:bookmarkEnd w:id="328"/>
      <w:bookmarkEnd w:id="329"/>
      <w:bookmarkEnd w:id="330"/>
      <w:bookmarkEnd w:id="331"/>
      <w:bookmarkEnd w:id="332"/>
      <w:bookmarkEnd w:id="333"/>
    </w:p>
    <w:p w14:paraId="66BE6026" w14:textId="77777777" w:rsidR="00566296" w:rsidRPr="00566296" w:rsidRDefault="00566296" w:rsidP="00566296">
      <w:pPr>
        <w:rPr>
          <w:lang w:eastAsia="en-GB"/>
        </w:rPr>
      </w:pPr>
    </w:p>
    <w:p w14:paraId="564A96E2" w14:textId="77777777" w:rsidR="00A72399" w:rsidRDefault="00CC4682" w:rsidP="00996171">
      <w:pPr>
        <w:spacing w:after="200" w:line="240" w:lineRule="auto"/>
        <w:textAlignment w:val="baseline"/>
        <w:rPr>
          <w:rFonts w:ascii="Arial" w:eastAsia="Times New Roman" w:hAnsi="Arial" w:cs="Arial"/>
          <w:b/>
          <w:color w:val="212121"/>
          <w:lang w:eastAsia="en-GB"/>
        </w:rPr>
      </w:pPr>
      <w:r>
        <w:rPr>
          <w:rFonts w:ascii="Arial" w:eastAsia="Times New Roman" w:hAnsi="Arial" w:cs="Arial"/>
          <w:b/>
          <w:color w:val="212121"/>
          <w:lang w:eastAsia="en-GB"/>
        </w:rPr>
        <w:t xml:space="preserve">Table A1. </w:t>
      </w:r>
    </w:p>
    <w:p w14:paraId="22F980D6" w14:textId="2A609541" w:rsidR="00996171" w:rsidRDefault="008D03A7" w:rsidP="00996171">
      <w:pPr>
        <w:spacing w:after="200" w:line="240" w:lineRule="auto"/>
        <w:textAlignment w:val="baseline"/>
        <w:rPr>
          <w:rFonts w:ascii="Arial" w:eastAsia="Times New Roman" w:hAnsi="Arial" w:cs="Arial"/>
          <w:color w:val="212121"/>
          <w:lang w:eastAsia="en-GB"/>
        </w:rPr>
      </w:pPr>
      <w:r>
        <w:rPr>
          <w:rFonts w:ascii="Arial" w:eastAsia="Times New Roman" w:hAnsi="Arial" w:cs="Arial"/>
          <w:b/>
          <w:color w:val="212121"/>
          <w:lang w:eastAsia="en-GB"/>
        </w:rPr>
        <w:t>Concept grid for r</w:t>
      </w:r>
      <w:r w:rsidR="00F86CC4" w:rsidRPr="00607787">
        <w:rPr>
          <w:rFonts w:ascii="Arial" w:eastAsia="Times New Roman" w:hAnsi="Arial" w:cs="Arial"/>
          <w:b/>
          <w:color w:val="212121"/>
          <w:lang w:eastAsia="en-GB"/>
        </w:rPr>
        <w:t xml:space="preserve">esearch </w:t>
      </w:r>
      <w:r w:rsidR="00DD432D">
        <w:rPr>
          <w:rFonts w:ascii="Arial" w:eastAsia="Times New Roman" w:hAnsi="Arial" w:cs="Arial"/>
          <w:b/>
          <w:color w:val="212121"/>
          <w:lang w:eastAsia="en-GB"/>
        </w:rPr>
        <w:t>q</w:t>
      </w:r>
      <w:r w:rsidR="00F86CC4" w:rsidRPr="00607787">
        <w:rPr>
          <w:rFonts w:ascii="Arial" w:eastAsia="Times New Roman" w:hAnsi="Arial" w:cs="Arial"/>
          <w:b/>
          <w:color w:val="212121"/>
          <w:lang w:eastAsia="en-GB"/>
        </w:rPr>
        <w:t>uestion 1</w:t>
      </w:r>
      <w:r>
        <w:rPr>
          <w:rFonts w:ascii="Arial" w:eastAsia="Times New Roman" w:hAnsi="Arial" w:cs="Arial"/>
          <w:color w:val="212121"/>
          <w:lang w:eastAsia="en-GB"/>
        </w:rPr>
        <w:t xml:space="preserve">: </w:t>
      </w:r>
      <w:r w:rsidR="00EB2B55" w:rsidRPr="00672DBE">
        <w:rPr>
          <w:rFonts w:ascii="Arial" w:eastAsia="Times New Roman" w:hAnsi="Arial" w:cs="Arial"/>
          <w:color w:val="212121"/>
          <w:lang w:eastAsia="en-GB"/>
        </w:rPr>
        <w:t>What are the barriers to gender equity in health care and services experienced b</w:t>
      </w:r>
      <w:r w:rsidR="00996171">
        <w:rPr>
          <w:rFonts w:ascii="Arial" w:eastAsia="Times New Roman" w:hAnsi="Arial" w:cs="Arial"/>
          <w:color w:val="212121"/>
          <w:lang w:eastAsia="en-GB"/>
        </w:rPr>
        <w:t>y women and girls in Australia?</w:t>
      </w:r>
    </w:p>
    <w:tbl>
      <w:tblPr>
        <w:tblW w:w="0" w:type="auto"/>
        <w:tblCellMar>
          <w:top w:w="15" w:type="dxa"/>
          <w:left w:w="15" w:type="dxa"/>
          <w:bottom w:w="15" w:type="dxa"/>
          <w:right w:w="15" w:type="dxa"/>
        </w:tblCellMar>
        <w:tblLook w:val="04A0" w:firstRow="1" w:lastRow="0" w:firstColumn="1" w:lastColumn="0" w:noHBand="0" w:noVBand="1"/>
      </w:tblPr>
      <w:tblGrid>
        <w:gridCol w:w="1581"/>
        <w:gridCol w:w="1474"/>
        <w:gridCol w:w="5951"/>
      </w:tblGrid>
      <w:tr w:rsidR="00996171" w:rsidRPr="00672DBE" w14:paraId="78C5BA5E" w14:textId="77777777" w:rsidTr="003300B8">
        <w:tc>
          <w:tcPr>
            <w:tcW w:w="0" w:type="auto"/>
            <w:tcBorders>
              <w:top w:val="single" w:sz="8" w:space="0" w:color="000000"/>
              <w:left w:val="single" w:sz="8" w:space="0" w:color="000000"/>
              <w:bottom w:val="single" w:sz="8" w:space="0" w:color="000000"/>
              <w:right w:val="single" w:sz="8" w:space="0" w:color="000000"/>
            </w:tcBorders>
            <w:shd w:val="clear" w:color="auto" w:fill="EADEF2"/>
            <w:tcMar>
              <w:top w:w="100" w:type="dxa"/>
              <w:left w:w="100" w:type="dxa"/>
              <w:bottom w:w="100" w:type="dxa"/>
              <w:right w:w="100" w:type="dxa"/>
            </w:tcMar>
            <w:hideMark/>
          </w:tcPr>
          <w:p w14:paraId="4C5D58F2" w14:textId="77777777" w:rsidR="00996171" w:rsidRPr="00672DBE" w:rsidRDefault="00996171" w:rsidP="003B0AD3">
            <w:pPr>
              <w:spacing w:after="0" w:line="240" w:lineRule="auto"/>
              <w:jc w:val="center"/>
              <w:rPr>
                <w:rFonts w:ascii="Arial" w:eastAsia="Times New Roman" w:hAnsi="Arial" w:cs="Arial"/>
                <w:lang w:eastAsia="en-GB"/>
              </w:rPr>
            </w:pPr>
            <w:r w:rsidRPr="00672DBE">
              <w:rPr>
                <w:rFonts w:ascii="Arial" w:eastAsia="Times New Roman" w:hAnsi="Arial" w:cs="Arial"/>
                <w:b/>
                <w:bCs/>
                <w:color w:val="212121"/>
                <w:lang w:eastAsia="en-GB"/>
              </w:rPr>
              <w:t>CONCEPT GRID</w:t>
            </w:r>
          </w:p>
        </w:tc>
        <w:tc>
          <w:tcPr>
            <w:tcW w:w="0" w:type="auto"/>
            <w:tcBorders>
              <w:top w:val="single" w:sz="8" w:space="0" w:color="000000"/>
              <w:left w:val="single" w:sz="8" w:space="0" w:color="000000"/>
              <w:bottom w:val="single" w:sz="8" w:space="0" w:color="000000"/>
              <w:right w:val="single" w:sz="8" w:space="0" w:color="000000"/>
            </w:tcBorders>
            <w:shd w:val="clear" w:color="auto" w:fill="EADEF2"/>
            <w:tcMar>
              <w:top w:w="100" w:type="dxa"/>
              <w:left w:w="100" w:type="dxa"/>
              <w:bottom w:w="100" w:type="dxa"/>
              <w:right w:w="100" w:type="dxa"/>
            </w:tcMar>
            <w:hideMark/>
          </w:tcPr>
          <w:p w14:paraId="342A0AD1" w14:textId="77777777" w:rsidR="00996171" w:rsidRPr="00672DBE" w:rsidRDefault="00996171" w:rsidP="003B0AD3">
            <w:pPr>
              <w:spacing w:after="0" w:line="240" w:lineRule="auto"/>
              <w:rPr>
                <w:rFonts w:ascii="Arial" w:eastAsia="Times New Roman" w:hAnsi="Arial" w:cs="Arial"/>
                <w:lang w:eastAsia="en-GB"/>
              </w:rPr>
            </w:pPr>
            <w:proofErr w:type="spellStart"/>
            <w:r w:rsidRPr="00672DBE">
              <w:rPr>
                <w:rFonts w:ascii="Arial" w:eastAsia="Times New Roman" w:hAnsi="Arial" w:cs="Arial"/>
                <w:b/>
                <w:bCs/>
                <w:color w:val="212121"/>
                <w:lang w:eastAsia="en-GB"/>
              </w:rPr>
              <w:t>MeSH</w:t>
            </w:r>
            <w:proofErr w:type="spellEnd"/>
            <w:r w:rsidRPr="00672DBE">
              <w:rPr>
                <w:rFonts w:ascii="Arial" w:eastAsia="Times New Roman" w:hAnsi="Arial" w:cs="Arial"/>
                <w:b/>
                <w:bCs/>
                <w:color w:val="212121"/>
                <w:lang w:eastAsia="en-GB"/>
              </w:rPr>
              <w:t xml:space="preserve"> terms</w:t>
            </w:r>
          </w:p>
        </w:tc>
        <w:tc>
          <w:tcPr>
            <w:tcW w:w="0" w:type="auto"/>
            <w:tcBorders>
              <w:top w:val="single" w:sz="8" w:space="0" w:color="000000"/>
              <w:left w:val="single" w:sz="8" w:space="0" w:color="000000"/>
              <w:bottom w:val="single" w:sz="8" w:space="0" w:color="000000"/>
              <w:right w:val="single" w:sz="8" w:space="0" w:color="000000"/>
            </w:tcBorders>
            <w:shd w:val="clear" w:color="auto" w:fill="EADEF2"/>
            <w:tcMar>
              <w:top w:w="100" w:type="dxa"/>
              <w:left w:w="100" w:type="dxa"/>
              <w:bottom w:w="100" w:type="dxa"/>
              <w:right w:w="100" w:type="dxa"/>
            </w:tcMar>
            <w:hideMark/>
          </w:tcPr>
          <w:p w14:paraId="4BEDB1AB" w14:textId="77777777" w:rsidR="00996171" w:rsidRPr="00672DBE" w:rsidRDefault="00996171" w:rsidP="003B0AD3">
            <w:pPr>
              <w:spacing w:after="0" w:line="240" w:lineRule="auto"/>
              <w:rPr>
                <w:rFonts w:ascii="Arial" w:eastAsia="Times New Roman" w:hAnsi="Arial" w:cs="Arial"/>
                <w:lang w:eastAsia="en-GB"/>
              </w:rPr>
            </w:pPr>
            <w:proofErr w:type="spellStart"/>
            <w:r w:rsidRPr="00672DBE">
              <w:rPr>
                <w:rFonts w:ascii="Arial" w:eastAsia="Times New Roman" w:hAnsi="Arial" w:cs="Arial"/>
                <w:b/>
                <w:bCs/>
                <w:color w:val="212121"/>
                <w:lang w:eastAsia="en-GB"/>
              </w:rPr>
              <w:t>Textwords</w:t>
            </w:r>
            <w:proofErr w:type="spellEnd"/>
          </w:p>
        </w:tc>
      </w:tr>
      <w:tr w:rsidR="00996171" w:rsidRPr="00672DBE" w14:paraId="7A127450" w14:textId="77777777" w:rsidTr="003300B8">
        <w:trPr>
          <w:trHeight w:val="636"/>
        </w:trPr>
        <w:tc>
          <w:tcPr>
            <w:tcW w:w="0" w:type="auto"/>
            <w:tcBorders>
              <w:top w:val="single" w:sz="8" w:space="0" w:color="000000"/>
              <w:left w:val="single" w:sz="8" w:space="0" w:color="000000"/>
              <w:bottom w:val="single" w:sz="8" w:space="0" w:color="000000"/>
              <w:right w:val="single" w:sz="8" w:space="0" w:color="000000"/>
            </w:tcBorders>
            <w:shd w:val="clear" w:color="auto" w:fill="E3D3ED"/>
            <w:tcMar>
              <w:top w:w="100" w:type="dxa"/>
              <w:left w:w="100" w:type="dxa"/>
              <w:bottom w:w="100" w:type="dxa"/>
              <w:right w:w="100" w:type="dxa"/>
            </w:tcMar>
            <w:hideMark/>
          </w:tcPr>
          <w:p w14:paraId="548BB2C4"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t>Problem</w:t>
            </w:r>
          </w:p>
          <w:p w14:paraId="0E55E48B" w14:textId="77777777" w:rsidR="00996171" w:rsidRPr="00672DBE" w:rsidRDefault="00996171" w:rsidP="003B0AD3">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bias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D6C16"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Gender Equity/ </w:t>
            </w:r>
          </w:p>
          <w:p w14:paraId="39983553"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Sexism/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286DF"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(gendered approach* or gender-specific or gender sensitive or gender perspective*).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563CEB0F" w14:textId="77777777" w:rsidR="00996171" w:rsidRPr="00672DBE" w:rsidRDefault="00996171" w:rsidP="003B0AD3">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 or sex or gender-based or sex-based)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r w:rsidR="00996171" w:rsidRPr="00672DBE" w14:paraId="03381FAE" w14:textId="77777777" w:rsidTr="003300B8">
        <w:trPr>
          <w:trHeight w:val="756"/>
        </w:trPr>
        <w:tc>
          <w:tcPr>
            <w:tcW w:w="0" w:type="auto"/>
            <w:tcBorders>
              <w:top w:val="single" w:sz="8" w:space="0" w:color="000000"/>
              <w:left w:val="single" w:sz="8" w:space="0" w:color="000000"/>
              <w:bottom w:val="single" w:sz="8" w:space="0" w:color="000000"/>
              <w:right w:val="single" w:sz="8" w:space="0" w:color="000000"/>
            </w:tcBorders>
            <w:shd w:val="clear" w:color="auto" w:fill="E3D3ED"/>
            <w:tcMar>
              <w:top w:w="100" w:type="dxa"/>
              <w:left w:w="100" w:type="dxa"/>
              <w:bottom w:w="100" w:type="dxa"/>
              <w:right w:w="100" w:type="dxa"/>
            </w:tcMar>
            <w:hideMark/>
          </w:tcPr>
          <w:p w14:paraId="31052769"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t>Interest</w:t>
            </w:r>
          </w:p>
          <w:p w14:paraId="2DC5B4D9" w14:textId="77777777" w:rsidR="00996171" w:rsidRPr="00672DBE" w:rsidRDefault="00996171" w:rsidP="003B0AD3">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Female patients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B7AA2C"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81C72" w14:textId="77777777" w:rsidR="00996171" w:rsidRPr="00672DBE" w:rsidRDefault="00996171" w:rsidP="003B0AD3">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r w:rsidR="00996171" w:rsidRPr="00672DBE" w14:paraId="1CB2C704" w14:textId="77777777" w:rsidTr="003300B8">
        <w:trPr>
          <w:trHeight w:val="3765"/>
        </w:trPr>
        <w:tc>
          <w:tcPr>
            <w:tcW w:w="0" w:type="auto"/>
            <w:tcBorders>
              <w:top w:val="single" w:sz="8" w:space="0" w:color="000000"/>
              <w:left w:val="single" w:sz="8" w:space="0" w:color="000000"/>
              <w:bottom w:val="single" w:sz="8" w:space="0" w:color="000000"/>
              <w:right w:val="single" w:sz="8" w:space="0" w:color="000000"/>
            </w:tcBorders>
            <w:shd w:val="clear" w:color="auto" w:fill="E3D3ED"/>
            <w:tcMar>
              <w:top w:w="100" w:type="dxa"/>
              <w:left w:w="100" w:type="dxa"/>
              <w:bottom w:w="100" w:type="dxa"/>
              <w:right w:w="100" w:type="dxa"/>
            </w:tcMar>
            <w:hideMark/>
          </w:tcPr>
          <w:p w14:paraId="1B23F6A8"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t>Context</w:t>
            </w:r>
          </w:p>
          <w:p w14:paraId="4DBA5776"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Healthcare providers</w:t>
            </w:r>
          </w:p>
          <w:p w14:paraId="00BA1ED7" w14:textId="77777777" w:rsidR="00996171" w:rsidRPr="00672DBE" w:rsidRDefault="00996171" w:rsidP="003B0AD3">
            <w:pPr>
              <w:spacing w:after="0" w:line="240" w:lineRule="auto"/>
              <w:rPr>
                <w:rFonts w:ascii="Arial" w:eastAsia="Times New Roman" w:hAnsi="Arial" w:cs="Arial"/>
                <w:lang w:eastAsia="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DD0D4"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Health Personnel/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15419"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((health care or healthcare or health or medical or surgical or hospital or clinic*)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5984047E"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(general practitioner* or medical practitioner*).</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38AD4592"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((health service or healthcare service or health care service or hospital service)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6A52B147"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((outpatient or out-patient) adj clinic?).</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0167D653" w14:textId="77777777" w:rsidR="00996171" w:rsidRPr="00672DBE" w:rsidRDefault="00996171" w:rsidP="003B0AD3">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community health cent*.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0795E65A" w14:textId="77777777" w:rsidR="00996171" w:rsidRPr="00672DBE" w:rsidRDefault="00996171" w:rsidP="003B0AD3">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(health centre* or health </w:t>
            </w:r>
            <w:proofErr w:type="spellStart"/>
            <w:r w:rsidRPr="00672DBE">
              <w:rPr>
                <w:rFonts w:ascii="Arial" w:eastAsia="Times New Roman" w:hAnsi="Arial" w:cs="Arial"/>
                <w:color w:val="212121"/>
                <w:lang w:eastAsia="en-GB"/>
              </w:rPr>
              <w:t>center</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bl>
    <w:p w14:paraId="6ACDBF3D" w14:textId="77777777" w:rsidR="001B33FC" w:rsidRDefault="001B33FC">
      <w:pPr>
        <w:rPr>
          <w:rFonts w:ascii="Arial" w:eastAsia="Times New Roman" w:hAnsi="Arial" w:cs="Arial"/>
          <w:b/>
          <w:color w:val="212121"/>
          <w:lang w:eastAsia="en-GB"/>
        </w:rPr>
      </w:pPr>
      <w:r>
        <w:rPr>
          <w:rFonts w:ascii="Arial" w:eastAsia="Times New Roman" w:hAnsi="Arial" w:cs="Arial"/>
          <w:b/>
          <w:color w:val="212121"/>
          <w:lang w:eastAsia="en-GB"/>
        </w:rPr>
        <w:br w:type="page"/>
      </w:r>
    </w:p>
    <w:p w14:paraId="6661B396" w14:textId="05C4D28B" w:rsidR="00996171" w:rsidRPr="00996171" w:rsidRDefault="00996171" w:rsidP="00996171">
      <w:pPr>
        <w:spacing w:after="200" w:line="240" w:lineRule="auto"/>
        <w:textAlignment w:val="baseline"/>
        <w:rPr>
          <w:rFonts w:ascii="Arial" w:eastAsia="Times New Roman" w:hAnsi="Arial" w:cs="Arial"/>
          <w:b/>
          <w:color w:val="212121"/>
          <w:lang w:eastAsia="en-GB"/>
        </w:rPr>
      </w:pPr>
      <w:r w:rsidRPr="00996171">
        <w:rPr>
          <w:rFonts w:ascii="Arial" w:eastAsia="Times New Roman" w:hAnsi="Arial" w:cs="Arial"/>
          <w:b/>
          <w:color w:val="212121"/>
          <w:lang w:eastAsia="en-GB"/>
        </w:rPr>
        <w:lastRenderedPageBreak/>
        <w:t xml:space="preserve">Box A1. List of </w:t>
      </w:r>
      <w:proofErr w:type="spellStart"/>
      <w:r w:rsidRPr="00996171">
        <w:rPr>
          <w:rFonts w:ascii="Arial" w:eastAsia="Times New Roman" w:hAnsi="Arial" w:cs="Arial"/>
          <w:b/>
          <w:color w:val="212121"/>
          <w:lang w:eastAsia="en-GB"/>
        </w:rPr>
        <w:t>textword</w:t>
      </w:r>
      <w:r>
        <w:rPr>
          <w:rFonts w:ascii="Arial" w:eastAsia="Times New Roman" w:hAnsi="Arial" w:cs="Arial"/>
          <w:b/>
          <w:color w:val="212121"/>
          <w:lang w:eastAsia="en-GB"/>
        </w:rPr>
        <w:t>s</w:t>
      </w:r>
      <w:proofErr w:type="spellEnd"/>
      <w:r>
        <w:rPr>
          <w:rFonts w:ascii="Arial" w:eastAsia="Times New Roman" w:hAnsi="Arial" w:cs="Arial"/>
          <w:b/>
          <w:color w:val="212121"/>
          <w:lang w:eastAsia="en-GB"/>
        </w:rPr>
        <w:t xml:space="preserve"> and </w:t>
      </w:r>
      <w:r w:rsidRPr="00996171">
        <w:rPr>
          <w:rFonts w:ascii="Arial" w:eastAsia="Times New Roman" w:hAnsi="Arial" w:cs="Arial"/>
          <w:b/>
          <w:color w:val="212121"/>
          <w:lang w:eastAsia="en-GB"/>
        </w:rPr>
        <w:t>keywords</w:t>
      </w:r>
      <w:r>
        <w:rPr>
          <w:rFonts w:ascii="Arial" w:eastAsia="Times New Roman" w:hAnsi="Arial" w:cs="Arial"/>
          <w:b/>
          <w:color w:val="212121"/>
          <w:lang w:eastAsia="en-GB"/>
        </w:rPr>
        <w:t xml:space="preserve"> </w:t>
      </w:r>
      <w:r w:rsidRPr="00996171">
        <w:rPr>
          <w:rFonts w:ascii="Arial" w:eastAsia="Times New Roman" w:hAnsi="Arial" w:cs="Arial"/>
          <w:b/>
          <w:color w:val="212121"/>
          <w:lang w:eastAsia="en-GB"/>
        </w:rPr>
        <w:t>combinations</w:t>
      </w:r>
    </w:p>
    <w:tbl>
      <w:tblPr>
        <w:tblW w:w="0" w:type="auto"/>
        <w:tblCellMar>
          <w:top w:w="15" w:type="dxa"/>
          <w:left w:w="15" w:type="dxa"/>
          <w:bottom w:w="15" w:type="dxa"/>
          <w:right w:w="15" w:type="dxa"/>
        </w:tblCellMar>
        <w:tblLook w:val="04A0" w:firstRow="1" w:lastRow="0" w:firstColumn="1" w:lastColumn="0" w:noHBand="0" w:noVBand="1"/>
      </w:tblPr>
      <w:tblGrid>
        <w:gridCol w:w="9006"/>
      </w:tblGrid>
      <w:tr w:rsidR="00EB2B55" w:rsidRPr="00672DBE" w14:paraId="41C96397" w14:textId="77777777" w:rsidTr="003414BB">
        <w:trPr>
          <w:trHeight w:val="705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FEBC8" w14:textId="6DA7FBA9" w:rsidR="00EB2B55" w:rsidRPr="00672DBE" w:rsidRDefault="00996171"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 xml:space="preserve"> </w:t>
            </w:r>
            <w:r w:rsidR="00EB2B55" w:rsidRPr="00672DBE">
              <w:rPr>
                <w:rFonts w:ascii="Arial" w:eastAsia="Times New Roman" w:hAnsi="Arial" w:cs="Arial"/>
                <w:color w:val="212121"/>
                <w:lang w:eastAsia="en-GB"/>
              </w:rPr>
              <w:t>((health care or healthcare or health or medical or surgical or hospital or clinic*) adj5 (provider* or providing or provision or delivery) adj10 (gendered approach* or gender-specific or gender sensitive or gender perspective*)).</w:t>
            </w:r>
            <w:proofErr w:type="spellStart"/>
            <w:r w:rsidR="00EB2B55" w:rsidRPr="00672DBE">
              <w:rPr>
                <w:rFonts w:ascii="Arial" w:eastAsia="Times New Roman" w:hAnsi="Arial" w:cs="Arial"/>
                <w:color w:val="212121"/>
                <w:lang w:eastAsia="en-GB"/>
              </w:rPr>
              <w:t>mp</w:t>
            </w:r>
            <w:proofErr w:type="spellEnd"/>
            <w:r w:rsidR="00EB2B55" w:rsidRPr="00672DBE">
              <w:rPr>
                <w:rFonts w:ascii="Arial" w:eastAsia="Times New Roman" w:hAnsi="Arial" w:cs="Arial"/>
                <w:color w:val="212121"/>
                <w:lang w:eastAsia="en-GB"/>
              </w:rPr>
              <w:t>.</w:t>
            </w:r>
          </w:p>
          <w:p w14:paraId="17051CAB" w14:textId="4855A28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 adj10 ((health care or healthcare or health or medical or surgical or hospital or clinic*)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3A298AC3" w14:textId="1848DF4D"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adj4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xml:space="preserve">* or discrimination or prejudice) adj10 (general practitioner* or medical practitioner* or health centre* or health </w:t>
            </w:r>
            <w:proofErr w:type="spellStart"/>
            <w:r w:rsidRPr="00672DBE">
              <w:rPr>
                <w:rFonts w:ascii="Arial" w:eastAsia="Times New Roman" w:hAnsi="Arial" w:cs="Arial"/>
                <w:color w:val="212121"/>
                <w:lang w:eastAsia="en-GB"/>
              </w:rPr>
              <w:t>center</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66BD2EFB"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((gendered approach* or gender-specific or gender sensitive or gender perspective*) adj10 (general practitioner* or medical practitioner* or health centre* or health </w:t>
            </w:r>
            <w:proofErr w:type="spellStart"/>
            <w:r w:rsidRPr="00672DBE">
              <w:rPr>
                <w:rFonts w:ascii="Arial" w:eastAsia="Times New Roman" w:hAnsi="Arial" w:cs="Arial"/>
                <w:color w:val="212121"/>
                <w:lang w:eastAsia="en-GB"/>
              </w:rPr>
              <w:t>center</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02C052B7" w14:textId="3EAB40AC"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 adj10 ((health service or healthcare service or health care service or hospital service)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2731EFCD" w14:textId="4ADCED10"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adj4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 adj10 (health service or healthcare service or health care service or hospital service) adj5 (provider* or providing or provision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bl>
    <w:p w14:paraId="1045EB75" w14:textId="77777777" w:rsidR="008245BE" w:rsidRDefault="008245BE" w:rsidP="009651F1">
      <w:pPr>
        <w:rPr>
          <w:lang w:eastAsia="en-GB"/>
        </w:rPr>
      </w:pPr>
    </w:p>
    <w:p w14:paraId="65FE79B6" w14:textId="5160F939" w:rsidR="00EB2B55" w:rsidRPr="00996171" w:rsidRDefault="00996171" w:rsidP="003414BB">
      <w:pPr>
        <w:keepNext/>
        <w:keepLines/>
        <w:spacing w:before="240" w:line="240" w:lineRule="auto"/>
        <w:jc w:val="both"/>
        <w:outlineLvl w:val="4"/>
        <w:rPr>
          <w:rFonts w:ascii="Arial" w:eastAsia="Times New Roman" w:hAnsi="Arial" w:cs="Arial"/>
          <w:b/>
          <w:lang w:eastAsia="en-GB"/>
        </w:rPr>
      </w:pPr>
      <w:r w:rsidRPr="00996171">
        <w:rPr>
          <w:rFonts w:ascii="Arial" w:eastAsia="Times New Roman" w:hAnsi="Arial" w:cs="Arial"/>
          <w:b/>
          <w:bCs/>
          <w:lang w:eastAsia="en-GB"/>
        </w:rPr>
        <w:t>Table A2. MEDLINE Search History</w:t>
      </w:r>
      <w:r w:rsidR="00EB2B55" w:rsidRPr="00996171">
        <w:rPr>
          <w:rFonts w:ascii="Arial" w:eastAsia="Times New Roman" w:hAnsi="Arial" w:cs="Arial"/>
          <w:b/>
          <w:bCs/>
          <w:lang w:eastAsia="en-GB"/>
        </w:rPr>
        <w:t xml:space="preserve"> </w:t>
      </w:r>
      <w:r w:rsidR="00742F3E">
        <w:rPr>
          <w:rFonts w:ascii="Arial" w:eastAsia="Times New Roman" w:hAnsi="Arial" w:cs="Arial"/>
          <w:b/>
          <w:bCs/>
          <w:lang w:eastAsia="en-GB"/>
        </w:rPr>
        <w:t xml:space="preserve">for </w:t>
      </w:r>
      <w:r w:rsidR="008F4CA1">
        <w:rPr>
          <w:rFonts w:ascii="Arial" w:eastAsia="Times New Roman" w:hAnsi="Arial" w:cs="Arial"/>
          <w:b/>
          <w:bCs/>
          <w:lang w:eastAsia="en-GB"/>
        </w:rPr>
        <w:t>Question 1</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4947C380" w14:textId="77777777" w:rsidTr="00B00C15">
        <w:trPr>
          <w:trHeight w:val="324"/>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901D7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C87DE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9409C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Results</w:t>
            </w:r>
          </w:p>
        </w:tc>
      </w:tr>
      <w:tr w:rsidR="00EB2B55" w:rsidRPr="00672DBE" w14:paraId="06B481B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23E5C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33132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Equity/ or Sexism/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72B5C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4003</w:t>
            </w:r>
          </w:p>
        </w:tc>
      </w:tr>
      <w:tr w:rsidR="00EB2B55" w:rsidRPr="00672DBE" w14:paraId="3C2A1056"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E1FF9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17D63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(gendered approach* or gender-specific or gender sensitive or gender perspective*).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82E8C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16392</w:t>
            </w:r>
          </w:p>
        </w:tc>
      </w:tr>
      <w:tr w:rsidR="00EB2B55" w:rsidRPr="00672DBE" w14:paraId="32544B22" w14:textId="77777777" w:rsidTr="003414BB">
        <w:trPr>
          <w:trHeight w:val="529"/>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C1837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DE40DA" w14:textId="273BC9C5"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6AE15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18042</w:t>
            </w:r>
          </w:p>
        </w:tc>
      </w:tr>
      <w:tr w:rsidR="00EB2B55" w:rsidRPr="00672DBE" w14:paraId="4EA49C5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D3207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91F35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 or 2 or 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301BB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35494</w:t>
            </w:r>
          </w:p>
        </w:tc>
      </w:tr>
      <w:tr w:rsidR="00EB2B55" w:rsidRPr="00672DBE" w14:paraId="0449B3B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0E936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63A333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Women/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CC439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15200</w:t>
            </w:r>
          </w:p>
        </w:tc>
      </w:tr>
      <w:tr w:rsidR="00EB2B55" w:rsidRPr="00672DBE" w14:paraId="37E69B6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809F1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63275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EA12F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10214608</w:t>
            </w:r>
          </w:p>
        </w:tc>
      </w:tr>
      <w:tr w:rsidR="00EB2B55" w:rsidRPr="00672DBE" w14:paraId="4D20C63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E5443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76E4D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 or 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361DC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10214608</w:t>
            </w:r>
          </w:p>
        </w:tc>
      </w:tr>
      <w:tr w:rsidR="00EB2B55" w:rsidRPr="00672DBE" w14:paraId="0837233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D61EA6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6B306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Health Personnel/</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2C293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624526</w:t>
            </w:r>
          </w:p>
        </w:tc>
      </w:tr>
      <w:tr w:rsidR="00EB2B55" w:rsidRPr="00672DBE" w14:paraId="7AE99CED"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4EB9D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3C442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care or healthcare or health or medical or surgical or hospital or clinic*)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10286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264876</w:t>
            </w:r>
          </w:p>
        </w:tc>
      </w:tr>
      <w:tr w:rsidR="00EB2B55" w:rsidRPr="00672DBE" w14:paraId="505E19E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3616D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91677B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FA8F7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2134</w:t>
            </w:r>
          </w:p>
        </w:tc>
      </w:tr>
      <w:tr w:rsidR="00EB2B55" w:rsidRPr="00672DBE" w14:paraId="40733FE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15693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7183A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D5358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717</w:t>
            </w:r>
          </w:p>
        </w:tc>
      </w:tr>
      <w:tr w:rsidR="00EB2B55" w:rsidRPr="00672DBE" w14:paraId="6D34DB1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6856A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D1A35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(general practitioner* or medical practitioner*).</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74AD9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68457</w:t>
            </w:r>
          </w:p>
        </w:tc>
      </w:tr>
      <w:tr w:rsidR="00EB2B55" w:rsidRPr="00672DBE" w14:paraId="0C8FDEB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C5DBA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881E2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F8EC5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138</w:t>
            </w:r>
          </w:p>
        </w:tc>
      </w:tr>
      <w:tr w:rsidR="00EB2B55" w:rsidRPr="00672DBE" w14:paraId="5F8EB47A"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5EBD0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lastRenderedPageBreak/>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85E2F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service or healthcare service or health care service or hospital service)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613DD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5250</w:t>
            </w:r>
          </w:p>
        </w:tc>
      </w:tr>
      <w:tr w:rsidR="00EB2B55" w:rsidRPr="00672DBE" w14:paraId="637E683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AE95D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B6698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FB9B3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22</w:t>
            </w:r>
          </w:p>
        </w:tc>
      </w:tr>
      <w:tr w:rsidR="00EB2B55" w:rsidRPr="00672DBE" w14:paraId="2714BA2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71F58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E42DA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((outpatient or out-patient) adj clinic?).</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B9418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54003</w:t>
            </w:r>
          </w:p>
        </w:tc>
      </w:tr>
      <w:tr w:rsidR="00EB2B55" w:rsidRPr="00672DBE" w14:paraId="2331ACB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3654A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59F5A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33402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67</w:t>
            </w:r>
          </w:p>
        </w:tc>
      </w:tr>
      <w:tr w:rsidR="00EB2B55" w:rsidRPr="00672DBE" w14:paraId="03992BD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BC461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DAD1F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community health cent*.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B63EE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11120</w:t>
            </w:r>
          </w:p>
        </w:tc>
      </w:tr>
      <w:tr w:rsidR="00EB2B55" w:rsidRPr="00672DBE" w14:paraId="684FE81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34C3C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47AB3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805BD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w:t>
            </w:r>
          </w:p>
        </w:tc>
      </w:tr>
      <w:tr w:rsidR="00EB2B55" w:rsidRPr="00672DBE" w14:paraId="2762093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C86F7B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DB21D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(health centre* or health </w:t>
            </w:r>
            <w:proofErr w:type="spellStart"/>
            <w:r w:rsidRPr="00672DBE">
              <w:rPr>
                <w:rFonts w:ascii="Arial" w:eastAsia="Times New Roman" w:hAnsi="Arial" w:cs="Arial"/>
                <w:color w:val="212121"/>
                <w:lang w:eastAsia="en-GB"/>
              </w:rPr>
              <w:t>center</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AF266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47792</w:t>
            </w:r>
          </w:p>
        </w:tc>
      </w:tr>
      <w:tr w:rsidR="00EB2B55" w:rsidRPr="00672DBE" w14:paraId="2AF61BD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07CF0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9F2AA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7 and 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33DEC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117</w:t>
            </w:r>
          </w:p>
        </w:tc>
      </w:tr>
      <w:tr w:rsidR="00EB2B55" w:rsidRPr="00672DBE" w14:paraId="06D30AF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95BD4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18A0D0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 or 11 or 13 or 15 or 17 or 19 or 21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238C8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2942</w:t>
            </w:r>
          </w:p>
        </w:tc>
      </w:tr>
      <w:tr w:rsidR="00EB2B55" w:rsidRPr="00672DBE" w14:paraId="54A6F9E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5832D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A35A23" w14:textId="243937F0"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limit 22 to </w:t>
            </w:r>
            <w:r w:rsidR="00637581" w:rsidRPr="00672DBE">
              <w:rPr>
                <w:rFonts w:ascii="Arial" w:eastAsia="Times New Roman" w:hAnsi="Arial" w:cs="Arial"/>
                <w:color w:val="212121"/>
                <w:lang w:eastAsia="en-GB"/>
              </w:rPr>
              <w:t>English</w:t>
            </w:r>
            <w:r w:rsidRPr="00672DBE">
              <w:rPr>
                <w:rFonts w:ascii="Arial" w:eastAsia="Times New Roman" w:hAnsi="Arial" w:cs="Arial"/>
                <w:color w:val="212121"/>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C5F07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2795</w:t>
            </w:r>
          </w:p>
        </w:tc>
      </w:tr>
      <w:tr w:rsidR="00EB2B55" w:rsidRPr="00672DBE" w14:paraId="407DD8A5"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CD98E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7010D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43CF8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3229933</w:t>
            </w:r>
          </w:p>
        </w:tc>
      </w:tr>
      <w:tr w:rsidR="00EB2B55" w:rsidRPr="00672DBE" w14:paraId="51A1491B" w14:textId="77777777" w:rsidTr="003414BB">
        <w:trPr>
          <w:trHeight w:val="513"/>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ED00E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48FC1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((observation* or </w:t>
            </w:r>
            <w:proofErr w:type="spellStart"/>
            <w:r w:rsidRPr="00672DBE">
              <w:rPr>
                <w:rFonts w:ascii="Arial" w:eastAsia="Times New Roman" w:hAnsi="Arial" w:cs="Arial"/>
                <w:color w:val="212121"/>
                <w:lang w:eastAsia="en-GB"/>
              </w:rPr>
              <w:t>epidemiolog</w:t>
            </w:r>
            <w:proofErr w:type="spellEnd"/>
            <w:r w:rsidRPr="00672DBE">
              <w:rPr>
                <w:rFonts w:ascii="Arial" w:eastAsia="Times New Roman" w:hAnsi="Arial" w:cs="Arial"/>
                <w:color w:val="212121"/>
                <w:lang w:eastAsia="en-GB"/>
              </w:rPr>
              <w:t xml:space="preserve">* or case-control or cohort or before-after or cross-sectional or "before and after" or </w:t>
            </w:r>
            <w:proofErr w:type="spellStart"/>
            <w:r w:rsidRPr="00672DBE">
              <w:rPr>
                <w:rFonts w:ascii="Arial" w:eastAsia="Times New Roman" w:hAnsi="Arial" w:cs="Arial"/>
                <w:color w:val="212121"/>
                <w:lang w:eastAsia="en-GB"/>
              </w:rPr>
              <w:t>crosssectional</w:t>
            </w:r>
            <w:proofErr w:type="spellEnd"/>
            <w:r w:rsidRPr="00672DBE">
              <w:rPr>
                <w:rFonts w:ascii="Arial" w:eastAsia="Times New Roman" w:hAnsi="Arial" w:cs="Arial"/>
                <w:color w:val="212121"/>
                <w:lang w:eastAsia="en-GB"/>
              </w:rPr>
              <w:t>) adj (study or studies)).</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FB7AC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1716040</w:t>
            </w:r>
          </w:p>
        </w:tc>
      </w:tr>
      <w:tr w:rsidR="00EB2B55" w:rsidRPr="00672DBE" w14:paraId="6A23EAF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7E687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7AD7B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B2D86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12170</w:t>
            </w:r>
          </w:p>
        </w:tc>
      </w:tr>
      <w:tr w:rsidR="00EB2B55" w:rsidRPr="00672DBE" w14:paraId="7E74701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F9C48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F5046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guideline*.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B68E0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623097</w:t>
            </w:r>
          </w:p>
        </w:tc>
      </w:tr>
      <w:tr w:rsidR="00EB2B55" w:rsidRPr="00672DBE" w14:paraId="68FF65F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FE489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331E3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(program* adj3 (develop* or implement*)).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1B3CF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116674</w:t>
            </w:r>
          </w:p>
        </w:tc>
      </w:tr>
      <w:tr w:rsidR="00EB2B55" w:rsidRPr="00672DBE" w14:paraId="11397A8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F6929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625BA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24 or 25 or 26 or 27 or 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62393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4224775</w:t>
            </w:r>
          </w:p>
        </w:tc>
      </w:tr>
      <w:tr w:rsidR="00EB2B55" w:rsidRPr="00672DBE" w14:paraId="3751492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1F33F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9193BC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23 and 29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184D1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782</w:t>
            </w:r>
          </w:p>
        </w:tc>
      </w:tr>
      <w:tr w:rsidR="00EB2B55" w:rsidRPr="00672DBE" w14:paraId="3A07D53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6F93E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8952F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limit 30 to yr="2014 -Current"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3FBB7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587</w:t>
            </w:r>
          </w:p>
        </w:tc>
      </w:tr>
      <w:tr w:rsidR="00EB2B55" w:rsidRPr="00672DBE" w14:paraId="1AD0C8FA" w14:textId="77777777" w:rsidTr="003414BB">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8B8B0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61628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care or healthcare or health or medical or surgical or hospital or clinic*) adj5 (provider* or providing or provision or delivery) adj10 (gendered approach* or gender-specific or gender sensitive or gender perspective*)).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0DF73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77</w:t>
            </w:r>
          </w:p>
        </w:tc>
      </w:tr>
      <w:tr w:rsidR="00EB2B55" w:rsidRPr="00672DBE" w14:paraId="078B08F3"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BADEC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0289AF" w14:textId="5346FE4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 adj10 ((health care or healthcare or health or medical or surgical or hospital or clinic*)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68DA4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53</w:t>
            </w:r>
          </w:p>
        </w:tc>
      </w:tr>
      <w:tr w:rsidR="00EB2B55" w:rsidRPr="00672DBE" w14:paraId="67658FAB"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E3115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1E1ABD" w14:textId="6595C5F4"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adj4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xml:space="preserve">* or discrimination or prejudice) adj10 (general practitioner* or medical practitioner* or health centre* or health </w:t>
            </w:r>
            <w:proofErr w:type="spellStart"/>
            <w:r w:rsidRPr="00672DBE">
              <w:rPr>
                <w:rFonts w:ascii="Arial" w:eastAsia="Times New Roman" w:hAnsi="Arial" w:cs="Arial"/>
                <w:color w:val="212121"/>
                <w:lang w:eastAsia="en-GB"/>
              </w:rPr>
              <w:t>center</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F4AB8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23</w:t>
            </w:r>
          </w:p>
        </w:tc>
      </w:tr>
      <w:tr w:rsidR="00EB2B55" w:rsidRPr="00672DBE" w14:paraId="16BA2B3A"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45785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26D76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((gendered approach* or gender-specific or gender sensitive or gender perspective*) adj10 (general practitioner* or medical practitioner* or health centre* or health </w:t>
            </w:r>
            <w:proofErr w:type="spellStart"/>
            <w:r w:rsidRPr="00672DBE">
              <w:rPr>
                <w:rFonts w:ascii="Arial" w:eastAsia="Times New Roman" w:hAnsi="Arial" w:cs="Arial"/>
                <w:color w:val="212121"/>
                <w:lang w:eastAsia="en-GB"/>
              </w:rPr>
              <w:t>center</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21976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19</w:t>
            </w:r>
          </w:p>
        </w:tc>
      </w:tr>
      <w:tr w:rsidR="00EB2B55" w:rsidRPr="00672DBE" w14:paraId="549673A4"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191D9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1923688" w14:textId="3DD80B84"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 adj10 ((health service or healthcare service or health care service or hospital service) adj2 (provider*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42A3E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w:t>
            </w:r>
          </w:p>
        </w:tc>
      </w:tr>
      <w:tr w:rsidR="00EB2B55" w:rsidRPr="00672DBE" w14:paraId="43CD31F7" w14:textId="77777777" w:rsidTr="003414BB">
        <w:trPr>
          <w:trHeight w:val="106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DF2BA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9A6DAC" w14:textId="243E93AF"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adj4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 adj10 (health service or healthcare service or health care service or hospital service) adj5 (provider* or providing or provision or delivery)).</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6E4EA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w:t>
            </w:r>
          </w:p>
        </w:tc>
      </w:tr>
      <w:tr w:rsidR="00EB2B55" w:rsidRPr="00672DBE" w14:paraId="49C2772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02B8E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7B7C0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 or 33 or 34 or 35 or 36 or 37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551449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170</w:t>
            </w:r>
          </w:p>
        </w:tc>
      </w:tr>
      <w:tr w:rsidR="00EB2B55" w:rsidRPr="00672DBE" w14:paraId="75C98DE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62FD7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A1E12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29 and 38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4817E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58</w:t>
            </w:r>
          </w:p>
        </w:tc>
      </w:tr>
      <w:tr w:rsidR="00EB2B55" w:rsidRPr="00672DBE" w14:paraId="0A06B30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55850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DC1FBF" w14:textId="4223CAC1"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limit 39 to (</w:t>
            </w:r>
            <w:r w:rsidR="00160D5E" w:rsidRPr="00672DBE">
              <w:rPr>
                <w:rFonts w:ascii="Arial" w:eastAsia="Times New Roman" w:hAnsi="Arial" w:cs="Arial"/>
                <w:color w:val="212121"/>
                <w:lang w:eastAsia="en-GB"/>
              </w:rPr>
              <w:t>English</w:t>
            </w:r>
            <w:r w:rsidRPr="00672DBE">
              <w:rPr>
                <w:rFonts w:ascii="Arial" w:eastAsia="Times New Roman" w:hAnsi="Arial" w:cs="Arial"/>
                <w:color w:val="212121"/>
                <w:lang w:eastAsia="en-GB"/>
              </w:rPr>
              <w:t xml:space="preserve"> language and yr="2014 -Current")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BADEE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37</w:t>
            </w:r>
          </w:p>
        </w:tc>
      </w:tr>
      <w:tr w:rsidR="00EB2B55" w:rsidRPr="00672DBE" w14:paraId="22177F1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0E6B8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401A6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 or 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41744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596</w:t>
            </w:r>
          </w:p>
        </w:tc>
      </w:tr>
    </w:tbl>
    <w:p w14:paraId="7A74973C" w14:textId="26258E19" w:rsidR="00EB2B55" w:rsidRPr="00996171" w:rsidRDefault="00996171" w:rsidP="00B00C15">
      <w:pPr>
        <w:keepNext/>
        <w:keepLines/>
        <w:shd w:val="clear" w:color="auto" w:fill="FFFFFF"/>
        <w:spacing w:before="240" w:after="240" w:line="240" w:lineRule="auto"/>
        <w:jc w:val="both"/>
        <w:outlineLvl w:val="4"/>
        <w:rPr>
          <w:rFonts w:ascii="Arial" w:eastAsia="Times New Roman" w:hAnsi="Arial" w:cs="Arial"/>
          <w:b/>
          <w:lang w:eastAsia="en-GB"/>
        </w:rPr>
      </w:pPr>
      <w:r w:rsidRPr="00996171">
        <w:rPr>
          <w:rFonts w:ascii="Arial" w:eastAsia="Times New Roman" w:hAnsi="Arial" w:cs="Arial"/>
          <w:b/>
          <w:bCs/>
          <w:color w:val="222222"/>
          <w:lang w:eastAsia="en-GB"/>
        </w:rPr>
        <w:lastRenderedPageBreak/>
        <w:t xml:space="preserve">Table A3. </w:t>
      </w:r>
      <w:r w:rsidR="00EB2B55" w:rsidRPr="00996171">
        <w:rPr>
          <w:rFonts w:ascii="Arial" w:eastAsia="Times New Roman" w:hAnsi="Arial" w:cs="Arial"/>
          <w:b/>
          <w:bCs/>
          <w:lang w:eastAsia="en-GB"/>
        </w:rPr>
        <w:t xml:space="preserve">Embase </w:t>
      </w:r>
      <w:r w:rsidRPr="00996171">
        <w:rPr>
          <w:rFonts w:ascii="Arial" w:eastAsia="Times New Roman" w:hAnsi="Arial" w:cs="Arial"/>
          <w:b/>
          <w:bCs/>
          <w:lang w:eastAsia="en-GB"/>
        </w:rPr>
        <w:t xml:space="preserve">Search History </w:t>
      </w:r>
      <w:r w:rsidR="003B0AD3">
        <w:rPr>
          <w:rFonts w:ascii="Arial" w:eastAsia="Times New Roman" w:hAnsi="Arial" w:cs="Arial"/>
          <w:b/>
          <w:bCs/>
          <w:lang w:eastAsia="en-GB"/>
        </w:rPr>
        <w:t xml:space="preserve">for </w:t>
      </w:r>
      <w:r w:rsidR="008F4CA1">
        <w:rPr>
          <w:rFonts w:ascii="Arial" w:eastAsia="Times New Roman" w:hAnsi="Arial" w:cs="Arial"/>
          <w:b/>
          <w:bCs/>
          <w:lang w:eastAsia="en-GB"/>
        </w:rPr>
        <w:t>Question 1</w:t>
      </w:r>
    </w:p>
    <w:tbl>
      <w:tblPr>
        <w:tblW w:w="0" w:type="auto"/>
        <w:tblCellMar>
          <w:top w:w="15" w:type="dxa"/>
          <w:left w:w="15" w:type="dxa"/>
          <w:bottom w:w="15" w:type="dxa"/>
          <w:right w:w="15" w:type="dxa"/>
        </w:tblCellMar>
        <w:tblLook w:val="04A0" w:firstRow="1" w:lastRow="0" w:firstColumn="1" w:lastColumn="0" w:noHBand="0" w:noVBand="1"/>
      </w:tblPr>
      <w:tblGrid>
        <w:gridCol w:w="445"/>
        <w:gridCol w:w="7269"/>
        <w:gridCol w:w="1302"/>
      </w:tblGrid>
      <w:tr w:rsidR="00EB2B55" w:rsidRPr="00672DBE" w14:paraId="7431894F" w14:textId="77777777" w:rsidTr="00B00C15">
        <w:trPr>
          <w:trHeight w:val="30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DAC3DE"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990B38" w14:textId="77777777" w:rsidR="00EB2B55" w:rsidRPr="00672DBE" w:rsidRDefault="00EB2B55" w:rsidP="00B00C15">
            <w:pPr>
              <w:keepNext/>
              <w:keepLines/>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502894"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w:t>
            </w:r>
          </w:p>
        </w:tc>
      </w:tr>
      <w:tr w:rsidR="00EB2B55" w:rsidRPr="00672DBE" w14:paraId="6638120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B6D89D8"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4DFDE9"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Equality/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129056"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5,863</w:t>
            </w:r>
          </w:p>
        </w:tc>
      </w:tr>
      <w:tr w:rsidR="00EB2B55" w:rsidRPr="00672DBE" w14:paraId="7BF1F631"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1867C5"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51A026"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799265"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21,794</w:t>
            </w:r>
          </w:p>
        </w:tc>
      </w:tr>
      <w:tr w:rsidR="00EB2B55" w:rsidRPr="00672DBE" w14:paraId="6194F570" w14:textId="77777777" w:rsidTr="003414BB">
        <w:trPr>
          <w:trHeight w:val="622"/>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C7EBD4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2FE97D" w14:textId="2A8AA95B"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1D500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24,490</w:t>
            </w:r>
          </w:p>
        </w:tc>
      </w:tr>
      <w:tr w:rsidR="00EB2B55" w:rsidRPr="00672DBE" w14:paraId="22319EC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98A70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4D5DA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C0E0DB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48,326</w:t>
            </w:r>
          </w:p>
        </w:tc>
      </w:tr>
      <w:tr w:rsidR="00EB2B55" w:rsidRPr="00672DBE" w14:paraId="1D4CFFD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4A4AB4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4AC59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8AF7A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11,826,082</w:t>
            </w:r>
          </w:p>
        </w:tc>
      </w:tr>
      <w:tr w:rsidR="00EB2B55" w:rsidRPr="00672DBE" w14:paraId="7F4D090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00B4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28BFC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5343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12,911,327</w:t>
            </w:r>
          </w:p>
        </w:tc>
      </w:tr>
      <w:tr w:rsidR="00EB2B55" w:rsidRPr="00672DBE" w14:paraId="551FB60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611AB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4A43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03FD7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12,911,327</w:t>
            </w:r>
          </w:p>
        </w:tc>
      </w:tr>
      <w:tr w:rsidR="00EB2B55" w:rsidRPr="00672DBE" w14:paraId="6BDF36F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97887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5BB14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Health Personnel/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AC951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2,089,425</w:t>
            </w:r>
          </w:p>
        </w:tc>
      </w:tr>
      <w:tr w:rsidR="00EB2B55" w:rsidRPr="00672DBE" w14:paraId="19315A88"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4D803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3DBF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care or healthcare or health or medical or surgical or hospital or clinic*)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F925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369,237</w:t>
            </w:r>
          </w:p>
        </w:tc>
      </w:tr>
      <w:tr w:rsidR="00EB2B55" w:rsidRPr="00672DBE" w14:paraId="66EF211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6ACDE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6AD19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F8700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5,097</w:t>
            </w:r>
          </w:p>
        </w:tc>
      </w:tr>
      <w:tr w:rsidR="00EB2B55" w:rsidRPr="00672DBE" w14:paraId="41D3BAB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ED4AFE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06C9D7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E0A2D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1,065</w:t>
            </w:r>
          </w:p>
        </w:tc>
      </w:tr>
      <w:tr w:rsidR="00EB2B55" w:rsidRPr="00672DBE" w14:paraId="46BD93D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AEE98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42B5B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(general practitioner* or medical practitioner*).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42121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166,645</w:t>
            </w:r>
          </w:p>
        </w:tc>
      </w:tr>
      <w:tr w:rsidR="00EB2B55" w:rsidRPr="00672DBE" w14:paraId="721E967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DD668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B28D6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E76BC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306</w:t>
            </w:r>
          </w:p>
        </w:tc>
      </w:tr>
      <w:tr w:rsidR="00EB2B55" w:rsidRPr="00672DBE" w14:paraId="11A40612"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7E757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6E5A2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service or healthcare service or health care service or hospital service)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84B1C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6,154</w:t>
            </w:r>
          </w:p>
        </w:tc>
      </w:tr>
      <w:tr w:rsidR="00EB2B55" w:rsidRPr="00672DBE" w14:paraId="099AC77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C898E0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1BA96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3ED5B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r>
      <w:tr w:rsidR="00EB2B55" w:rsidRPr="00672DBE" w14:paraId="20BB7BF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E415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094DB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((outpatient or out-patient) adj clinic?).</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F87C0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71,194</w:t>
            </w:r>
          </w:p>
        </w:tc>
      </w:tr>
      <w:tr w:rsidR="00EB2B55" w:rsidRPr="00672DBE" w14:paraId="4742382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8EFDD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ACA5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D45BBC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110</w:t>
            </w:r>
          </w:p>
        </w:tc>
      </w:tr>
      <w:tr w:rsidR="00EB2B55" w:rsidRPr="00672DBE" w14:paraId="1C71F8E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7229F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C06F6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7E7C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84,915</w:t>
            </w:r>
          </w:p>
        </w:tc>
      </w:tr>
      <w:tr w:rsidR="00EB2B55" w:rsidRPr="00672DBE" w14:paraId="1DD20C7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6562F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939E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2B511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214</w:t>
            </w:r>
          </w:p>
        </w:tc>
      </w:tr>
      <w:tr w:rsidR="00EB2B55" w:rsidRPr="00672DBE" w14:paraId="02ED74F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35CE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50712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611C63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84,635</w:t>
            </w:r>
          </w:p>
        </w:tc>
      </w:tr>
      <w:tr w:rsidR="00EB2B55" w:rsidRPr="00672DBE" w14:paraId="1336D12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ADB4F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039A1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3BE7C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213</w:t>
            </w:r>
          </w:p>
        </w:tc>
      </w:tr>
      <w:tr w:rsidR="00EB2B55" w:rsidRPr="00672DBE" w14:paraId="6BD6B29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035AB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BB7D7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 or 11 or 13 or 15 or 17 or 19 or 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C8078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6,069</w:t>
            </w:r>
          </w:p>
        </w:tc>
      </w:tr>
      <w:tr w:rsidR="00EB2B55" w:rsidRPr="00672DBE" w14:paraId="259BEAF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68D58A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8F527E" w14:textId="72261C69"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limit 22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5C725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5,889</w:t>
            </w:r>
          </w:p>
        </w:tc>
      </w:tr>
      <w:tr w:rsidR="00EB2B55" w:rsidRPr="00672DBE" w14:paraId="577C18AC"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991105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D2BDB6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8DC2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5,844,549</w:t>
            </w:r>
          </w:p>
        </w:tc>
      </w:tr>
      <w:tr w:rsidR="00EB2B55" w:rsidRPr="00672DBE" w14:paraId="35280873"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CB741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E32A9D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8AAA27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1,839,278</w:t>
            </w:r>
          </w:p>
        </w:tc>
      </w:tr>
      <w:tr w:rsidR="00EB2B55" w:rsidRPr="00672DBE" w14:paraId="4D17A3A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D8ED5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16A42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A391A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87,572</w:t>
            </w:r>
          </w:p>
        </w:tc>
      </w:tr>
      <w:tr w:rsidR="00EB2B55" w:rsidRPr="00672DBE" w14:paraId="5903794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EF5FB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036F17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D9B50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1,014,801</w:t>
            </w:r>
          </w:p>
        </w:tc>
      </w:tr>
      <w:tr w:rsidR="00EB2B55" w:rsidRPr="00672DBE" w14:paraId="2FF1940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4FA20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07EA9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BE98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141,132</w:t>
            </w:r>
          </w:p>
        </w:tc>
      </w:tr>
      <w:tr w:rsidR="00EB2B55" w:rsidRPr="00672DBE" w14:paraId="563D8E9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C7C37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A211D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 or 25 or 26 or 27 or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93DAC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7,058,084</w:t>
            </w:r>
          </w:p>
        </w:tc>
      </w:tr>
      <w:tr w:rsidR="00EB2B55" w:rsidRPr="00672DBE" w14:paraId="0442907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293FF7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BC2C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 and 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F3EFC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2,258</w:t>
            </w:r>
          </w:p>
        </w:tc>
      </w:tr>
      <w:tr w:rsidR="00EB2B55" w:rsidRPr="00672DBE" w14:paraId="7C271DB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AC0F2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BCE055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30 to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AEA61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1,678</w:t>
            </w:r>
          </w:p>
        </w:tc>
      </w:tr>
      <w:tr w:rsidR="00EB2B55" w:rsidRPr="00672DBE" w14:paraId="720D2DFE" w14:textId="77777777" w:rsidTr="003414BB">
        <w:trPr>
          <w:trHeight w:val="63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3AAFED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00765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care or healthcare or health or medical or surgical or hospital or clinic*) adj5 (provider* or providing or provision or delivery) adj10 (gendered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C8024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88</w:t>
            </w:r>
          </w:p>
        </w:tc>
      </w:tr>
      <w:tr w:rsidR="00EB2B55" w:rsidRPr="00672DBE" w14:paraId="2F53A72E"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EAA6A5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BFBD83" w14:textId="0E1CF238"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care or healthcare or health or medical or surgical or hospital or clinic*)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D6464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113</w:t>
            </w:r>
          </w:p>
        </w:tc>
      </w:tr>
      <w:tr w:rsidR="00EB2B55" w:rsidRPr="00672DBE" w14:paraId="63AE988D"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74153D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0397D66" w14:textId="078514EE"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adj4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xml:space="preserve">* or discrimination or prejudice) adj10 (general practitioner* or medical practitioner* or 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8C91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88</w:t>
            </w:r>
          </w:p>
        </w:tc>
      </w:tr>
      <w:tr w:rsidR="00EB2B55" w:rsidRPr="00672DBE" w14:paraId="659E7545"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1F3CC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6C6DA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((gendered approach* or gender-specific or gender sensitive or gender perspective*) adj10 (general practitioner* or medical practitioner* or 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B83A3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r>
      <w:tr w:rsidR="00EB2B55" w:rsidRPr="00672DBE" w14:paraId="25CFBE34"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05CCE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891B465" w14:textId="7423B406"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service or healthcare service or health care service or hospital service)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C26CA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r>
      <w:tr w:rsidR="00EB2B55" w:rsidRPr="00672DBE" w14:paraId="33FA6120" w14:textId="77777777" w:rsidTr="003414BB">
        <w:trPr>
          <w:trHeight w:val="981"/>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C0A1D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0C88FF" w14:textId="18BE4451"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adj4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service or healthcare service or health care service or hospital service) adj5 (provider* or providing or provision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F06FB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r>
      <w:tr w:rsidR="00EB2B55" w:rsidRPr="00672DBE" w14:paraId="7BA481E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6CD17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AC3E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 or 33 or 34 or 35 or 36 or 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DD522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311</w:t>
            </w:r>
          </w:p>
        </w:tc>
      </w:tr>
      <w:tr w:rsidR="00EB2B55" w:rsidRPr="00672DBE" w14:paraId="6B5E047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181A1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ADAD6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 and 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E272E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151</w:t>
            </w:r>
          </w:p>
        </w:tc>
      </w:tr>
      <w:tr w:rsidR="00EB2B55" w:rsidRPr="00672DBE" w14:paraId="37D1C55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DF3F0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829124" w14:textId="3B1CE13B"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39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 and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06ED7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103</w:t>
            </w:r>
          </w:p>
        </w:tc>
      </w:tr>
      <w:tr w:rsidR="00EB2B55" w:rsidRPr="00672DBE" w14:paraId="71226E9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58BF71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93037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 or 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F8214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1,683</w:t>
            </w:r>
          </w:p>
        </w:tc>
      </w:tr>
    </w:tbl>
    <w:p w14:paraId="50F9C570" w14:textId="77777777" w:rsidR="00EB2B55" w:rsidRPr="00672DBE" w:rsidRDefault="00EB2B55" w:rsidP="003414BB">
      <w:pPr>
        <w:shd w:val="clear" w:color="auto" w:fill="FFFFFF"/>
        <w:spacing w:after="0" w:line="240" w:lineRule="auto"/>
        <w:jc w:val="both"/>
        <w:rPr>
          <w:rFonts w:ascii="Arial" w:eastAsia="Times New Roman" w:hAnsi="Arial" w:cs="Arial"/>
          <w:lang w:eastAsia="en-GB"/>
        </w:rPr>
      </w:pPr>
      <w:r w:rsidRPr="00672DBE">
        <w:rPr>
          <w:rFonts w:ascii="Arial" w:eastAsia="Times New Roman" w:hAnsi="Arial" w:cs="Arial"/>
          <w:color w:val="222222"/>
          <w:lang w:eastAsia="en-GB"/>
        </w:rPr>
        <w:t> </w:t>
      </w:r>
    </w:p>
    <w:p w14:paraId="19183C39" w14:textId="7DBF4D35" w:rsidR="00EB2B55" w:rsidRPr="00742F3E" w:rsidRDefault="00893039" w:rsidP="003414BB">
      <w:pPr>
        <w:keepNext/>
        <w:keepLines/>
        <w:shd w:val="clear" w:color="auto" w:fill="FFFFFF"/>
        <w:spacing w:before="220" w:line="240" w:lineRule="auto"/>
        <w:jc w:val="both"/>
        <w:outlineLvl w:val="4"/>
        <w:rPr>
          <w:rFonts w:ascii="Arial" w:eastAsia="Times New Roman" w:hAnsi="Arial" w:cs="Arial"/>
          <w:b/>
          <w:lang w:eastAsia="en-GB"/>
        </w:rPr>
      </w:pPr>
      <w:r w:rsidRPr="00742F3E">
        <w:rPr>
          <w:rFonts w:ascii="Arial" w:eastAsia="Times New Roman" w:hAnsi="Arial" w:cs="Arial"/>
          <w:b/>
          <w:bCs/>
          <w:lang w:eastAsia="en-GB"/>
        </w:rPr>
        <w:t xml:space="preserve">Table A4. </w:t>
      </w:r>
      <w:proofErr w:type="spellStart"/>
      <w:r w:rsidR="00EB2B55" w:rsidRPr="00742F3E">
        <w:rPr>
          <w:rFonts w:ascii="Arial" w:eastAsia="Times New Roman" w:hAnsi="Arial" w:cs="Arial"/>
          <w:b/>
          <w:bCs/>
          <w:lang w:eastAsia="en-GB"/>
        </w:rPr>
        <w:t>PsycInfo</w:t>
      </w:r>
      <w:proofErr w:type="spellEnd"/>
      <w:r w:rsidR="00EB2B55" w:rsidRPr="00742F3E">
        <w:rPr>
          <w:rFonts w:ascii="Arial" w:eastAsia="Times New Roman" w:hAnsi="Arial" w:cs="Arial"/>
          <w:b/>
          <w:bCs/>
          <w:lang w:eastAsia="en-GB"/>
        </w:rPr>
        <w:t xml:space="preserve"> </w:t>
      </w:r>
      <w:r w:rsidR="00742F3E" w:rsidRPr="00742F3E">
        <w:rPr>
          <w:rFonts w:ascii="Arial" w:eastAsia="Times New Roman" w:hAnsi="Arial" w:cs="Arial"/>
          <w:b/>
          <w:bCs/>
          <w:lang w:eastAsia="en-GB"/>
        </w:rPr>
        <w:t>S</w:t>
      </w:r>
      <w:r w:rsidR="0070462C" w:rsidRPr="00742F3E">
        <w:rPr>
          <w:rFonts w:ascii="Arial" w:eastAsia="Times New Roman" w:hAnsi="Arial" w:cs="Arial"/>
          <w:b/>
          <w:bCs/>
          <w:lang w:eastAsia="en-GB"/>
        </w:rPr>
        <w:t xml:space="preserve">earch </w:t>
      </w:r>
      <w:r w:rsidR="00742F3E" w:rsidRPr="00742F3E">
        <w:rPr>
          <w:rFonts w:ascii="Arial" w:eastAsia="Times New Roman" w:hAnsi="Arial" w:cs="Arial"/>
          <w:b/>
          <w:bCs/>
          <w:lang w:eastAsia="en-GB"/>
        </w:rPr>
        <w:t>H</w:t>
      </w:r>
      <w:r w:rsidR="0070462C" w:rsidRPr="00742F3E">
        <w:rPr>
          <w:rFonts w:ascii="Arial" w:eastAsia="Times New Roman" w:hAnsi="Arial" w:cs="Arial"/>
          <w:b/>
          <w:bCs/>
          <w:lang w:eastAsia="en-GB"/>
        </w:rPr>
        <w:t>istory</w:t>
      </w:r>
      <w:r w:rsidR="008F4CA1">
        <w:rPr>
          <w:rFonts w:ascii="Arial" w:eastAsia="Times New Roman" w:hAnsi="Arial" w:cs="Arial"/>
          <w:b/>
          <w:bCs/>
          <w:lang w:eastAsia="en-GB"/>
        </w:rPr>
        <w:t xml:space="preserve"> for Question 1 </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371347B8" w14:textId="77777777" w:rsidTr="00B00C15">
        <w:trPr>
          <w:trHeight w:val="330"/>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CB04B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80A82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C10CC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w:t>
            </w:r>
          </w:p>
        </w:tc>
      </w:tr>
      <w:tr w:rsidR="00EB2B55" w:rsidRPr="00672DBE" w14:paraId="6EC714B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B31E2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97D25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Equality/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6D6BA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5,554</w:t>
            </w:r>
          </w:p>
        </w:tc>
      </w:tr>
      <w:tr w:rsidR="00EB2B55" w:rsidRPr="00672DBE" w14:paraId="3D1E15C8"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673B6A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32373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7C6AE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8,068</w:t>
            </w:r>
          </w:p>
        </w:tc>
      </w:tr>
      <w:tr w:rsidR="00EB2B55" w:rsidRPr="00672DBE" w14:paraId="06C10F05" w14:textId="77777777" w:rsidTr="003414BB">
        <w:trPr>
          <w:trHeight w:val="458"/>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36772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2867A79" w14:textId="689905FD"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15433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15,923</w:t>
            </w:r>
          </w:p>
        </w:tc>
      </w:tr>
      <w:tr w:rsidR="00EB2B55" w:rsidRPr="00672DBE" w14:paraId="61D8415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769EB8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7DD3D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35B11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26,049</w:t>
            </w:r>
          </w:p>
        </w:tc>
      </w:tr>
      <w:tr w:rsidR="00EB2B55" w:rsidRPr="00672DBE" w14:paraId="4C67A6B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04F42B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BED1A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27DBA7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98,149</w:t>
            </w:r>
          </w:p>
        </w:tc>
      </w:tr>
      <w:tr w:rsidR="00EB2B55" w:rsidRPr="00672DBE" w14:paraId="09A44C3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74D1B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9E3BA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62B41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1,434,026</w:t>
            </w:r>
          </w:p>
        </w:tc>
      </w:tr>
      <w:tr w:rsidR="00EB2B55" w:rsidRPr="00672DBE" w14:paraId="157F23F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0BF2A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68DE5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276CA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1,434,026</w:t>
            </w:r>
          </w:p>
        </w:tc>
      </w:tr>
      <w:tr w:rsidR="00EB2B55" w:rsidRPr="00672DBE" w14:paraId="589D57D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93C5D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1AE1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Health Personnel/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34E299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196,279</w:t>
            </w:r>
          </w:p>
        </w:tc>
      </w:tr>
      <w:tr w:rsidR="00EB2B55" w:rsidRPr="00672DBE" w14:paraId="072EE2CA"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40E8B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2BB09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care or healthcare or health or medical or surgical or hospital or clinic*)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23102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67,195</w:t>
            </w:r>
          </w:p>
        </w:tc>
      </w:tr>
      <w:tr w:rsidR="00EB2B55" w:rsidRPr="00672DBE" w14:paraId="00CCAC2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BF199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4607F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BAC01C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524</w:t>
            </w:r>
          </w:p>
        </w:tc>
      </w:tr>
      <w:tr w:rsidR="00EB2B55" w:rsidRPr="00672DBE" w14:paraId="0BA934C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F4EF8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95804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B66391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270</w:t>
            </w:r>
          </w:p>
        </w:tc>
      </w:tr>
      <w:tr w:rsidR="00EB2B55" w:rsidRPr="00672DBE" w14:paraId="644F145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5953D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EF2FBE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(general practitioner* or medical practitioner*).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B6DD2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14,675</w:t>
            </w:r>
          </w:p>
        </w:tc>
      </w:tr>
      <w:tr w:rsidR="00EB2B55" w:rsidRPr="00672DBE" w14:paraId="1D69640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CBE1B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9DEA7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39972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50</w:t>
            </w:r>
          </w:p>
        </w:tc>
      </w:tr>
      <w:tr w:rsidR="00EB2B55" w:rsidRPr="00672DBE" w14:paraId="53DC9838"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30243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EADFA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service or healthcare service or health care service or hospital service)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92B2A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3,007</w:t>
            </w:r>
          </w:p>
        </w:tc>
      </w:tr>
      <w:tr w:rsidR="00EB2B55" w:rsidRPr="00672DBE" w14:paraId="5155A55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C8773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92F8F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64D53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r>
      <w:tr w:rsidR="00EB2B55" w:rsidRPr="00672DBE" w14:paraId="1035D53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B57B3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458B3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((outpatient or out-patient) adj clinic?).</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FA450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9,318</w:t>
            </w:r>
          </w:p>
        </w:tc>
      </w:tr>
      <w:tr w:rsidR="00EB2B55" w:rsidRPr="00672DBE" w14:paraId="00A2679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40512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7620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0C13F3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r>
      <w:tr w:rsidR="00EB2B55" w:rsidRPr="00672DBE" w14:paraId="4CB31E3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6CBA1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32BBA9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A29EC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13,994</w:t>
            </w:r>
          </w:p>
        </w:tc>
      </w:tr>
      <w:tr w:rsidR="00EB2B55" w:rsidRPr="00672DBE" w14:paraId="0F8F390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9B656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8CC03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B785A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r>
      <w:tr w:rsidR="00EB2B55" w:rsidRPr="00672DBE" w14:paraId="293B28B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8A8CF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4EC30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29C176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13,938</w:t>
            </w:r>
          </w:p>
        </w:tc>
      </w:tr>
      <w:tr w:rsidR="00EB2B55" w:rsidRPr="00672DBE" w14:paraId="015A5AF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96650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AD8D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15E7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r>
      <w:tr w:rsidR="00EB2B55" w:rsidRPr="00672DBE" w14:paraId="32C1F1A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26090B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D9BC3C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 or 11 or 13 or 15 or 17 or 19 or 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B2505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841</w:t>
            </w:r>
          </w:p>
        </w:tc>
      </w:tr>
      <w:tr w:rsidR="00EB2B55" w:rsidRPr="00672DBE" w14:paraId="62D467C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6157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25E5268" w14:textId="5DF95C4A"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limit 22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8C0CD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808</w:t>
            </w:r>
          </w:p>
        </w:tc>
      </w:tr>
      <w:tr w:rsidR="00EB2B55" w:rsidRPr="00672DBE" w14:paraId="7EAFC726"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9DD31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B83A7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4A73BD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13,762</w:t>
            </w:r>
          </w:p>
        </w:tc>
      </w:tr>
      <w:tr w:rsidR="00EB2B55" w:rsidRPr="00672DBE" w14:paraId="22B8A50F"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77FC6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E1B088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223E3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219,412</w:t>
            </w:r>
          </w:p>
        </w:tc>
      </w:tr>
      <w:tr w:rsidR="00EB2B55" w:rsidRPr="00672DBE" w14:paraId="05B4941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0A1005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963BC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7F3F8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21,241</w:t>
            </w:r>
          </w:p>
        </w:tc>
      </w:tr>
      <w:tr w:rsidR="00EB2B55" w:rsidRPr="00672DBE" w14:paraId="3930E49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A1970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2C10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293550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86,114</w:t>
            </w:r>
          </w:p>
        </w:tc>
      </w:tr>
      <w:tr w:rsidR="00EB2B55" w:rsidRPr="00672DBE" w14:paraId="38033DD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3BDBF3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15E9BF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9248E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59,725</w:t>
            </w:r>
          </w:p>
        </w:tc>
      </w:tr>
      <w:tr w:rsidR="00EB2B55" w:rsidRPr="00672DBE" w14:paraId="02AAFAA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67B02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DE971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 or 25 or 26 or 27 or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157718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384,963</w:t>
            </w:r>
          </w:p>
        </w:tc>
      </w:tr>
      <w:tr w:rsidR="00EB2B55" w:rsidRPr="00672DBE" w14:paraId="7826892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5D708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B342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 and 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0F61C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133</w:t>
            </w:r>
          </w:p>
        </w:tc>
      </w:tr>
      <w:tr w:rsidR="00EB2B55" w:rsidRPr="00672DBE" w14:paraId="0898EB8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6854B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285D4B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30 to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3DE57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67</w:t>
            </w:r>
          </w:p>
        </w:tc>
      </w:tr>
      <w:tr w:rsidR="00EB2B55" w:rsidRPr="00672DBE" w14:paraId="58B0F297"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90B06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CD0E4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care or healthcare or health or medical or surgical or hospital or clinic*) adj5 (provider* or providing or provision or delivery) adj10 (gendered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A99B1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43</w:t>
            </w:r>
          </w:p>
        </w:tc>
      </w:tr>
      <w:tr w:rsidR="00EB2B55" w:rsidRPr="00672DBE" w14:paraId="0E6B5D09"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576E4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2EC1C9" w14:textId="4EC49C0C"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care or healthcare or health or medical or surgical or hospital or clinic*)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CCF8A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r>
      <w:tr w:rsidR="00EB2B55" w:rsidRPr="00672DBE" w14:paraId="1F04D43E"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DCD14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D5459D1" w14:textId="67A35A4A"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adj4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xml:space="preserve">* or discrimination or prejudice) adj10 (general practitioner* or medical practitioner* or 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806916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r>
      <w:tr w:rsidR="00EB2B55" w:rsidRPr="00672DBE" w14:paraId="4A77F70E"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4F0E5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E6D65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((gendered approach* or gender-specific or gender sensitive or gender perspective*) adj10 (general practitioner* or medical practitioner* or 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B95ED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r>
      <w:tr w:rsidR="00EB2B55" w:rsidRPr="00672DBE" w14:paraId="0626ABAB"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4DC09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E1EE90" w14:textId="00CBB23C"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service or healthcare service or health care service or hospital service)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28A13C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096A6C29"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946CD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1FEA35" w14:textId="21816A1C"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adj4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service or healthcare service or health care service or hospital service) adj5 (provider* or providing or provision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68BEB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4BC2DFF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C416C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AA4E0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 or 33 or 34 or 35 or 36 or 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80EA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80</w:t>
            </w:r>
          </w:p>
        </w:tc>
      </w:tr>
      <w:tr w:rsidR="00EB2B55" w:rsidRPr="00672DBE" w14:paraId="6EC4C7B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16151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32F1F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 and 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793A7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r>
      <w:tr w:rsidR="00EB2B55" w:rsidRPr="00672DBE" w14:paraId="49519D0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2F841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EB2585" w14:textId="42566424"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39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 and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0B3DE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r>
      <w:tr w:rsidR="00EB2B55" w:rsidRPr="00672DBE" w14:paraId="2713B62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03046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CC562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 or 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12109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71</w:t>
            </w:r>
          </w:p>
        </w:tc>
      </w:tr>
    </w:tbl>
    <w:p w14:paraId="3A3F66E2" w14:textId="6566A29F" w:rsidR="00EB2B55" w:rsidRPr="00672DBE" w:rsidRDefault="00EB2B55" w:rsidP="003414BB">
      <w:pPr>
        <w:shd w:val="clear" w:color="auto" w:fill="FFFFFF"/>
        <w:spacing w:after="0" w:line="240" w:lineRule="auto"/>
        <w:jc w:val="both"/>
        <w:rPr>
          <w:rFonts w:ascii="Arial" w:eastAsia="Times New Roman" w:hAnsi="Arial" w:cs="Arial"/>
          <w:lang w:eastAsia="en-GB"/>
        </w:rPr>
      </w:pPr>
    </w:p>
    <w:p w14:paraId="2D5AC3D8" w14:textId="64426F58" w:rsidR="00EB2B55" w:rsidRPr="003B0AD3" w:rsidRDefault="003B0AD3" w:rsidP="003414BB">
      <w:pPr>
        <w:keepNext/>
        <w:keepLines/>
        <w:shd w:val="clear" w:color="auto" w:fill="FFFFFF"/>
        <w:spacing w:line="240" w:lineRule="auto"/>
        <w:jc w:val="both"/>
        <w:outlineLvl w:val="4"/>
        <w:rPr>
          <w:rFonts w:ascii="Arial" w:eastAsia="Times New Roman" w:hAnsi="Arial" w:cs="Arial"/>
          <w:b/>
          <w:lang w:eastAsia="en-GB"/>
        </w:rPr>
      </w:pPr>
      <w:r w:rsidRPr="003B0AD3">
        <w:rPr>
          <w:rFonts w:ascii="Arial" w:eastAsia="Times New Roman" w:hAnsi="Arial" w:cs="Arial"/>
          <w:b/>
          <w:bCs/>
          <w:lang w:eastAsia="en-GB"/>
        </w:rPr>
        <w:t xml:space="preserve">Table A5. </w:t>
      </w:r>
      <w:proofErr w:type="spellStart"/>
      <w:r w:rsidR="00EB2B55" w:rsidRPr="003B0AD3">
        <w:rPr>
          <w:rFonts w:ascii="Arial" w:eastAsia="Times New Roman" w:hAnsi="Arial" w:cs="Arial"/>
          <w:b/>
          <w:bCs/>
          <w:lang w:eastAsia="en-GB"/>
        </w:rPr>
        <w:t>Emcare</w:t>
      </w:r>
      <w:proofErr w:type="spellEnd"/>
      <w:r w:rsidR="00EB2B55" w:rsidRPr="003B0AD3">
        <w:rPr>
          <w:rFonts w:ascii="Arial" w:eastAsia="Times New Roman" w:hAnsi="Arial" w:cs="Arial"/>
          <w:b/>
          <w:bCs/>
          <w:lang w:eastAsia="en-GB"/>
        </w:rPr>
        <w:t xml:space="preserve"> </w:t>
      </w:r>
      <w:r w:rsidRPr="003B0AD3">
        <w:rPr>
          <w:rFonts w:ascii="Arial" w:eastAsia="Times New Roman" w:hAnsi="Arial" w:cs="Arial"/>
          <w:b/>
          <w:bCs/>
          <w:lang w:eastAsia="en-GB"/>
        </w:rPr>
        <w:t>Search Histor</w:t>
      </w:r>
      <w:r w:rsidR="008F4CA1">
        <w:rPr>
          <w:rFonts w:ascii="Arial" w:eastAsia="Times New Roman" w:hAnsi="Arial" w:cs="Arial"/>
          <w:b/>
          <w:bCs/>
          <w:lang w:eastAsia="en-GB"/>
        </w:rPr>
        <w:t>y for Question 1</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421C511F" w14:textId="77777777" w:rsidTr="00B00C15">
        <w:trPr>
          <w:trHeight w:val="405"/>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1803D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584F2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E19BA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w:t>
            </w:r>
          </w:p>
        </w:tc>
      </w:tr>
      <w:tr w:rsidR="00EB2B55" w:rsidRPr="00672DBE" w14:paraId="60C476A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60DFB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74287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Equality/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40DF5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2,902</w:t>
            </w:r>
          </w:p>
        </w:tc>
      </w:tr>
      <w:tr w:rsidR="00EB2B55" w:rsidRPr="00672DBE" w14:paraId="72F72D2B"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08B61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3F616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87C75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8,877</w:t>
            </w:r>
          </w:p>
        </w:tc>
      </w:tr>
      <w:tr w:rsidR="00EB2B55" w:rsidRPr="00672DBE" w14:paraId="24A93463"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8CBF4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932651" w14:textId="079E8B3D"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31C04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10,623</w:t>
            </w:r>
          </w:p>
        </w:tc>
      </w:tr>
      <w:tr w:rsidR="00EB2B55" w:rsidRPr="00672DBE" w14:paraId="1B3AA7B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4B8B5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2D462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6E7F1F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20,735</w:t>
            </w:r>
          </w:p>
        </w:tc>
      </w:tr>
      <w:tr w:rsidR="00EB2B55" w:rsidRPr="00672DBE" w14:paraId="47D48AF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40CB2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BF8A4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32905E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1,916,479</w:t>
            </w:r>
          </w:p>
        </w:tc>
      </w:tr>
      <w:tr w:rsidR="00EB2B55" w:rsidRPr="00672DBE" w14:paraId="3A91754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E519D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1C8E8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952AA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2,300,457</w:t>
            </w:r>
          </w:p>
        </w:tc>
      </w:tr>
      <w:tr w:rsidR="00EB2B55" w:rsidRPr="00672DBE" w14:paraId="222E9B9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4CD1E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1D4BB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EF236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2,300,457</w:t>
            </w:r>
          </w:p>
        </w:tc>
      </w:tr>
      <w:tr w:rsidR="00EB2B55" w:rsidRPr="00672DBE" w14:paraId="0FB2CE4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13898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90F20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Health Personnel/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A2415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743,556</w:t>
            </w:r>
          </w:p>
        </w:tc>
      </w:tr>
      <w:tr w:rsidR="00EB2B55" w:rsidRPr="00672DBE" w14:paraId="31C8970D"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9F471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770F0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care or healthcare or health or medical or surgical or hospital or clinic*)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8858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135,064</w:t>
            </w:r>
          </w:p>
        </w:tc>
      </w:tr>
      <w:tr w:rsidR="00EB2B55" w:rsidRPr="00672DBE" w14:paraId="1576DB1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57997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A7A9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16A9A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1,733</w:t>
            </w:r>
          </w:p>
        </w:tc>
      </w:tr>
      <w:tr w:rsidR="00EB2B55" w:rsidRPr="00672DBE" w14:paraId="00C0BBD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C0958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35BD3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A8473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414</w:t>
            </w:r>
          </w:p>
        </w:tc>
      </w:tr>
      <w:tr w:rsidR="00EB2B55" w:rsidRPr="00672DBE" w14:paraId="57580E3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F3A73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6296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(general practitioner* or medical practitioner*).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338DBE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57,383</w:t>
            </w:r>
          </w:p>
        </w:tc>
      </w:tr>
      <w:tr w:rsidR="00EB2B55" w:rsidRPr="00672DBE" w14:paraId="48F4561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265F1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31C0DD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4CBCD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133</w:t>
            </w:r>
          </w:p>
        </w:tc>
      </w:tr>
      <w:tr w:rsidR="00EB2B55" w:rsidRPr="00672DBE" w14:paraId="26803509"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098C5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EE90D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service or healthcare service or health care service or hospital service)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E3807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3,935</w:t>
            </w:r>
          </w:p>
        </w:tc>
      </w:tr>
      <w:tr w:rsidR="00EB2B55" w:rsidRPr="00672DBE" w14:paraId="390C6B8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7F6C7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70F50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675320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r>
      <w:tr w:rsidR="00EB2B55" w:rsidRPr="00672DBE" w14:paraId="6C9B48E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866DC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2EC45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((outpatient or out-patient) adj clinic?).</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92FDF6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16,631</w:t>
            </w:r>
          </w:p>
        </w:tc>
      </w:tr>
      <w:tr w:rsidR="00EB2B55" w:rsidRPr="00672DBE" w14:paraId="635CC29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491D9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FFEE2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460745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r>
      <w:tr w:rsidR="00EB2B55" w:rsidRPr="00672DBE" w14:paraId="4A2DA86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8A2EF0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B8D2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6670B6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31,014</w:t>
            </w:r>
          </w:p>
        </w:tc>
      </w:tr>
      <w:tr w:rsidR="00EB2B55" w:rsidRPr="00672DBE" w14:paraId="78B6390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A1D7B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DDB46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75F290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104</w:t>
            </w:r>
          </w:p>
        </w:tc>
      </w:tr>
      <w:tr w:rsidR="00EB2B55" w:rsidRPr="00672DBE" w14:paraId="6E49157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B5A31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03DBC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B85FD0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30,902</w:t>
            </w:r>
          </w:p>
        </w:tc>
      </w:tr>
      <w:tr w:rsidR="00EB2B55" w:rsidRPr="00672DBE" w14:paraId="662F0F9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C85B5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657AA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7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1FA5F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104</w:t>
            </w:r>
          </w:p>
        </w:tc>
      </w:tr>
      <w:tr w:rsidR="00EB2B55" w:rsidRPr="00672DBE" w14:paraId="298E3E7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76988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EC6707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 or 11 or 13 or 15 or 17 or 19 or 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D5AE5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2,093</w:t>
            </w:r>
          </w:p>
        </w:tc>
      </w:tr>
      <w:tr w:rsidR="00EB2B55" w:rsidRPr="00672DBE" w14:paraId="1B338B0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FEFC3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1E075E" w14:textId="074C8A14"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limit 22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0D8EF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2,001</w:t>
            </w:r>
          </w:p>
        </w:tc>
      </w:tr>
      <w:tr w:rsidR="00EB2B55" w:rsidRPr="00672DBE" w14:paraId="1FC66540"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36A575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1A4F0A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B221C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990,482</w:t>
            </w:r>
          </w:p>
        </w:tc>
      </w:tr>
      <w:tr w:rsidR="00EB2B55" w:rsidRPr="00672DBE" w14:paraId="72E32D58"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27044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DB918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69AB7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513,772</w:t>
            </w:r>
          </w:p>
        </w:tc>
      </w:tr>
      <w:tr w:rsidR="00EB2B55" w:rsidRPr="00672DBE" w14:paraId="7412A4C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4F8F9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745639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0B2EE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37,859</w:t>
            </w:r>
          </w:p>
        </w:tc>
      </w:tr>
      <w:tr w:rsidR="00EB2B55" w:rsidRPr="00672DBE" w14:paraId="6CB0AD5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48A98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09D943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4BBD7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290,187</w:t>
            </w:r>
          </w:p>
        </w:tc>
      </w:tr>
      <w:tr w:rsidR="00EB2B55" w:rsidRPr="00672DBE" w14:paraId="01F8D55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F6A90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BFB49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7F8AB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51,207</w:t>
            </w:r>
          </w:p>
        </w:tc>
      </w:tr>
      <w:tr w:rsidR="00EB2B55" w:rsidRPr="00672DBE" w14:paraId="2FEB55F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21C213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C3271C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 or 25 or 26 or 27 or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43BE6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1,522,913</w:t>
            </w:r>
          </w:p>
        </w:tc>
      </w:tr>
      <w:tr w:rsidR="00EB2B55" w:rsidRPr="00672DBE" w14:paraId="691B5CA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4DF6E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06577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 and 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56056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641</w:t>
            </w:r>
          </w:p>
        </w:tc>
      </w:tr>
      <w:tr w:rsidR="00EB2B55" w:rsidRPr="00672DBE" w14:paraId="7890F9C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BF1B4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8783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30 to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DE3B2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371</w:t>
            </w:r>
          </w:p>
        </w:tc>
      </w:tr>
      <w:tr w:rsidR="00EB2B55" w:rsidRPr="00672DBE" w14:paraId="32722F99"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CB054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95973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care or healthcare or health or medical or surgical or hospital or clinic*) adj5 (provider* or providing or provision or delivery) adj10 (gendered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CD6AB3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59</w:t>
            </w:r>
          </w:p>
        </w:tc>
      </w:tr>
      <w:tr w:rsidR="00EB2B55" w:rsidRPr="00672DBE" w14:paraId="29871EDD"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98CE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E2E87DC" w14:textId="2325CC64"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care or healthcare or health or medical or surgical or hospital or clinic*)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1EC56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50</w:t>
            </w:r>
          </w:p>
        </w:tc>
      </w:tr>
      <w:tr w:rsidR="00EB2B55" w:rsidRPr="00672DBE" w14:paraId="08F5FEBA"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B7CB1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F72426" w14:textId="7C1EE5A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adj4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xml:space="preserve">* or discrimination or prejudice) adj10 (general practitioner* or medical practitioner* or 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C3283C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r>
      <w:tr w:rsidR="00EB2B55" w:rsidRPr="00672DBE" w14:paraId="0803B391"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039D71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FDB66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((gendered approach* or gender-specific or gender sensitive or gender perspective*) adj10 (general practitioner* or medical practitioner* or health centre* or health </w:t>
            </w:r>
            <w:proofErr w:type="spellStart"/>
            <w:r w:rsidRPr="00672DBE">
              <w:rPr>
                <w:rFonts w:ascii="Arial" w:eastAsia="Times New Roman" w:hAnsi="Arial" w:cs="Arial"/>
                <w:color w:val="222222"/>
                <w:lang w:eastAsia="en-GB"/>
              </w:rPr>
              <w:t>center</w:t>
            </w:r>
            <w:proofErr w:type="spellEnd"/>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4B122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r>
      <w:tr w:rsidR="00EB2B55" w:rsidRPr="00672DBE" w14:paraId="6B121F63" w14:textId="77777777" w:rsidTr="003414BB">
        <w:trPr>
          <w:trHeight w:val="99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0C75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613E98C" w14:textId="485D22E4"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service or healthcare service or health care service or hospital service) adj2 (provider*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4F3766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r>
      <w:tr w:rsidR="00EB2B55" w:rsidRPr="00672DBE" w14:paraId="477FFDBA"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14B0E3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6DAB40" w14:textId="38105BF8"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adj4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 adj10 (health service or healthcare service or health care service or hospital service) adj5 (provider* or providing or provision or delivery)).</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4F8A7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r>
      <w:tr w:rsidR="00EB2B55" w:rsidRPr="00672DBE" w14:paraId="3681A45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35A42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E684D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 or 33 or 34 or 35 or 36 or 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E8319C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156</w:t>
            </w:r>
          </w:p>
        </w:tc>
      </w:tr>
      <w:tr w:rsidR="00EB2B55" w:rsidRPr="00672DBE" w14:paraId="56A9C07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6897EF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3D94E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 and 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2B5E1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59</w:t>
            </w:r>
          </w:p>
        </w:tc>
      </w:tr>
      <w:tr w:rsidR="00EB2B55" w:rsidRPr="00672DBE" w14:paraId="721C42B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48FD2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259BCA" w14:textId="1E59E24E"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39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 and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DD6523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r>
      <w:tr w:rsidR="00EB2B55" w:rsidRPr="00672DBE" w14:paraId="327086A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139798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F7BEF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 or 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65761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379</w:t>
            </w:r>
          </w:p>
        </w:tc>
      </w:tr>
    </w:tbl>
    <w:p w14:paraId="03AFE491" w14:textId="77777777" w:rsidR="004601A7" w:rsidRDefault="004601A7" w:rsidP="008F4CA1">
      <w:pPr>
        <w:spacing w:after="200" w:line="240" w:lineRule="auto"/>
        <w:rPr>
          <w:rFonts w:ascii="Arial" w:eastAsia="Times New Roman" w:hAnsi="Arial" w:cs="Arial"/>
          <w:b/>
          <w:color w:val="212121"/>
          <w:lang w:eastAsia="en-GB"/>
        </w:rPr>
      </w:pPr>
    </w:p>
    <w:p w14:paraId="3ADCF76F" w14:textId="1A9FE8BA" w:rsidR="00567BC5" w:rsidRDefault="003B0AD3" w:rsidP="008F4CA1">
      <w:pPr>
        <w:spacing w:after="200" w:line="240" w:lineRule="auto"/>
        <w:rPr>
          <w:rFonts w:ascii="Arial" w:eastAsia="Times New Roman" w:hAnsi="Arial" w:cs="Arial"/>
          <w:b/>
          <w:color w:val="212121"/>
          <w:lang w:eastAsia="en-GB"/>
        </w:rPr>
      </w:pPr>
      <w:r w:rsidRPr="008F4CA1">
        <w:rPr>
          <w:rFonts w:ascii="Arial" w:eastAsia="Times New Roman" w:hAnsi="Arial" w:cs="Arial"/>
          <w:b/>
          <w:color w:val="212121"/>
          <w:lang w:eastAsia="en-GB"/>
        </w:rPr>
        <w:t xml:space="preserve">Table A6. </w:t>
      </w:r>
    </w:p>
    <w:p w14:paraId="1396A12C" w14:textId="77777777" w:rsidR="00567BC5" w:rsidRDefault="008F4CA1" w:rsidP="008F4CA1">
      <w:pPr>
        <w:spacing w:after="200" w:line="240" w:lineRule="auto"/>
        <w:rPr>
          <w:rFonts w:ascii="Arial" w:eastAsia="Times New Roman" w:hAnsi="Arial" w:cs="Arial"/>
          <w:color w:val="212121"/>
          <w:lang w:eastAsia="en-GB"/>
        </w:rPr>
      </w:pPr>
      <w:r w:rsidRPr="008F4CA1">
        <w:rPr>
          <w:rFonts w:ascii="Arial" w:eastAsia="Times New Roman" w:hAnsi="Arial" w:cs="Arial"/>
          <w:b/>
          <w:color w:val="212121"/>
          <w:lang w:eastAsia="en-GB"/>
        </w:rPr>
        <w:t>Concept Grid for</w:t>
      </w:r>
      <w:r w:rsidR="00567BC5">
        <w:rPr>
          <w:rFonts w:ascii="Arial" w:eastAsia="Times New Roman" w:hAnsi="Arial" w:cs="Arial"/>
          <w:b/>
          <w:color w:val="212121"/>
          <w:lang w:eastAsia="en-GB"/>
        </w:rPr>
        <w:t xml:space="preserve"> </w:t>
      </w:r>
      <w:r w:rsidR="00DD432D" w:rsidRPr="008F4CA1">
        <w:rPr>
          <w:rFonts w:ascii="Arial" w:eastAsia="Times New Roman" w:hAnsi="Arial" w:cs="Arial"/>
          <w:b/>
          <w:color w:val="212121"/>
          <w:lang w:eastAsia="en-GB"/>
        </w:rPr>
        <w:t xml:space="preserve">Research question 3: </w:t>
      </w:r>
      <w:r w:rsidR="00EB2B55" w:rsidRPr="00567BC5">
        <w:rPr>
          <w:rFonts w:ascii="Arial" w:eastAsia="Times New Roman" w:hAnsi="Arial" w:cs="Arial"/>
          <w:color w:val="212121"/>
          <w:lang w:eastAsia="en-GB"/>
        </w:rPr>
        <w:t xml:space="preserve">What existing measures/ </w:t>
      </w:r>
      <w:r w:rsidR="00EB2B55" w:rsidRPr="00567BC5">
        <w:rPr>
          <w:rFonts w:ascii="Arial" w:eastAsia="Times New Roman" w:hAnsi="Arial" w:cs="Arial"/>
          <w:bCs/>
          <w:color w:val="212121"/>
          <w:lang w:eastAsia="en-GB"/>
        </w:rPr>
        <w:t>health promotion tools/ interventions/ programs</w:t>
      </w:r>
      <w:r w:rsidR="00EB2B55" w:rsidRPr="00567BC5">
        <w:rPr>
          <w:rFonts w:ascii="Arial" w:eastAsia="Times New Roman" w:hAnsi="Arial" w:cs="Arial"/>
          <w:color w:val="212121"/>
          <w:lang w:eastAsia="en-GB"/>
        </w:rPr>
        <w:t xml:space="preserve"> are there in Australia and overseas that apply a gendered </w:t>
      </w:r>
      <w:proofErr w:type="gramStart"/>
      <w:r w:rsidR="00EB2B55" w:rsidRPr="00567BC5">
        <w:rPr>
          <w:rFonts w:ascii="Arial" w:eastAsia="Times New Roman" w:hAnsi="Arial" w:cs="Arial"/>
          <w:color w:val="212121"/>
          <w:lang w:eastAsia="en-GB"/>
        </w:rPr>
        <w:t>approach?</w:t>
      </w:r>
      <w:r w:rsidRPr="00567BC5">
        <w:rPr>
          <w:rFonts w:ascii="Arial" w:eastAsia="Times New Roman" w:hAnsi="Arial" w:cs="Arial"/>
          <w:color w:val="212121"/>
          <w:lang w:eastAsia="en-GB"/>
        </w:rPr>
        <w:t>,</w:t>
      </w:r>
      <w:proofErr w:type="gramEnd"/>
      <w:r w:rsidRPr="00567BC5">
        <w:rPr>
          <w:rFonts w:ascii="Arial" w:eastAsia="Times New Roman" w:hAnsi="Arial" w:cs="Arial"/>
          <w:color w:val="212121"/>
          <w:lang w:eastAsia="en-GB"/>
        </w:rPr>
        <w:t xml:space="preserve"> </w:t>
      </w:r>
    </w:p>
    <w:p w14:paraId="0FED44AF" w14:textId="77AF1A73" w:rsidR="008F4CA1" w:rsidRDefault="008F4CA1" w:rsidP="008F4CA1">
      <w:pPr>
        <w:spacing w:after="200" w:line="240" w:lineRule="auto"/>
        <w:rPr>
          <w:rFonts w:ascii="Arial" w:eastAsia="Times New Roman" w:hAnsi="Arial" w:cs="Arial"/>
          <w:b/>
          <w:color w:val="212121"/>
          <w:lang w:eastAsia="en-GB"/>
        </w:rPr>
      </w:pPr>
      <w:r w:rsidRPr="00567BC5">
        <w:rPr>
          <w:rFonts w:ascii="Arial" w:eastAsia="Times New Roman" w:hAnsi="Arial" w:cs="Arial"/>
          <w:color w:val="212121"/>
          <w:lang w:eastAsia="en-GB"/>
        </w:rPr>
        <w:t>and</w:t>
      </w:r>
      <w:r>
        <w:rPr>
          <w:rFonts w:ascii="Arial" w:eastAsia="Times New Roman" w:hAnsi="Arial" w:cs="Arial"/>
          <w:b/>
          <w:color w:val="212121"/>
          <w:lang w:eastAsia="en-GB"/>
        </w:rPr>
        <w:t xml:space="preserve"> </w:t>
      </w:r>
    </w:p>
    <w:p w14:paraId="716F04DB" w14:textId="01A8C6CB" w:rsidR="00EB2B55" w:rsidRPr="00567BC5" w:rsidRDefault="008F4CA1" w:rsidP="008F4CA1">
      <w:pPr>
        <w:spacing w:after="200" w:line="240" w:lineRule="auto"/>
        <w:rPr>
          <w:rFonts w:ascii="Arial" w:eastAsia="Times New Roman" w:hAnsi="Arial" w:cs="Arial"/>
          <w:color w:val="212121"/>
          <w:lang w:eastAsia="en-GB"/>
        </w:rPr>
      </w:pPr>
      <w:r>
        <w:rPr>
          <w:rFonts w:ascii="Arial" w:eastAsia="Times New Roman" w:hAnsi="Arial" w:cs="Arial"/>
          <w:b/>
          <w:color w:val="212121"/>
          <w:lang w:eastAsia="en-GB"/>
        </w:rPr>
        <w:t xml:space="preserve">Research question </w:t>
      </w:r>
      <w:r w:rsidR="00DD432D" w:rsidRPr="008F4CA1">
        <w:rPr>
          <w:rFonts w:ascii="Arial" w:eastAsia="Times New Roman" w:hAnsi="Arial" w:cs="Arial"/>
          <w:b/>
          <w:color w:val="212121"/>
          <w:lang w:eastAsia="en-GB"/>
        </w:rPr>
        <w:t xml:space="preserve">4: </w:t>
      </w:r>
      <w:r w:rsidR="00EB2B55" w:rsidRPr="00567BC5">
        <w:rPr>
          <w:rFonts w:ascii="Arial" w:eastAsia="Times New Roman" w:hAnsi="Arial" w:cs="Arial"/>
          <w:color w:val="212121"/>
          <w:lang w:eastAsia="en-GB"/>
        </w:rPr>
        <w:t xml:space="preserve">Are there any existing measures/ health promotion tools/ interventions/ programs that could be tailored and piloted nationally to improve </w:t>
      </w:r>
      <w:r w:rsidR="00EB2B55" w:rsidRPr="00567BC5">
        <w:rPr>
          <w:rFonts w:ascii="Arial" w:eastAsia="Times New Roman" w:hAnsi="Arial" w:cs="Arial"/>
          <w:bCs/>
          <w:color w:val="212121"/>
          <w:lang w:eastAsia="en-GB"/>
        </w:rPr>
        <w:t>health equity and health literacy for women</w:t>
      </w:r>
      <w:r w:rsidR="00EB2B55" w:rsidRPr="00567BC5">
        <w:rPr>
          <w:rFonts w:ascii="Arial" w:eastAsia="Times New Roman" w:hAnsi="Arial" w:cs="Arial"/>
          <w:color w:val="212121"/>
          <w:lang w:eastAsia="en-GB"/>
        </w:rPr>
        <w:t xml:space="preserve"> in priority populations?</w:t>
      </w:r>
    </w:p>
    <w:tbl>
      <w:tblPr>
        <w:tblW w:w="0" w:type="auto"/>
        <w:tblCellMar>
          <w:top w:w="15" w:type="dxa"/>
          <w:left w:w="15" w:type="dxa"/>
          <w:bottom w:w="15" w:type="dxa"/>
          <w:right w:w="15" w:type="dxa"/>
        </w:tblCellMar>
        <w:tblLook w:val="04A0" w:firstRow="1" w:lastRow="0" w:firstColumn="1" w:lastColumn="0" w:noHBand="0" w:noVBand="1"/>
      </w:tblPr>
      <w:tblGrid>
        <w:gridCol w:w="1586"/>
        <w:gridCol w:w="3260"/>
        <w:gridCol w:w="4160"/>
      </w:tblGrid>
      <w:tr w:rsidR="00EB2B55" w:rsidRPr="00672DBE" w14:paraId="63036964" w14:textId="77777777" w:rsidTr="00B00C15">
        <w:trPr>
          <w:tblHeader/>
        </w:trPr>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4912E5AC" w14:textId="77777777" w:rsidR="00EB2B55" w:rsidRPr="00672DBE" w:rsidRDefault="00EB2B55" w:rsidP="003414BB">
            <w:pPr>
              <w:spacing w:after="0" w:line="240" w:lineRule="auto"/>
              <w:jc w:val="center"/>
              <w:rPr>
                <w:rFonts w:ascii="Arial" w:eastAsia="Times New Roman" w:hAnsi="Arial" w:cs="Arial"/>
                <w:lang w:eastAsia="en-GB"/>
              </w:rPr>
            </w:pPr>
            <w:r w:rsidRPr="00672DBE">
              <w:rPr>
                <w:rFonts w:ascii="Arial" w:eastAsia="Times New Roman" w:hAnsi="Arial" w:cs="Arial"/>
                <w:b/>
                <w:bCs/>
                <w:color w:val="212121"/>
                <w:lang w:eastAsia="en-GB"/>
              </w:rPr>
              <w:t>CONCEPT GRID</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501E660" w14:textId="77777777" w:rsidR="00EB2B55" w:rsidRPr="00672DBE" w:rsidRDefault="00EB2B55" w:rsidP="003414BB">
            <w:pPr>
              <w:spacing w:after="0" w:line="240" w:lineRule="auto"/>
              <w:rPr>
                <w:rFonts w:ascii="Arial" w:eastAsia="Times New Roman" w:hAnsi="Arial" w:cs="Arial"/>
                <w:lang w:eastAsia="en-GB"/>
              </w:rPr>
            </w:pPr>
            <w:proofErr w:type="spellStart"/>
            <w:r w:rsidRPr="00672DBE">
              <w:rPr>
                <w:rFonts w:ascii="Arial" w:eastAsia="Times New Roman" w:hAnsi="Arial" w:cs="Arial"/>
                <w:b/>
                <w:bCs/>
                <w:color w:val="212121"/>
                <w:lang w:eastAsia="en-GB"/>
              </w:rPr>
              <w:t>MeSH</w:t>
            </w:r>
            <w:proofErr w:type="spellEnd"/>
            <w:r w:rsidRPr="00672DBE">
              <w:rPr>
                <w:rFonts w:ascii="Arial" w:eastAsia="Times New Roman" w:hAnsi="Arial" w:cs="Arial"/>
                <w:b/>
                <w:bCs/>
                <w:color w:val="212121"/>
                <w:lang w:eastAsia="en-GB"/>
              </w:rPr>
              <w:t xml:space="preserve"> terms</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4EFEA7B" w14:textId="77777777" w:rsidR="00EB2B55" w:rsidRPr="00672DBE" w:rsidRDefault="00EB2B55" w:rsidP="003414BB">
            <w:pPr>
              <w:spacing w:after="0" w:line="240" w:lineRule="auto"/>
              <w:rPr>
                <w:rFonts w:ascii="Arial" w:eastAsia="Times New Roman" w:hAnsi="Arial" w:cs="Arial"/>
                <w:lang w:eastAsia="en-GB"/>
              </w:rPr>
            </w:pPr>
            <w:proofErr w:type="spellStart"/>
            <w:r w:rsidRPr="00672DBE">
              <w:rPr>
                <w:rFonts w:ascii="Arial" w:eastAsia="Times New Roman" w:hAnsi="Arial" w:cs="Arial"/>
                <w:b/>
                <w:bCs/>
                <w:color w:val="212121"/>
                <w:lang w:eastAsia="en-GB"/>
              </w:rPr>
              <w:t>Textwords</w:t>
            </w:r>
            <w:proofErr w:type="spellEnd"/>
          </w:p>
        </w:tc>
      </w:tr>
      <w:tr w:rsidR="00EB2B55" w:rsidRPr="00672DBE" w14:paraId="23CA0884" w14:textId="77777777" w:rsidTr="003414BB">
        <w:trPr>
          <w:trHeight w:val="441"/>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4EF1312"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t>Population</w:t>
            </w:r>
          </w:p>
          <w:p w14:paraId="32BB690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973C1"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Women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AAC20" w14:textId="77777777" w:rsidR="00EB2B55" w:rsidRPr="00672DBE" w:rsidRDefault="00EB2B55" w:rsidP="003414BB">
            <w:pPr>
              <w:spacing w:after="0" w:line="240" w:lineRule="auto"/>
              <w:rPr>
                <w:rFonts w:ascii="Arial" w:eastAsia="Times New Roman" w:hAnsi="Arial" w:cs="Arial"/>
                <w:lang w:eastAsia="en-GB"/>
              </w:rPr>
            </w:pP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w:t>
            </w:r>
          </w:p>
        </w:tc>
      </w:tr>
      <w:tr w:rsidR="00EB2B55" w:rsidRPr="00672DBE" w14:paraId="2B0F0456" w14:textId="77777777" w:rsidTr="003414BB">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18B56EF8"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t>Intervention</w:t>
            </w:r>
          </w:p>
          <w:p w14:paraId="036EF0B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 clinical interventions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58767"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Concept 1: Health Promotion; Health Campaign; Wellness Program</w:t>
            </w:r>
          </w:p>
          <w:p w14:paraId="1EF85BFA"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 xml:space="preserve">Concept 2: Treatments; Therapeutics; Therapies; Health Service; Healthcare; Surgery; Diagnostic Test; Clinical Pathology; Pharmacy; Pharmaceutical Preparation; Equipment </w:t>
            </w:r>
            <w:proofErr w:type="gramStart"/>
            <w:r w:rsidRPr="00672DBE">
              <w:rPr>
                <w:rFonts w:ascii="Arial" w:eastAsia="Times New Roman" w:hAnsi="Arial" w:cs="Arial"/>
                <w:color w:val="212121"/>
                <w:lang w:eastAsia="en-GB"/>
              </w:rPr>
              <w:t>And</w:t>
            </w:r>
            <w:proofErr w:type="gramEnd"/>
            <w:r w:rsidRPr="00672DBE">
              <w:rPr>
                <w:rFonts w:ascii="Arial" w:eastAsia="Times New Roman" w:hAnsi="Arial" w:cs="Arial"/>
                <w:color w:val="212121"/>
                <w:lang w:eastAsia="en-GB"/>
              </w:rPr>
              <w:t xml:space="preserve"> Supplies; Clinical Practice</w:t>
            </w:r>
          </w:p>
          <w:p w14:paraId="38ED4C54"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Concept 3: Education; Teaching; Counselling; Mentoring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6097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proofErr w:type="gramStart"/>
            <w:r w:rsidRPr="00672DBE">
              <w:rPr>
                <w:rFonts w:ascii="Arial" w:eastAsia="Times New Roman" w:hAnsi="Arial" w:cs="Arial"/>
                <w:color w:val="212121"/>
                <w:lang w:eastAsia="en-GB"/>
              </w:rPr>
              <w:t>wom?n</w:t>
            </w:r>
            <w:proofErr w:type="spellEnd"/>
            <w:proofErr w:type="gramEnd"/>
            <w:r w:rsidRPr="00672DBE">
              <w:rPr>
                <w:rFonts w:ascii="Arial" w:eastAsia="Times New Roman" w:hAnsi="Arial" w:cs="Arial"/>
                <w:color w:val="212121"/>
                <w:lang w:eastAsia="en-GB"/>
              </w:rPr>
              <w:t xml:space="preserve"> or female or maternal or mother* or girl* or </w:t>
            </w:r>
            <w:proofErr w:type="spellStart"/>
            <w:r w:rsidRPr="00672DBE">
              <w:rPr>
                <w:rFonts w:ascii="Arial" w:eastAsia="Times New Roman" w:hAnsi="Arial" w:cs="Arial"/>
                <w:color w:val="212121"/>
                <w:lang w:eastAsia="en-GB"/>
              </w:rPr>
              <w:t>wi?e</w:t>
            </w:r>
            <w:proofErr w:type="spellEnd"/>
            <w:r w:rsidRPr="00672DBE">
              <w:rPr>
                <w:rFonts w:ascii="Arial" w:eastAsia="Times New Roman" w:hAnsi="Arial" w:cs="Arial"/>
                <w:color w:val="212121"/>
                <w:lang w:eastAsia="en-GB"/>
              </w:rPr>
              <w:t>* or adult* or young adult*) adj7 (health promotion or health campaign or wellbeing) </w:t>
            </w:r>
          </w:p>
          <w:p w14:paraId="50F4B5C6" w14:textId="77777777" w:rsidR="00EB2B55" w:rsidRPr="00672DBE" w:rsidRDefault="00EB2B55" w:rsidP="003414BB">
            <w:pPr>
              <w:spacing w:after="0" w:line="240" w:lineRule="auto"/>
              <w:rPr>
                <w:rFonts w:ascii="Arial" w:eastAsia="Times New Roman" w:hAnsi="Arial" w:cs="Arial"/>
                <w:lang w:eastAsia="en-GB"/>
              </w:rPr>
            </w:pPr>
          </w:p>
          <w:p w14:paraId="56EE4D9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proofErr w:type="gramStart"/>
            <w:r w:rsidRPr="00672DBE">
              <w:rPr>
                <w:rFonts w:ascii="Arial" w:eastAsia="Times New Roman" w:hAnsi="Arial" w:cs="Arial"/>
                <w:color w:val="212121"/>
                <w:lang w:eastAsia="en-GB"/>
              </w:rPr>
              <w:t>wom?n</w:t>
            </w:r>
            <w:proofErr w:type="spellEnd"/>
            <w:proofErr w:type="gramEnd"/>
            <w:r w:rsidRPr="00672DBE">
              <w:rPr>
                <w:rFonts w:ascii="Arial" w:eastAsia="Times New Roman" w:hAnsi="Arial" w:cs="Arial"/>
                <w:color w:val="212121"/>
                <w:lang w:eastAsia="en-GB"/>
              </w:rPr>
              <w:t xml:space="preserve"> or female or maternal or mother* or girl* or </w:t>
            </w:r>
            <w:proofErr w:type="spellStart"/>
            <w:r w:rsidRPr="00672DBE">
              <w:rPr>
                <w:rFonts w:ascii="Arial" w:eastAsia="Times New Roman" w:hAnsi="Arial" w:cs="Arial"/>
                <w:color w:val="212121"/>
                <w:lang w:eastAsia="en-GB"/>
              </w:rPr>
              <w:t>wi?e</w:t>
            </w:r>
            <w:proofErr w:type="spellEnd"/>
            <w:r w:rsidRPr="00672DBE">
              <w:rPr>
                <w:rFonts w:ascii="Arial" w:eastAsia="Times New Roman" w:hAnsi="Arial" w:cs="Arial"/>
                <w:color w:val="212121"/>
                <w:lang w:eastAsia="en-GB"/>
              </w:rPr>
              <w:t>* or adult* or young adult*) adj7 (treatments or therapeutics or therapies or health service or healthcare or surgery or diagnostic test or clinical pathology or pharmacy or pharmaceutical preparation or equipment and supplies or clinical practice)</w:t>
            </w:r>
          </w:p>
          <w:p w14:paraId="0F23707A" w14:textId="77777777" w:rsidR="00EB2B55" w:rsidRPr="00672DBE" w:rsidRDefault="00EB2B55" w:rsidP="003414BB">
            <w:pPr>
              <w:spacing w:after="240" w:line="240" w:lineRule="auto"/>
              <w:rPr>
                <w:rFonts w:ascii="Arial" w:eastAsia="Times New Roman" w:hAnsi="Arial" w:cs="Arial"/>
                <w:lang w:eastAsia="en-GB"/>
              </w:rPr>
            </w:pPr>
          </w:p>
          <w:p w14:paraId="5D9EAAE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educat</w:t>
            </w:r>
            <w:proofErr w:type="spellEnd"/>
            <w:r w:rsidRPr="00672DBE">
              <w:rPr>
                <w:rFonts w:ascii="Arial" w:eastAsia="Times New Roman" w:hAnsi="Arial" w:cs="Arial"/>
                <w:color w:val="212121"/>
                <w:lang w:eastAsia="en-GB"/>
              </w:rPr>
              <w:t>* or counsel* teach* or mentor*).</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r w:rsidR="00EB2B55" w:rsidRPr="00672DBE" w14:paraId="12B28AF6" w14:textId="77777777" w:rsidTr="003414BB">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A26155B"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t>Outcome</w:t>
            </w:r>
          </w:p>
          <w:p w14:paraId="220E342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bias / equity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38BD2"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Concept 1: Gender Equity; Sexism</w:t>
            </w:r>
          </w:p>
          <w:p w14:paraId="3B47ADFD"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lastRenderedPageBreak/>
              <w:t xml:space="preserve">Concept 2: Health Literacy; Health Knowledge, Attitudes </w:t>
            </w:r>
            <w:proofErr w:type="gramStart"/>
            <w:r w:rsidRPr="00672DBE">
              <w:rPr>
                <w:rFonts w:ascii="Arial" w:eastAsia="Times New Roman" w:hAnsi="Arial" w:cs="Arial"/>
                <w:color w:val="212121"/>
                <w:lang w:eastAsia="en-GB"/>
              </w:rPr>
              <w:t>And</w:t>
            </w:r>
            <w:proofErr w:type="gramEnd"/>
            <w:r w:rsidRPr="00672DBE">
              <w:rPr>
                <w:rFonts w:ascii="Arial" w:eastAsia="Times New Roman" w:hAnsi="Arial" w:cs="Arial"/>
                <w:color w:val="212121"/>
                <w:lang w:eastAsia="en-GB"/>
              </w:rPr>
              <w:t xml:space="preserve"> Practice</w:t>
            </w:r>
          </w:p>
          <w:p w14:paraId="47EA8D50"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color w:val="212121"/>
                <w:lang w:eastAsia="en-GB"/>
              </w:rPr>
              <w:t>Concept 3: Guidelines; Practice Guidelines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C1E11" w14:textId="794B9749"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lastRenderedPageBreak/>
              <w:t>((</w:t>
            </w:r>
            <w:proofErr w:type="spellStart"/>
            <w:proofErr w:type="gramStart"/>
            <w:r w:rsidRPr="00672DBE">
              <w:rPr>
                <w:rFonts w:ascii="Arial" w:eastAsia="Times New Roman" w:hAnsi="Arial" w:cs="Arial"/>
                <w:color w:val="212121"/>
                <w:lang w:eastAsia="en-GB"/>
              </w:rPr>
              <w:t>wom?n</w:t>
            </w:r>
            <w:proofErr w:type="spellEnd"/>
            <w:proofErr w:type="gramEnd"/>
            <w:r w:rsidRPr="00672DBE">
              <w:rPr>
                <w:rFonts w:ascii="Arial" w:eastAsia="Times New Roman" w:hAnsi="Arial" w:cs="Arial"/>
                <w:color w:val="212121"/>
                <w:lang w:eastAsia="en-GB"/>
              </w:rPr>
              <w:t xml:space="preserve"> or female or maternal or mother* or girl* or </w:t>
            </w:r>
            <w:proofErr w:type="spellStart"/>
            <w:r w:rsidRPr="00672DBE">
              <w:rPr>
                <w:rFonts w:ascii="Arial" w:eastAsia="Times New Roman" w:hAnsi="Arial" w:cs="Arial"/>
                <w:color w:val="212121"/>
                <w:lang w:eastAsia="en-GB"/>
              </w:rPr>
              <w:t>wi?e</w:t>
            </w:r>
            <w:proofErr w:type="spellEnd"/>
            <w:r w:rsidRPr="00672DBE">
              <w:rPr>
                <w:rFonts w:ascii="Arial" w:eastAsia="Times New Roman" w:hAnsi="Arial" w:cs="Arial"/>
                <w:color w:val="212121"/>
                <w:lang w:eastAsia="en-GB"/>
              </w:rPr>
              <w:t xml:space="preserve">* or adult* or young adult*) adj7 (gender equality or gender inequality or gender bias or </w:t>
            </w:r>
            <w:r w:rsidRPr="00672DBE">
              <w:rPr>
                <w:rFonts w:ascii="Arial" w:eastAsia="Times New Roman" w:hAnsi="Arial" w:cs="Arial"/>
                <w:color w:val="212121"/>
                <w:lang w:eastAsia="en-GB"/>
              </w:rPr>
              <w:lastRenderedPageBreak/>
              <w:t xml:space="preserve">gender disparities or </w:t>
            </w:r>
            <w:r w:rsidR="00160D5E" w:rsidRPr="00672DBE">
              <w:rPr>
                <w:rFonts w:ascii="Arial" w:eastAsia="Times New Roman" w:hAnsi="Arial" w:cs="Arial"/>
                <w:color w:val="212121"/>
                <w:lang w:eastAsia="en-GB"/>
              </w:rPr>
              <w:t>gender-based</w:t>
            </w:r>
            <w:r w:rsidRPr="00672DBE">
              <w:rPr>
                <w:rFonts w:ascii="Arial" w:eastAsia="Times New Roman" w:hAnsi="Arial" w:cs="Arial"/>
                <w:color w:val="212121"/>
                <w:lang w:eastAsia="en-GB"/>
              </w:rPr>
              <w:t xml:space="preserve"> discrimination or sexism or sex bias or sex disparities or sex discrimination or prejudice or healthcare disparities)</w:t>
            </w:r>
          </w:p>
          <w:p w14:paraId="795A2A25" w14:textId="77777777" w:rsidR="00EB2B55" w:rsidRPr="00672DBE" w:rsidRDefault="00EB2B55" w:rsidP="003414BB">
            <w:pPr>
              <w:spacing w:after="0" w:line="240" w:lineRule="auto"/>
              <w:rPr>
                <w:rFonts w:ascii="Arial" w:eastAsia="Times New Roman" w:hAnsi="Arial" w:cs="Arial"/>
                <w:lang w:eastAsia="en-GB"/>
              </w:rPr>
            </w:pPr>
          </w:p>
          <w:p w14:paraId="130FC19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proofErr w:type="gramStart"/>
            <w:r w:rsidRPr="00672DBE">
              <w:rPr>
                <w:rFonts w:ascii="Arial" w:eastAsia="Times New Roman" w:hAnsi="Arial" w:cs="Arial"/>
                <w:color w:val="212121"/>
                <w:lang w:eastAsia="en-GB"/>
              </w:rPr>
              <w:t>wom?n</w:t>
            </w:r>
            <w:proofErr w:type="spellEnd"/>
            <w:proofErr w:type="gramEnd"/>
            <w:r w:rsidRPr="00672DBE">
              <w:rPr>
                <w:rFonts w:ascii="Arial" w:eastAsia="Times New Roman" w:hAnsi="Arial" w:cs="Arial"/>
                <w:color w:val="212121"/>
                <w:lang w:eastAsia="en-GB"/>
              </w:rPr>
              <w:t xml:space="preserve"> or female or maternal or mother* or girl* or </w:t>
            </w:r>
            <w:proofErr w:type="spellStart"/>
            <w:r w:rsidRPr="00672DBE">
              <w:rPr>
                <w:rFonts w:ascii="Arial" w:eastAsia="Times New Roman" w:hAnsi="Arial" w:cs="Arial"/>
                <w:color w:val="212121"/>
                <w:lang w:eastAsia="en-GB"/>
              </w:rPr>
              <w:t>wi?e</w:t>
            </w:r>
            <w:proofErr w:type="spellEnd"/>
            <w:r w:rsidRPr="00672DBE">
              <w:rPr>
                <w:rFonts w:ascii="Arial" w:eastAsia="Times New Roman" w:hAnsi="Arial" w:cs="Arial"/>
                <w:color w:val="212121"/>
                <w:lang w:eastAsia="en-GB"/>
              </w:rPr>
              <w:t>* or adult* or young adult*) adj7 (health literacy or health knowledge or attitudes and practice)</w:t>
            </w:r>
          </w:p>
          <w:p w14:paraId="5E823995" w14:textId="77777777" w:rsidR="00EB2B55" w:rsidRPr="00672DBE" w:rsidRDefault="00EB2B55" w:rsidP="003414BB">
            <w:pPr>
              <w:spacing w:after="0" w:line="240" w:lineRule="auto"/>
              <w:rPr>
                <w:rFonts w:ascii="Arial" w:eastAsia="Times New Roman" w:hAnsi="Arial" w:cs="Arial"/>
                <w:lang w:eastAsia="en-GB"/>
              </w:rPr>
            </w:pPr>
          </w:p>
          <w:p w14:paraId="44E7FBC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(Guideline* or Practice guideline*).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r w:rsidR="00EB2B55" w:rsidRPr="00672DBE" w14:paraId="651B497A" w14:textId="77777777" w:rsidTr="003414BB">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6689C366" w14:textId="77777777" w:rsidR="00EB2B55" w:rsidRPr="00672DBE" w:rsidRDefault="00EB2B55" w:rsidP="003414BB">
            <w:pPr>
              <w:spacing w:after="200" w:line="240" w:lineRule="auto"/>
              <w:rPr>
                <w:rFonts w:ascii="Arial" w:eastAsia="Times New Roman" w:hAnsi="Arial" w:cs="Arial"/>
                <w:lang w:eastAsia="en-GB"/>
              </w:rPr>
            </w:pPr>
            <w:r w:rsidRPr="00672DBE">
              <w:rPr>
                <w:rFonts w:ascii="Arial" w:eastAsia="Times New Roman" w:hAnsi="Arial" w:cs="Arial"/>
                <w:b/>
                <w:bCs/>
                <w:color w:val="212121"/>
                <w:lang w:eastAsia="en-GB"/>
              </w:rPr>
              <w:lastRenderedPageBreak/>
              <w:t>Study type</w:t>
            </w:r>
          </w:p>
          <w:p w14:paraId="4E1A1D8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Evaluation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CDA4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Observation; Epidemiologic Studies; Case-Control Studies; Cohort Studies; Controlled Before-After Studies; Cross-Sectional Studies; Clinical Trials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B6A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((observation* or </w:t>
            </w:r>
            <w:proofErr w:type="spellStart"/>
            <w:r w:rsidRPr="00672DBE">
              <w:rPr>
                <w:rFonts w:ascii="Arial" w:eastAsia="Times New Roman" w:hAnsi="Arial" w:cs="Arial"/>
                <w:color w:val="212121"/>
                <w:lang w:eastAsia="en-GB"/>
              </w:rPr>
              <w:t>epidemiolog</w:t>
            </w:r>
            <w:proofErr w:type="spellEnd"/>
            <w:r w:rsidRPr="00672DBE">
              <w:rPr>
                <w:rFonts w:ascii="Arial" w:eastAsia="Times New Roman" w:hAnsi="Arial" w:cs="Arial"/>
                <w:color w:val="212121"/>
                <w:lang w:eastAsia="en-GB"/>
              </w:rPr>
              <w:t xml:space="preserve">* or case-control or cohort or before-after or cross-sectional or "before and after" or </w:t>
            </w:r>
            <w:proofErr w:type="spellStart"/>
            <w:r w:rsidRPr="00672DBE">
              <w:rPr>
                <w:rFonts w:ascii="Arial" w:eastAsia="Times New Roman" w:hAnsi="Arial" w:cs="Arial"/>
                <w:color w:val="212121"/>
                <w:lang w:eastAsia="en-GB"/>
              </w:rPr>
              <w:t>crosssectional</w:t>
            </w:r>
            <w:proofErr w:type="spellEnd"/>
            <w:r w:rsidRPr="00672DBE">
              <w:rPr>
                <w:rFonts w:ascii="Arial" w:eastAsia="Times New Roman" w:hAnsi="Arial" w:cs="Arial"/>
                <w:color w:val="212121"/>
                <w:lang w:eastAsia="en-GB"/>
              </w:rPr>
              <w:t>) adj (study or studies)).</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7D8E2596" w14:textId="77777777" w:rsidR="00EB2B55" w:rsidRPr="00672DBE" w:rsidRDefault="00EB2B55" w:rsidP="003414BB">
            <w:pPr>
              <w:spacing w:after="0" w:line="240" w:lineRule="auto"/>
              <w:rPr>
                <w:rFonts w:ascii="Arial" w:eastAsia="Times New Roman" w:hAnsi="Arial" w:cs="Arial"/>
                <w:lang w:eastAsia="en-GB"/>
              </w:rPr>
            </w:pPr>
          </w:p>
          <w:p w14:paraId="5144E94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(patient outcome* or outcome assess*).</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p w14:paraId="5BB6E18C" w14:textId="77777777" w:rsidR="00EB2B55" w:rsidRPr="00672DBE" w:rsidRDefault="00EB2B55" w:rsidP="003414BB">
            <w:pPr>
              <w:spacing w:after="0" w:line="240" w:lineRule="auto"/>
              <w:rPr>
                <w:rFonts w:ascii="Arial" w:eastAsia="Times New Roman" w:hAnsi="Arial" w:cs="Arial"/>
                <w:lang w:eastAsia="en-GB"/>
              </w:rPr>
            </w:pPr>
          </w:p>
          <w:p w14:paraId="11F7A90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(program* adj3 (develop* or implement*)).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r>
    </w:tbl>
    <w:p w14:paraId="62DEBD69" w14:textId="77777777" w:rsidR="00EB2B55" w:rsidRPr="00672DBE" w:rsidRDefault="00EB2B55" w:rsidP="003414BB">
      <w:pPr>
        <w:spacing w:after="0" w:line="240" w:lineRule="auto"/>
        <w:rPr>
          <w:rFonts w:ascii="Arial" w:eastAsia="Times New Roman" w:hAnsi="Arial" w:cs="Arial"/>
          <w:lang w:eastAsia="en-GB"/>
        </w:rPr>
      </w:pPr>
    </w:p>
    <w:p w14:paraId="16155B29" w14:textId="3602FE60" w:rsidR="00EB2B55" w:rsidRPr="008F4CA1" w:rsidRDefault="008F4CA1" w:rsidP="003414BB">
      <w:pPr>
        <w:keepNext/>
        <w:keepLines/>
        <w:spacing w:before="240" w:line="240" w:lineRule="auto"/>
        <w:outlineLvl w:val="4"/>
        <w:rPr>
          <w:rFonts w:ascii="Arial" w:eastAsia="Times New Roman" w:hAnsi="Arial" w:cs="Arial"/>
          <w:b/>
          <w:lang w:eastAsia="en-GB"/>
        </w:rPr>
      </w:pPr>
      <w:r w:rsidRPr="008F4CA1">
        <w:rPr>
          <w:rFonts w:ascii="Arial" w:eastAsia="Times New Roman" w:hAnsi="Arial" w:cs="Arial"/>
          <w:b/>
          <w:bCs/>
          <w:lang w:eastAsia="en-GB"/>
        </w:rPr>
        <w:t xml:space="preserve">Table A7. </w:t>
      </w:r>
      <w:r w:rsidR="00EB2B55" w:rsidRPr="008F4CA1">
        <w:rPr>
          <w:rFonts w:ascii="Arial" w:eastAsia="Times New Roman" w:hAnsi="Arial" w:cs="Arial"/>
          <w:b/>
          <w:bCs/>
          <w:lang w:eastAsia="en-GB"/>
        </w:rPr>
        <w:t>MEDLINE</w:t>
      </w:r>
      <w:r w:rsidRPr="008F4CA1">
        <w:rPr>
          <w:rFonts w:ascii="Arial" w:eastAsia="Times New Roman" w:hAnsi="Arial" w:cs="Arial"/>
          <w:b/>
          <w:bCs/>
          <w:lang w:eastAsia="en-GB"/>
        </w:rPr>
        <w:t xml:space="preserve"> Search History for Question</w:t>
      </w:r>
      <w:r w:rsidR="00985507">
        <w:rPr>
          <w:rFonts w:ascii="Arial" w:eastAsia="Times New Roman" w:hAnsi="Arial" w:cs="Arial"/>
          <w:b/>
          <w:bCs/>
          <w:lang w:eastAsia="en-GB"/>
        </w:rPr>
        <w:t>s</w:t>
      </w:r>
      <w:r w:rsidRPr="008F4CA1">
        <w:rPr>
          <w:rFonts w:ascii="Arial" w:eastAsia="Times New Roman" w:hAnsi="Arial" w:cs="Arial"/>
          <w:b/>
          <w:bCs/>
          <w:lang w:eastAsia="en-GB"/>
        </w:rPr>
        <w:t xml:space="preserve"> 3 and 4</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6DC0712C" w14:textId="77777777" w:rsidTr="00B00C15">
        <w:trPr>
          <w:trHeight w:val="339"/>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56EA9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72939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9622C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Results</w:t>
            </w:r>
          </w:p>
        </w:tc>
      </w:tr>
      <w:tr w:rsidR="00EB2B55" w:rsidRPr="00672DBE" w14:paraId="622C3EF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C2993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7C08E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Equity/ or Sexism/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6D60E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4003</w:t>
            </w:r>
          </w:p>
        </w:tc>
      </w:tr>
      <w:tr w:rsidR="00EB2B55" w:rsidRPr="00672DBE" w14:paraId="262A36CE"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79300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3528C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(gendered approach* or gender-specific or gender sensitive or gender perspective*).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6A542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16392</w:t>
            </w:r>
          </w:p>
        </w:tc>
      </w:tr>
      <w:tr w:rsidR="00EB2B55" w:rsidRPr="00672DBE" w14:paraId="6228F7C7" w14:textId="77777777" w:rsidTr="003414BB">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854BE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BD0F24" w14:textId="05AADA73"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FAC37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18042</w:t>
            </w:r>
          </w:p>
        </w:tc>
      </w:tr>
      <w:tr w:rsidR="00EB2B55" w:rsidRPr="00672DBE" w14:paraId="494E67B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B687C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849CA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 or 2 or 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79F8E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35494</w:t>
            </w:r>
          </w:p>
        </w:tc>
      </w:tr>
      <w:tr w:rsidR="00EB2B55" w:rsidRPr="00672DBE" w14:paraId="4B0D7B0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EEDC3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82C49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Therapeutics/ or Drug Therapy/ or Patient Care/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BC4E1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51908</w:t>
            </w:r>
          </w:p>
        </w:tc>
      </w:tr>
      <w:tr w:rsidR="00EB2B55" w:rsidRPr="00672DBE" w14:paraId="7869856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F35F39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CDDFB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Health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0C216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2460334</w:t>
            </w:r>
          </w:p>
        </w:tc>
      </w:tr>
      <w:tr w:rsidR="00EB2B55" w:rsidRPr="00672DBE" w14:paraId="16F991E3" w14:textId="77777777" w:rsidTr="003414BB">
        <w:trPr>
          <w:trHeight w:val="247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2F309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689E1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Patient Care Management/ or Comprehensive Dental Care/ or Patient Care Planning/ or Primary Health Care/ or "Continuity Of Patient Care"/ or Patient-</w:t>
            </w:r>
            <w:proofErr w:type="spellStart"/>
            <w:r w:rsidRPr="00672DBE">
              <w:rPr>
                <w:rFonts w:ascii="Arial" w:eastAsia="Times New Roman" w:hAnsi="Arial" w:cs="Arial"/>
                <w:color w:val="212121"/>
                <w:lang w:eastAsia="en-GB"/>
              </w:rPr>
              <w:t>Centered</w:t>
            </w:r>
            <w:proofErr w:type="spellEnd"/>
            <w:r w:rsidRPr="00672DBE">
              <w:rPr>
                <w:rFonts w:ascii="Arial" w:eastAsia="Times New Roman" w:hAnsi="Arial" w:cs="Arial"/>
                <w:color w:val="212121"/>
                <w:lang w:eastAsia="en-GB"/>
              </w:rPr>
              <w:t xml:space="preserve"> Care/ or Progressive Patient Care/ or "Delivery Of Health Care"/ or "Delivery Of Health Care, Integrated"/ or Health Services Accessibility/ or Access To Primary Care/ or Health Equity/ or Right To Health/ or Universal Health Care/ or Healthcare Disparities/ or Disease Management/ or Pain Management/ or "Medication Review"/ or Patient Care Team/ or Patient Selection/ or "Quality Of Health Care"/ or Outcome Assessment, Health Care/ or Patient Outcome Assessment/ or Patient Reported Outcome Measures/ or Quality Assurance, Health Care/ or Quality Indicators, Health Care/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C850AB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788443</w:t>
            </w:r>
          </w:p>
        </w:tc>
      </w:tr>
      <w:tr w:rsidR="00EB2B55" w:rsidRPr="00672DBE" w14:paraId="08B12BD5" w14:textId="77777777" w:rsidTr="003414BB">
        <w:trPr>
          <w:trHeight w:val="247"/>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5E5EF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6D4D9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Planning/ or Health Care Rationing/ or "Health Services Needs and Demand"/ or National Health Programs/ or State Medicine/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45A3F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175851</w:t>
            </w:r>
          </w:p>
        </w:tc>
      </w:tr>
      <w:tr w:rsidR="00EB2B55" w:rsidRPr="00672DBE" w14:paraId="1B3B5024" w14:textId="77777777" w:rsidTr="003414BB">
        <w:trPr>
          <w:trHeight w:val="19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EB34B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lastRenderedPageBreak/>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521C0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Pharmaceutical Services/ or Preventive Health Services/ or Diagnostic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09562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26274</w:t>
            </w:r>
          </w:p>
        </w:tc>
      </w:tr>
      <w:tr w:rsidR="00EB2B55" w:rsidRPr="00672DBE" w14:paraId="7B5A6CC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7E487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AF2A2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"Diagnostic Techniques and Procedures"/ or Diagnostic Imaging/</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F16FC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50268</w:t>
            </w:r>
          </w:p>
        </w:tc>
      </w:tr>
      <w:tr w:rsidR="00EB2B55" w:rsidRPr="00672DBE" w14:paraId="660BD71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0AFB4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B56EAF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 or 6 or 7 or 8 or 9 or 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8128E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3104939</w:t>
            </w:r>
          </w:p>
        </w:tc>
      </w:tr>
      <w:tr w:rsidR="00EB2B55" w:rsidRPr="00672DBE" w14:paraId="4F2AE47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47D37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885FF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D6313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5057</w:t>
            </w:r>
          </w:p>
        </w:tc>
      </w:tr>
      <w:tr w:rsidR="00EB2B55" w:rsidRPr="00672DBE" w14:paraId="1685674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8ABE9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BF2E4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Women/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6032B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15200</w:t>
            </w:r>
          </w:p>
        </w:tc>
      </w:tr>
      <w:tr w:rsidR="00EB2B55" w:rsidRPr="00672DBE" w14:paraId="6A475F8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D8B4E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A03FF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C3600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10214608</w:t>
            </w:r>
          </w:p>
        </w:tc>
      </w:tr>
      <w:tr w:rsidR="00EB2B55" w:rsidRPr="00672DBE" w14:paraId="665B9D1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F27C0D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1DBDF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 or 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70C851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10214608</w:t>
            </w:r>
          </w:p>
        </w:tc>
      </w:tr>
      <w:tr w:rsidR="00EB2B55" w:rsidRPr="00672DBE" w14:paraId="0066BFA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A5BF3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A473B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 and 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F9420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4609</w:t>
            </w:r>
          </w:p>
        </w:tc>
      </w:tr>
      <w:tr w:rsidR="00EB2B55" w:rsidRPr="00672DBE" w14:paraId="7770B12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D2B9C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2E519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Education/ or Health Literacy/ or Health Fairs/ or Health Promotion/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FD534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148160</w:t>
            </w:r>
          </w:p>
        </w:tc>
      </w:tr>
      <w:tr w:rsidR="00EB2B55" w:rsidRPr="00672DBE" w14:paraId="4BFACD7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48B6E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9E7DE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Knowledge, Attitudes,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50348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127666</w:t>
            </w:r>
          </w:p>
        </w:tc>
      </w:tr>
      <w:tr w:rsidR="00EB2B55" w:rsidRPr="00672DBE" w14:paraId="50CE8692"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A94C8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EAED3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(health adj (promotion or literacy or education or knowledge or counsel* or teach* or mentor*)).</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9BBDD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319851</w:t>
            </w:r>
          </w:p>
        </w:tc>
      </w:tr>
      <w:tr w:rsidR="00EB2B55" w:rsidRPr="00672DBE" w14:paraId="34663D5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0D61F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74DD5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 or 18 or 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5AF49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320075</w:t>
            </w:r>
          </w:p>
        </w:tc>
      </w:tr>
      <w:tr w:rsidR="00EB2B55" w:rsidRPr="00672DBE" w14:paraId="68C9402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4C267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6BB63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 and 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3A047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684</w:t>
            </w:r>
          </w:p>
        </w:tc>
      </w:tr>
      <w:tr w:rsidR="00EB2B55" w:rsidRPr="00672DBE" w14:paraId="3643C513"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B042D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3FFE31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 adj7 (health adj (promotion or literacy or education or knowledge))).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B754F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83194</w:t>
            </w:r>
          </w:p>
        </w:tc>
      </w:tr>
      <w:tr w:rsidR="00EB2B55" w:rsidRPr="00672DBE" w14:paraId="1735EEE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EC43F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F8414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22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EE40B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443</w:t>
            </w:r>
          </w:p>
        </w:tc>
      </w:tr>
      <w:tr w:rsidR="00EB2B55" w:rsidRPr="00672DBE" w14:paraId="646864C2"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1B94E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2CFC9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 adj4 (treatment* or therapeutic* or therapies or health service* or healthcare or health care or surgical procedure* or diagnostic test* or clinical pathology or pharmacy or pharmaceutical preparation* or medical equipment or medical device* or clinical practice)).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E4464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65050</w:t>
            </w:r>
          </w:p>
        </w:tc>
      </w:tr>
      <w:tr w:rsidR="00EB2B55" w:rsidRPr="00672DBE" w14:paraId="2B208BC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EE605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F19DE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24278C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1113</w:t>
            </w:r>
          </w:p>
        </w:tc>
      </w:tr>
      <w:tr w:rsidR="00EB2B55" w:rsidRPr="00672DBE" w14:paraId="56F9E137"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9EA26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C8950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 adj5 ((health or healthcare or health care) adj5 (</w:t>
            </w:r>
            <w:proofErr w:type="spellStart"/>
            <w:r w:rsidRPr="00672DBE">
              <w:rPr>
                <w:rFonts w:ascii="Arial" w:eastAsia="Times New Roman" w:hAnsi="Arial" w:cs="Arial"/>
                <w:color w:val="212121"/>
                <w:lang w:eastAsia="en-GB"/>
              </w:rPr>
              <w:t>educat</w:t>
            </w:r>
            <w:proofErr w:type="spellEnd"/>
            <w:r w:rsidRPr="00672DBE">
              <w:rPr>
                <w:rFonts w:ascii="Arial" w:eastAsia="Times New Roman" w:hAnsi="Arial" w:cs="Arial"/>
                <w:color w:val="212121"/>
                <w:lang w:eastAsia="en-GB"/>
              </w:rPr>
              <w:t>* or counsel* or teach* or mentor*))).</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0AA21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22316</w:t>
            </w:r>
          </w:p>
        </w:tc>
      </w:tr>
      <w:tr w:rsidR="00EB2B55" w:rsidRPr="00672DBE" w14:paraId="12DAC4B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41DB1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7FC31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6C6E9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161</w:t>
            </w:r>
          </w:p>
        </w:tc>
      </w:tr>
      <w:tr w:rsidR="00EB2B55" w:rsidRPr="00672DBE" w14:paraId="032DEDE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BA372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E2279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Sex Factors/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147DE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279615</w:t>
            </w:r>
          </w:p>
        </w:tc>
      </w:tr>
      <w:tr w:rsidR="00EB2B55" w:rsidRPr="00672DBE" w14:paraId="5873B87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0D074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DDA78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11 and 15 and 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C71E53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1547</w:t>
            </w:r>
          </w:p>
        </w:tc>
      </w:tr>
      <w:tr w:rsidR="00EB2B55" w:rsidRPr="00672DBE" w14:paraId="0024C3F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78714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9E14D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15 and 20 and 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9285D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310</w:t>
            </w:r>
          </w:p>
        </w:tc>
      </w:tr>
      <w:tr w:rsidR="00EB2B55" w:rsidRPr="00672DBE" w14:paraId="61D8266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7E020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202AE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21 or 23 or 25 or 27 or 29 or 30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1A7A7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3309</w:t>
            </w:r>
          </w:p>
        </w:tc>
      </w:tr>
      <w:tr w:rsidR="00EB2B55" w:rsidRPr="00672DBE" w14:paraId="1FD58DA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471A9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D3B10E" w14:textId="63F7BA43"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limit 31 to </w:t>
            </w:r>
            <w:r w:rsidR="00160D5E" w:rsidRPr="00672DBE">
              <w:rPr>
                <w:rFonts w:ascii="Arial" w:eastAsia="Times New Roman" w:hAnsi="Arial" w:cs="Arial"/>
                <w:color w:val="212121"/>
                <w:lang w:eastAsia="en-GB"/>
              </w:rPr>
              <w:t>English</w:t>
            </w:r>
            <w:r w:rsidRPr="00672DBE">
              <w:rPr>
                <w:rFonts w:ascii="Arial" w:eastAsia="Times New Roman" w:hAnsi="Arial" w:cs="Arial"/>
                <w:color w:val="212121"/>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3C214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3162</w:t>
            </w:r>
          </w:p>
        </w:tc>
      </w:tr>
      <w:tr w:rsidR="00EB2B55" w:rsidRPr="00672DBE" w14:paraId="6ACA4AAE"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EA889A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B6804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E64C44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3229933</w:t>
            </w:r>
          </w:p>
        </w:tc>
      </w:tr>
      <w:tr w:rsidR="00EB2B55" w:rsidRPr="00672DBE" w14:paraId="62110CF7"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9FEE3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82C1A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((observation* or </w:t>
            </w:r>
            <w:proofErr w:type="spellStart"/>
            <w:r w:rsidRPr="00672DBE">
              <w:rPr>
                <w:rFonts w:ascii="Arial" w:eastAsia="Times New Roman" w:hAnsi="Arial" w:cs="Arial"/>
                <w:color w:val="212121"/>
                <w:lang w:eastAsia="en-GB"/>
              </w:rPr>
              <w:t>epidemiolog</w:t>
            </w:r>
            <w:proofErr w:type="spellEnd"/>
            <w:r w:rsidRPr="00672DBE">
              <w:rPr>
                <w:rFonts w:ascii="Arial" w:eastAsia="Times New Roman" w:hAnsi="Arial" w:cs="Arial"/>
                <w:color w:val="212121"/>
                <w:lang w:eastAsia="en-GB"/>
              </w:rPr>
              <w:t xml:space="preserve">* or case-control or cohort or before-after or cross-sectional or "before and after" or </w:t>
            </w:r>
            <w:proofErr w:type="spellStart"/>
            <w:r w:rsidRPr="00672DBE">
              <w:rPr>
                <w:rFonts w:ascii="Arial" w:eastAsia="Times New Roman" w:hAnsi="Arial" w:cs="Arial"/>
                <w:color w:val="212121"/>
                <w:lang w:eastAsia="en-GB"/>
              </w:rPr>
              <w:t>crosssectional</w:t>
            </w:r>
            <w:proofErr w:type="spellEnd"/>
            <w:r w:rsidRPr="00672DBE">
              <w:rPr>
                <w:rFonts w:ascii="Arial" w:eastAsia="Times New Roman" w:hAnsi="Arial" w:cs="Arial"/>
                <w:color w:val="212121"/>
                <w:lang w:eastAsia="en-GB"/>
              </w:rPr>
              <w:t>) adj (study or studies)).</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4CA98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1716040</w:t>
            </w:r>
          </w:p>
        </w:tc>
      </w:tr>
      <w:tr w:rsidR="00EB2B55" w:rsidRPr="00672DBE" w14:paraId="01652FA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2B46E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4C10B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292B0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12170</w:t>
            </w:r>
          </w:p>
        </w:tc>
      </w:tr>
      <w:tr w:rsidR="00EB2B55" w:rsidRPr="00672DBE" w14:paraId="1ACC947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E0AC8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47484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guideline*.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ACA89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623097</w:t>
            </w:r>
          </w:p>
        </w:tc>
      </w:tr>
      <w:tr w:rsidR="00EB2B55" w:rsidRPr="00672DBE" w14:paraId="4C08028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67F9B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E29CB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(program* adj3 (develop* or implement*)).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A3192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116674</w:t>
            </w:r>
          </w:p>
        </w:tc>
      </w:tr>
      <w:tr w:rsidR="00EB2B55" w:rsidRPr="00672DBE" w14:paraId="6972BBD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567C7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F2BA2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33 or 34 or 35 or 36 or 37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4DB3AF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4224775</w:t>
            </w:r>
          </w:p>
        </w:tc>
      </w:tr>
      <w:tr w:rsidR="00EB2B55" w:rsidRPr="00672DBE" w14:paraId="0DB4DAA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9C652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E2027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 and 38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85024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1173</w:t>
            </w:r>
          </w:p>
        </w:tc>
      </w:tr>
      <w:tr w:rsidR="00EB2B55" w:rsidRPr="00672DBE" w14:paraId="0E34DF1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34D40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B682C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limit 39 to yr="2014 -Current"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C3162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662</w:t>
            </w:r>
          </w:p>
        </w:tc>
      </w:tr>
    </w:tbl>
    <w:p w14:paraId="05920147" w14:textId="2BE5724E" w:rsidR="00EB2B55" w:rsidRPr="008F4CA1" w:rsidRDefault="008F4CA1" w:rsidP="00B00C15">
      <w:pPr>
        <w:keepNext/>
        <w:keepLines/>
        <w:shd w:val="clear" w:color="auto" w:fill="FFFFFF"/>
        <w:spacing w:line="240" w:lineRule="auto"/>
        <w:outlineLvl w:val="4"/>
        <w:rPr>
          <w:rFonts w:ascii="Arial" w:eastAsia="Times New Roman" w:hAnsi="Arial" w:cs="Arial"/>
          <w:b/>
          <w:lang w:eastAsia="en-GB"/>
        </w:rPr>
      </w:pPr>
      <w:r w:rsidRPr="008F4CA1">
        <w:rPr>
          <w:rFonts w:ascii="Arial" w:eastAsia="Times New Roman" w:hAnsi="Arial" w:cs="Arial"/>
          <w:b/>
          <w:bCs/>
          <w:lang w:eastAsia="en-GB"/>
        </w:rPr>
        <w:lastRenderedPageBreak/>
        <w:t xml:space="preserve">Table A8. </w:t>
      </w:r>
      <w:r w:rsidR="00EB2B55" w:rsidRPr="008F4CA1">
        <w:rPr>
          <w:rFonts w:ascii="Arial" w:eastAsia="Times New Roman" w:hAnsi="Arial" w:cs="Arial"/>
          <w:b/>
          <w:bCs/>
          <w:lang w:eastAsia="en-GB"/>
        </w:rPr>
        <w:t xml:space="preserve">Embase </w:t>
      </w:r>
      <w:r w:rsidRPr="008F4CA1">
        <w:rPr>
          <w:rFonts w:ascii="Arial" w:eastAsia="Times New Roman" w:hAnsi="Arial" w:cs="Arial"/>
          <w:b/>
          <w:bCs/>
          <w:lang w:eastAsia="en-GB"/>
        </w:rPr>
        <w:t>Search History for Q</w:t>
      </w:r>
      <w:r>
        <w:rPr>
          <w:rFonts w:ascii="Arial" w:eastAsia="Times New Roman" w:hAnsi="Arial" w:cs="Arial"/>
          <w:b/>
          <w:bCs/>
          <w:lang w:eastAsia="en-GB"/>
        </w:rPr>
        <w:t>uestion</w:t>
      </w:r>
      <w:r w:rsidR="00985507">
        <w:rPr>
          <w:rFonts w:ascii="Arial" w:eastAsia="Times New Roman" w:hAnsi="Arial" w:cs="Arial"/>
          <w:b/>
          <w:bCs/>
          <w:lang w:eastAsia="en-GB"/>
        </w:rPr>
        <w:t>s</w:t>
      </w:r>
      <w:r>
        <w:rPr>
          <w:rFonts w:ascii="Arial" w:eastAsia="Times New Roman" w:hAnsi="Arial" w:cs="Arial"/>
          <w:b/>
          <w:bCs/>
          <w:lang w:eastAsia="en-GB"/>
        </w:rPr>
        <w:t xml:space="preserve"> </w:t>
      </w:r>
      <w:r w:rsidRPr="008F4CA1">
        <w:rPr>
          <w:rFonts w:ascii="Arial" w:eastAsia="Times New Roman" w:hAnsi="Arial" w:cs="Arial"/>
          <w:b/>
          <w:bCs/>
          <w:lang w:eastAsia="en-GB"/>
        </w:rPr>
        <w:t>3 and 4</w:t>
      </w:r>
    </w:p>
    <w:tbl>
      <w:tblPr>
        <w:tblW w:w="0" w:type="auto"/>
        <w:tblCellMar>
          <w:top w:w="15" w:type="dxa"/>
          <w:left w:w="15" w:type="dxa"/>
          <w:bottom w:w="15" w:type="dxa"/>
          <w:right w:w="15" w:type="dxa"/>
        </w:tblCellMar>
        <w:tblLook w:val="04A0" w:firstRow="1" w:lastRow="0" w:firstColumn="1" w:lastColumn="0" w:noHBand="0" w:noVBand="1"/>
      </w:tblPr>
      <w:tblGrid>
        <w:gridCol w:w="445"/>
        <w:gridCol w:w="7269"/>
        <w:gridCol w:w="1302"/>
      </w:tblGrid>
      <w:tr w:rsidR="00EB2B55" w:rsidRPr="00672DBE" w14:paraId="492029D0" w14:textId="77777777" w:rsidTr="00B00C15">
        <w:trPr>
          <w:trHeight w:val="339"/>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D47C653"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904D92" w14:textId="77777777" w:rsidR="00EB2B55" w:rsidRPr="00672DBE" w:rsidRDefault="00EB2B55" w:rsidP="00B00C15">
            <w:pPr>
              <w:keepNext/>
              <w:keepLines/>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FCB7B4"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w:t>
            </w:r>
          </w:p>
        </w:tc>
      </w:tr>
      <w:tr w:rsidR="00EB2B55" w:rsidRPr="00672DBE" w14:paraId="2AB7EC6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F0FDF5"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4B8156"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AD9848"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6,247</w:t>
            </w:r>
          </w:p>
        </w:tc>
      </w:tr>
      <w:tr w:rsidR="00EB2B55" w:rsidRPr="00672DBE" w14:paraId="138920D7"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F51B22"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21EE0E3"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A62FEB" w14:textId="77777777" w:rsidR="00EB2B55" w:rsidRPr="00672DBE" w:rsidRDefault="00EB2B55" w:rsidP="00B00C15">
            <w:pPr>
              <w:keepNext/>
              <w:keepLines/>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21,794</w:t>
            </w:r>
          </w:p>
        </w:tc>
      </w:tr>
      <w:tr w:rsidR="00EB2B55" w:rsidRPr="00672DBE" w14:paraId="4856BD2E"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BDA31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273C32" w14:textId="08FE573E"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83D078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24,490</w:t>
            </w:r>
          </w:p>
        </w:tc>
      </w:tr>
      <w:tr w:rsidR="00EB2B55" w:rsidRPr="00672DBE" w14:paraId="4649B57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2A4603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70BAA9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9B6A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48,326</w:t>
            </w:r>
          </w:p>
        </w:tc>
      </w:tr>
      <w:tr w:rsidR="00EB2B55" w:rsidRPr="00672DBE" w14:paraId="2CE0FC8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C421A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4BC1B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Therapeutics/ or Drug Therapy/ or Patient 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C5325E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2,437,715</w:t>
            </w:r>
          </w:p>
        </w:tc>
      </w:tr>
      <w:tr w:rsidR="00EB2B55" w:rsidRPr="00672DBE" w14:paraId="2FACD0A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43E3E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8B55F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Health Services/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56C881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7,244,382</w:t>
            </w:r>
          </w:p>
        </w:tc>
      </w:tr>
      <w:tr w:rsidR="00EB2B55" w:rsidRPr="00672DBE" w14:paraId="1DC98DE1" w14:textId="77777777" w:rsidTr="0023685D">
        <w:trPr>
          <w:trHeight w:val="5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CCDC9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37BC3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Patient Care Management/ or Dental Procedure/ or Patient Care Planning/ or Primary Health Care/ or "Continuity Of Patient Care"/ or Patient-</w:t>
            </w:r>
            <w:proofErr w:type="spellStart"/>
            <w:r w:rsidRPr="00672DBE">
              <w:rPr>
                <w:rFonts w:ascii="Arial" w:eastAsia="Times New Roman" w:hAnsi="Arial" w:cs="Arial"/>
                <w:color w:val="222222"/>
                <w:lang w:eastAsia="en-GB"/>
              </w:rPr>
              <w:t>Centered</w:t>
            </w:r>
            <w:proofErr w:type="spellEnd"/>
            <w:r w:rsidRPr="00672DBE">
              <w:rPr>
                <w:rFonts w:ascii="Arial" w:eastAsia="Times New Roman" w:hAnsi="Arial" w:cs="Arial"/>
                <w:color w:val="222222"/>
                <w:lang w:eastAsia="en-GB"/>
              </w:rPr>
              <w:t xml:space="preserve"> Care/ or "Delivery Of Health Care"/ or "Delivery Of Health Care, Integrated"/ or Health Care Access/ or Primary Care Access/ or Health Equity/ or Right To Health/ or Universal Health Care/ or Healthcare Disparities/ or Disease Management/ or Analgesia/ or "Drug Utilization Review"/ or Patient Care Team/ or Patient Selection/ or Health Care Quality/ or Outcome Assessment, Health Care/ or Patient Outcome Assessment/ or Patient Reported Outcome Measures/ or Quality Control/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3B58C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2,284,326</w:t>
            </w:r>
          </w:p>
        </w:tc>
      </w:tr>
      <w:tr w:rsidR="00EB2B55" w:rsidRPr="00672DBE" w14:paraId="27A31FDE"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54C46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00AC0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Health Planning/ or Health Care Rationing/ or "Health Services Needs </w:t>
            </w:r>
            <w:proofErr w:type="gramStart"/>
            <w:r w:rsidRPr="00672DBE">
              <w:rPr>
                <w:rFonts w:ascii="Arial" w:eastAsia="Times New Roman" w:hAnsi="Arial" w:cs="Arial"/>
                <w:color w:val="222222"/>
                <w:lang w:eastAsia="en-GB"/>
              </w:rPr>
              <w:t>And</w:t>
            </w:r>
            <w:proofErr w:type="gramEnd"/>
            <w:r w:rsidRPr="00672DBE">
              <w:rPr>
                <w:rFonts w:ascii="Arial" w:eastAsia="Times New Roman" w:hAnsi="Arial" w:cs="Arial"/>
                <w:color w:val="222222"/>
                <w:lang w:eastAsia="en-GB"/>
              </w:rPr>
              <w:t xml:space="preserve"> Demand"/ or National Health Programs/ or State Medicine/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D4F40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643,104</w:t>
            </w:r>
          </w:p>
        </w:tc>
      </w:tr>
      <w:tr w:rsidR="00EB2B55" w:rsidRPr="00672DBE" w14:paraId="3CFBB455"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0A416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7C816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Pharmaceutical Services/ or Preventive Health Services/ or Diagnostic Services/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7E57D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44,315</w:t>
            </w:r>
          </w:p>
        </w:tc>
      </w:tr>
      <w:tr w:rsidR="00EB2B55" w:rsidRPr="00672DBE" w14:paraId="72CB7BF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41FEB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1D48FA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"Diagnostic Techniques and Procedures"/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2982B8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100,507</w:t>
            </w:r>
          </w:p>
        </w:tc>
      </w:tr>
      <w:tr w:rsidR="00EB2B55" w:rsidRPr="00672DBE" w14:paraId="24F7536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35E9D7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CC0B6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 or 7 or 8 or 9 or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1DDCC6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9,976,439</w:t>
            </w:r>
          </w:p>
        </w:tc>
      </w:tr>
      <w:tr w:rsidR="00EB2B55" w:rsidRPr="00672DBE" w14:paraId="27C34DC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48456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9C55B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9135A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15,123</w:t>
            </w:r>
          </w:p>
        </w:tc>
      </w:tr>
      <w:tr w:rsidR="00EB2B55" w:rsidRPr="00672DBE" w14:paraId="76A57F0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8AF76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40E6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E8162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11,826,082</w:t>
            </w:r>
          </w:p>
        </w:tc>
      </w:tr>
      <w:tr w:rsidR="00EB2B55" w:rsidRPr="00672DBE" w14:paraId="5F5AC68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07DCC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ACB97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5322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12,911,327</w:t>
            </w:r>
          </w:p>
        </w:tc>
      </w:tr>
      <w:tr w:rsidR="00EB2B55" w:rsidRPr="00672DBE" w14:paraId="4B25B8A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7EA9A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E3EE3C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 or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DB6068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12,911,327</w:t>
            </w:r>
          </w:p>
        </w:tc>
      </w:tr>
      <w:tr w:rsidR="00EB2B55" w:rsidRPr="00672DBE" w14:paraId="2BDFB2E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2A5E8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7A065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 and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5102A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12,960</w:t>
            </w:r>
          </w:p>
        </w:tc>
      </w:tr>
      <w:tr w:rsidR="00EB2B55" w:rsidRPr="00672DBE" w14:paraId="1B1E0320"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E054B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1FAF4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Education/ or Health Literacy/ or Health Fairs/ or Health Promotion/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94F23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235,789</w:t>
            </w:r>
          </w:p>
        </w:tc>
      </w:tr>
      <w:tr w:rsidR="00EB2B55" w:rsidRPr="00672DBE" w14:paraId="2B87424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96AAAD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2971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Knowledge, Attitudes,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EC2D0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111,807</w:t>
            </w:r>
          </w:p>
        </w:tc>
      </w:tr>
      <w:tr w:rsidR="00EB2B55" w:rsidRPr="00672DBE" w14:paraId="52F97F1C"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06592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196682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adj (promotion or literacy or education or knowledge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26BBA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288,260</w:t>
            </w:r>
          </w:p>
        </w:tc>
      </w:tr>
      <w:tr w:rsidR="00EB2B55" w:rsidRPr="00672DBE" w14:paraId="0075F34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8E2AD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0D5F0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 or 18 or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02835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380,493</w:t>
            </w:r>
          </w:p>
        </w:tc>
      </w:tr>
      <w:tr w:rsidR="00EB2B55" w:rsidRPr="00672DBE" w14:paraId="40E5EE2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03C87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2F0C0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BED125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702</w:t>
            </w:r>
          </w:p>
        </w:tc>
      </w:tr>
      <w:tr w:rsidR="00EB2B55" w:rsidRPr="00672DBE" w14:paraId="7D50DAB3"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EEE1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5D458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adj7 (health adj (promotion or literacy or education or knowledge))).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741AB2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38,775</w:t>
            </w:r>
          </w:p>
        </w:tc>
      </w:tr>
      <w:tr w:rsidR="00EB2B55" w:rsidRPr="00672DBE" w14:paraId="2CBCF1C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E300D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A2E1B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BACFA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278</w:t>
            </w:r>
          </w:p>
        </w:tc>
      </w:tr>
      <w:tr w:rsidR="00EB2B55" w:rsidRPr="00672DBE" w14:paraId="740FF5C8"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94AE1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DE7B52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adj4 (treatment* or therapeutic* or therapies or health service* or healthcare or health care or surgical procedure* or diagnostic test* or clinical pathology or pharmacy or pharmaceutical preparation* or medical equipment or medical device* or clinical practice)).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D1D31E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96,310</w:t>
            </w:r>
          </w:p>
        </w:tc>
      </w:tr>
      <w:tr w:rsidR="00EB2B55" w:rsidRPr="00672DBE" w14:paraId="4C4FC82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354E07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33CA7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E9EDA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1,480</w:t>
            </w:r>
          </w:p>
        </w:tc>
      </w:tr>
      <w:tr w:rsidR="00EB2B55" w:rsidRPr="00672DBE" w14:paraId="408DE3B9"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BBE9D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A51C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adj5 ((health or healthcare or health care) adj5 (</w:t>
            </w:r>
            <w:proofErr w:type="spellStart"/>
            <w:r w:rsidRPr="00672DBE">
              <w:rPr>
                <w:rFonts w:ascii="Arial" w:eastAsia="Times New Roman" w:hAnsi="Arial" w:cs="Arial"/>
                <w:color w:val="222222"/>
                <w:lang w:eastAsia="en-GB"/>
              </w:rPr>
              <w:t>educat</w:t>
            </w:r>
            <w:proofErr w:type="spellEnd"/>
            <w:r w:rsidRPr="00672DBE">
              <w:rPr>
                <w:rFonts w:ascii="Arial" w:eastAsia="Times New Roman" w:hAnsi="Arial" w:cs="Arial"/>
                <w:color w:val="222222"/>
                <w:lang w:eastAsia="en-GB"/>
              </w:rPr>
              <w:t>*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3A24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36,058</w:t>
            </w:r>
          </w:p>
        </w:tc>
      </w:tr>
      <w:tr w:rsidR="00EB2B55" w:rsidRPr="00672DBE" w14:paraId="4E50C28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6611B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CC172D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5F7D2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236</w:t>
            </w:r>
          </w:p>
        </w:tc>
      </w:tr>
      <w:tr w:rsidR="00EB2B55" w:rsidRPr="00672DBE" w14:paraId="2FA79A8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43262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1ABA9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Sex Factors/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E74532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12,610</w:t>
            </w:r>
          </w:p>
        </w:tc>
      </w:tr>
      <w:tr w:rsidR="00EB2B55" w:rsidRPr="00672DBE" w14:paraId="5AF8517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BE0C55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FFD50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11 and 15 and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9C44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131</w:t>
            </w:r>
          </w:p>
        </w:tc>
      </w:tr>
      <w:tr w:rsidR="00EB2B55" w:rsidRPr="00672DBE" w14:paraId="2E178E7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359673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D8A86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15 and 20 and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C15C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r>
      <w:tr w:rsidR="00EB2B55" w:rsidRPr="00672DBE" w14:paraId="12C60CE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C19AC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5C014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 or 23 or 25 or 27 or 29 or 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A944E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2,530</w:t>
            </w:r>
          </w:p>
        </w:tc>
      </w:tr>
      <w:tr w:rsidR="00EB2B55" w:rsidRPr="00672DBE" w14:paraId="1F2825E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EA5E8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4391BA4" w14:textId="31B1882A"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limit 31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DE617B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2,420</w:t>
            </w:r>
          </w:p>
        </w:tc>
      </w:tr>
      <w:tr w:rsidR="00EB2B55" w:rsidRPr="00672DBE" w14:paraId="47DE67E8"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434D7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FF7E5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9E743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5,844,549</w:t>
            </w:r>
          </w:p>
        </w:tc>
      </w:tr>
      <w:tr w:rsidR="00EB2B55" w:rsidRPr="00672DBE" w14:paraId="148CFBF9"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45130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F72AD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3432C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1,839,278</w:t>
            </w:r>
          </w:p>
        </w:tc>
      </w:tr>
      <w:tr w:rsidR="00EB2B55" w:rsidRPr="00672DBE" w14:paraId="2A05678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AB46B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C4AA5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C830C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87,572</w:t>
            </w:r>
          </w:p>
        </w:tc>
      </w:tr>
      <w:tr w:rsidR="00EB2B55" w:rsidRPr="00672DBE" w14:paraId="5F29F58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61FA0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C13FF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C0091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1,014,801</w:t>
            </w:r>
          </w:p>
        </w:tc>
      </w:tr>
      <w:tr w:rsidR="00EB2B55" w:rsidRPr="00672DBE" w14:paraId="2535719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BCEFA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64352B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C9A1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141,132</w:t>
            </w:r>
          </w:p>
        </w:tc>
      </w:tr>
      <w:tr w:rsidR="00EB2B55" w:rsidRPr="00672DBE" w14:paraId="5691D89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540C2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963A4B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 or 34 or 35 or 36 or 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B1D05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7,058,084</w:t>
            </w:r>
          </w:p>
        </w:tc>
      </w:tr>
      <w:tr w:rsidR="00EB2B55" w:rsidRPr="00672DBE" w14:paraId="0CEC7D0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2E196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915F6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 and 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04F9B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1,103</w:t>
            </w:r>
          </w:p>
        </w:tc>
      </w:tr>
      <w:tr w:rsidR="00EB2B55" w:rsidRPr="00672DBE" w14:paraId="2C1C1F0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8655E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9B6F1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39 to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029BB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704</w:t>
            </w:r>
          </w:p>
        </w:tc>
      </w:tr>
    </w:tbl>
    <w:p w14:paraId="4DDE68AA" w14:textId="31E2CC3F" w:rsidR="00EB2B55" w:rsidRDefault="00EB2B55" w:rsidP="003414BB">
      <w:pPr>
        <w:shd w:val="clear" w:color="auto" w:fill="FFFFFF"/>
        <w:spacing w:after="0" w:line="240" w:lineRule="auto"/>
        <w:rPr>
          <w:rFonts w:ascii="Arial" w:eastAsia="Times New Roman" w:hAnsi="Arial" w:cs="Arial"/>
          <w:color w:val="222222"/>
          <w:lang w:eastAsia="en-GB"/>
        </w:rPr>
      </w:pPr>
    </w:p>
    <w:p w14:paraId="02D407E7" w14:textId="77777777" w:rsidR="00B00C15" w:rsidRPr="00672DBE" w:rsidRDefault="00B00C15" w:rsidP="003414BB">
      <w:pPr>
        <w:shd w:val="clear" w:color="auto" w:fill="FFFFFF"/>
        <w:spacing w:after="0" w:line="240" w:lineRule="auto"/>
        <w:rPr>
          <w:rFonts w:ascii="Arial" w:eastAsia="Times New Roman" w:hAnsi="Arial" w:cs="Arial"/>
          <w:lang w:eastAsia="en-GB"/>
        </w:rPr>
      </w:pPr>
    </w:p>
    <w:p w14:paraId="686232E6" w14:textId="1C5EF47A" w:rsidR="00EB2B55" w:rsidRPr="008F4CA1" w:rsidRDefault="008F4CA1" w:rsidP="003414BB">
      <w:pPr>
        <w:keepNext/>
        <w:keepLines/>
        <w:shd w:val="clear" w:color="auto" w:fill="FFFFFF"/>
        <w:spacing w:line="240" w:lineRule="auto"/>
        <w:outlineLvl w:val="4"/>
        <w:rPr>
          <w:rFonts w:ascii="Arial" w:eastAsia="Times New Roman" w:hAnsi="Arial" w:cs="Arial"/>
          <w:b/>
          <w:lang w:eastAsia="en-GB"/>
        </w:rPr>
      </w:pPr>
      <w:r w:rsidRPr="008F4CA1">
        <w:rPr>
          <w:rFonts w:ascii="Arial" w:eastAsia="Times New Roman" w:hAnsi="Arial" w:cs="Arial"/>
          <w:b/>
          <w:bCs/>
          <w:lang w:eastAsia="en-GB"/>
        </w:rPr>
        <w:t xml:space="preserve">Table A9. </w:t>
      </w:r>
      <w:proofErr w:type="spellStart"/>
      <w:r w:rsidR="00EB2B55" w:rsidRPr="008F4CA1">
        <w:rPr>
          <w:rFonts w:ascii="Arial" w:eastAsia="Times New Roman" w:hAnsi="Arial" w:cs="Arial"/>
          <w:b/>
          <w:bCs/>
          <w:lang w:eastAsia="en-GB"/>
        </w:rPr>
        <w:t>PsycInfo</w:t>
      </w:r>
      <w:proofErr w:type="spellEnd"/>
      <w:r w:rsidR="00EB2B55" w:rsidRPr="008F4CA1">
        <w:rPr>
          <w:rFonts w:ascii="Arial" w:eastAsia="Times New Roman" w:hAnsi="Arial" w:cs="Arial"/>
          <w:b/>
          <w:bCs/>
          <w:lang w:eastAsia="en-GB"/>
        </w:rPr>
        <w:t xml:space="preserve"> </w:t>
      </w:r>
      <w:r w:rsidRPr="008F4CA1">
        <w:rPr>
          <w:rFonts w:ascii="Arial" w:eastAsia="Times New Roman" w:hAnsi="Arial" w:cs="Arial"/>
          <w:b/>
          <w:bCs/>
          <w:lang w:eastAsia="en-GB"/>
        </w:rPr>
        <w:t>Search History for Q</w:t>
      </w:r>
      <w:r>
        <w:rPr>
          <w:rFonts w:ascii="Arial" w:eastAsia="Times New Roman" w:hAnsi="Arial" w:cs="Arial"/>
          <w:b/>
          <w:bCs/>
          <w:lang w:eastAsia="en-GB"/>
        </w:rPr>
        <w:t>uestion</w:t>
      </w:r>
      <w:r w:rsidR="00985507">
        <w:rPr>
          <w:rFonts w:ascii="Arial" w:eastAsia="Times New Roman" w:hAnsi="Arial" w:cs="Arial"/>
          <w:b/>
          <w:bCs/>
          <w:lang w:eastAsia="en-GB"/>
        </w:rPr>
        <w:t>s</w:t>
      </w:r>
      <w:r>
        <w:rPr>
          <w:rFonts w:ascii="Arial" w:eastAsia="Times New Roman" w:hAnsi="Arial" w:cs="Arial"/>
          <w:b/>
          <w:bCs/>
          <w:lang w:eastAsia="en-GB"/>
        </w:rPr>
        <w:t xml:space="preserve"> </w:t>
      </w:r>
      <w:r w:rsidRPr="008F4CA1">
        <w:rPr>
          <w:rFonts w:ascii="Arial" w:eastAsia="Times New Roman" w:hAnsi="Arial" w:cs="Arial"/>
          <w:b/>
          <w:bCs/>
          <w:lang w:eastAsia="en-GB"/>
        </w:rPr>
        <w:t>3 a</w:t>
      </w:r>
      <w:r>
        <w:rPr>
          <w:rFonts w:ascii="Arial" w:eastAsia="Times New Roman" w:hAnsi="Arial" w:cs="Arial"/>
          <w:b/>
          <w:bCs/>
          <w:lang w:eastAsia="en-GB"/>
        </w:rPr>
        <w:t xml:space="preserve">nd </w:t>
      </w:r>
      <w:r w:rsidRPr="008F4CA1">
        <w:rPr>
          <w:rFonts w:ascii="Arial" w:eastAsia="Times New Roman" w:hAnsi="Arial" w:cs="Arial"/>
          <w:b/>
          <w:bCs/>
          <w:lang w:eastAsia="en-GB"/>
        </w:rPr>
        <w:t>4</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768D095D" w14:textId="77777777" w:rsidTr="00B00C15">
        <w:trPr>
          <w:trHeight w:val="375"/>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47860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EDD10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77BCA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w:t>
            </w:r>
          </w:p>
        </w:tc>
      </w:tr>
      <w:tr w:rsidR="00EB2B55" w:rsidRPr="00672DBE" w14:paraId="07F26D1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AD25B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C8C3A0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Equality/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9B6EB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5,554</w:t>
            </w:r>
          </w:p>
        </w:tc>
      </w:tr>
      <w:tr w:rsidR="00EB2B55" w:rsidRPr="00672DBE" w14:paraId="40996CDF"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4F0D2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B955A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18E86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8,068</w:t>
            </w:r>
          </w:p>
        </w:tc>
      </w:tr>
      <w:tr w:rsidR="00EB2B55" w:rsidRPr="00672DBE" w14:paraId="22AEE297"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F287B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4E70F8" w14:textId="3681B8EC"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50B7F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15,923</w:t>
            </w:r>
          </w:p>
        </w:tc>
      </w:tr>
      <w:tr w:rsidR="00EB2B55" w:rsidRPr="00672DBE" w14:paraId="52DB019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377C7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AFCC1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C361BF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26,049</w:t>
            </w:r>
          </w:p>
        </w:tc>
      </w:tr>
      <w:tr w:rsidR="00EB2B55" w:rsidRPr="00672DBE" w14:paraId="1D9B1FD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D895D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F8EB0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Treatment/ or Drug Therapy/ or Caregiving/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15CBBB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236,134</w:t>
            </w:r>
          </w:p>
        </w:tc>
      </w:tr>
      <w:tr w:rsidR="00EB2B55" w:rsidRPr="00672DBE" w14:paraId="64770D99" w14:textId="77777777" w:rsidTr="003414BB">
        <w:trPr>
          <w:trHeight w:val="222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32187A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5EA20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Patient Care Management/ or Comprehensive Dental Care/ or Patient Care Planning/ or Primary Health Care/ or "Continuum Of Care"/ or Patient-</w:t>
            </w:r>
            <w:proofErr w:type="spellStart"/>
            <w:r w:rsidRPr="00672DBE">
              <w:rPr>
                <w:rFonts w:ascii="Arial" w:eastAsia="Times New Roman" w:hAnsi="Arial" w:cs="Arial"/>
                <w:color w:val="222222"/>
                <w:lang w:eastAsia="en-GB"/>
              </w:rPr>
              <w:t>Centered</w:t>
            </w:r>
            <w:proofErr w:type="spellEnd"/>
            <w:r w:rsidRPr="00672DBE">
              <w:rPr>
                <w:rFonts w:ascii="Arial" w:eastAsia="Times New Roman" w:hAnsi="Arial" w:cs="Arial"/>
                <w:color w:val="222222"/>
                <w:lang w:eastAsia="en-GB"/>
              </w:rPr>
              <w:t xml:space="preserve"> Care/ or Patient </w:t>
            </w:r>
            <w:proofErr w:type="spellStart"/>
            <w:r w:rsidRPr="00672DBE">
              <w:rPr>
                <w:rFonts w:ascii="Arial" w:eastAsia="Times New Roman" w:hAnsi="Arial" w:cs="Arial"/>
                <w:color w:val="222222"/>
                <w:lang w:eastAsia="en-GB"/>
              </w:rPr>
              <w:t>Centered</w:t>
            </w:r>
            <w:proofErr w:type="spellEnd"/>
            <w:r w:rsidRPr="00672DBE">
              <w:rPr>
                <w:rFonts w:ascii="Arial" w:eastAsia="Times New Roman" w:hAnsi="Arial" w:cs="Arial"/>
                <w:color w:val="222222"/>
                <w:lang w:eastAsia="en-GB"/>
              </w:rPr>
              <w:t xml:space="preserve"> Care/ or Caring </w:t>
            </w:r>
            <w:proofErr w:type="spellStart"/>
            <w:r w:rsidRPr="00672DBE">
              <w:rPr>
                <w:rFonts w:ascii="Arial" w:eastAsia="Times New Roman" w:hAnsi="Arial" w:cs="Arial"/>
                <w:color w:val="222222"/>
                <w:lang w:eastAsia="en-GB"/>
              </w:rPr>
              <w:t>Behaviors</w:t>
            </w:r>
            <w:proofErr w:type="spellEnd"/>
            <w:r w:rsidRPr="00672DBE">
              <w:rPr>
                <w:rFonts w:ascii="Arial" w:eastAsia="Times New Roman" w:hAnsi="Arial" w:cs="Arial"/>
                <w:color w:val="222222"/>
                <w:lang w:eastAsia="en-GB"/>
              </w:rPr>
              <w:t>/ or Health Care Delivery/ or "Quality Of Care"/ or "Quality Of Services"/ or Health Care Access/ or Right To Treatment/ or Client Rights/ or Health Disparities/ or Disease Management/ or Pain Management/ or Patient Selection/ or Treatment Outcomes/ or Treatment Outcome Evaluation/ or Program Evaluation/ or Patient Reported Outcome Measures/ or Quality Control/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7AF0D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161,473</w:t>
            </w:r>
          </w:p>
        </w:tc>
      </w:tr>
      <w:tr w:rsidR="00EB2B55" w:rsidRPr="00672DBE" w14:paraId="686C697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5193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2844C2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Treatment Planning/ or Health Services Needs/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6AE8A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7,424</w:t>
            </w:r>
          </w:p>
        </w:tc>
      </w:tr>
      <w:tr w:rsidR="00EB2B55" w:rsidRPr="00672DBE" w14:paraId="58E713C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21704C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1EF42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Pharmacy/ or Preventive Health Services/ or Diagnostic Criteria/</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8935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8,367</w:t>
            </w:r>
          </w:p>
        </w:tc>
      </w:tr>
      <w:tr w:rsidR="00EB2B55" w:rsidRPr="00672DBE" w14:paraId="320E30E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3ED853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1D62D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 or 7 or 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66426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386,316</w:t>
            </w:r>
          </w:p>
        </w:tc>
      </w:tr>
      <w:tr w:rsidR="00EB2B55" w:rsidRPr="00672DBE" w14:paraId="1C5AA82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76CC5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89BE7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5D5A3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1,186</w:t>
            </w:r>
          </w:p>
        </w:tc>
      </w:tr>
      <w:tr w:rsidR="00EB2B55" w:rsidRPr="00672DBE" w14:paraId="00CCD47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CF2A90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44B53D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DC91A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98,149</w:t>
            </w:r>
          </w:p>
        </w:tc>
      </w:tr>
      <w:tr w:rsidR="00EB2B55" w:rsidRPr="00672DBE" w14:paraId="3C37A27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CFFAB6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760586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2C4AA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1,434,026</w:t>
            </w:r>
          </w:p>
        </w:tc>
      </w:tr>
      <w:tr w:rsidR="00EB2B55" w:rsidRPr="00672DBE" w14:paraId="5B0B826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61380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AF3B3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 or 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E804CB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1,434,026</w:t>
            </w:r>
          </w:p>
        </w:tc>
      </w:tr>
      <w:tr w:rsidR="00EB2B55" w:rsidRPr="00672DBE" w14:paraId="3C22395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396DAF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5C553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 and 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3DB3A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983</w:t>
            </w:r>
          </w:p>
        </w:tc>
      </w:tr>
      <w:tr w:rsidR="00EB2B55" w:rsidRPr="00672DBE" w14:paraId="037E4CC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7FE2AA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B7FC8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Education/ or Health Literacy/ or Health Promotion/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606E8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45,501</w:t>
            </w:r>
          </w:p>
        </w:tc>
      </w:tr>
      <w:tr w:rsidR="00EB2B55" w:rsidRPr="00672DBE" w14:paraId="047598B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54264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4CCC7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Knowledge, Attitudes,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4D52F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735C6C85"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6F7D9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32DC8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adj (promotion or literacy or education or knowledge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4327D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104,022</w:t>
            </w:r>
          </w:p>
        </w:tc>
      </w:tr>
      <w:tr w:rsidR="00EB2B55" w:rsidRPr="00672DBE" w14:paraId="11A40F7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BC2F7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75B98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 or 16 or 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5B4CF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104,022</w:t>
            </w:r>
          </w:p>
        </w:tc>
      </w:tr>
      <w:tr w:rsidR="00EB2B55" w:rsidRPr="00672DBE" w14:paraId="361E0A6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F25ED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2D155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 and 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980C5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52</w:t>
            </w:r>
          </w:p>
        </w:tc>
      </w:tr>
      <w:tr w:rsidR="00EB2B55" w:rsidRPr="00672DBE" w14:paraId="0045A7BA"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81A5B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BF8CA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adj7 (health adj (promotion or literacy or education or knowledge))).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884232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20,021</w:t>
            </w:r>
          </w:p>
        </w:tc>
      </w:tr>
      <w:tr w:rsidR="00EB2B55" w:rsidRPr="00672DBE" w14:paraId="45868A5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40372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990AFE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EBA20B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165</w:t>
            </w:r>
          </w:p>
        </w:tc>
      </w:tr>
      <w:tr w:rsidR="00EB2B55" w:rsidRPr="00672DBE" w14:paraId="12E1E861"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75EE5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8465FE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adj4 (treatment* or therapeutic* or therapies or health service* or healthcare or health care or surgical procedure* or diagnostic test* or clinical pathology or pharmacy or pharmaceutical preparation* or medical equipment or medical device* or clinical practice)).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DA970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21,045</w:t>
            </w:r>
          </w:p>
        </w:tc>
      </w:tr>
      <w:tr w:rsidR="00EB2B55" w:rsidRPr="00672DBE" w14:paraId="7476812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9C811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212385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0900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747</w:t>
            </w:r>
          </w:p>
        </w:tc>
      </w:tr>
      <w:tr w:rsidR="00EB2B55" w:rsidRPr="00672DBE" w14:paraId="1B6D606B" w14:textId="77777777" w:rsidTr="003414BB">
        <w:trPr>
          <w:trHeight w:val="14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46BB2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87590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adj5 ((health or healthcare or health care) adj5 (</w:t>
            </w:r>
            <w:proofErr w:type="spellStart"/>
            <w:r w:rsidRPr="00672DBE">
              <w:rPr>
                <w:rFonts w:ascii="Arial" w:eastAsia="Times New Roman" w:hAnsi="Arial" w:cs="Arial"/>
                <w:color w:val="222222"/>
                <w:lang w:eastAsia="en-GB"/>
              </w:rPr>
              <w:t>educat</w:t>
            </w:r>
            <w:proofErr w:type="spellEnd"/>
            <w:r w:rsidRPr="00672DBE">
              <w:rPr>
                <w:rFonts w:ascii="Arial" w:eastAsia="Times New Roman" w:hAnsi="Arial" w:cs="Arial"/>
                <w:color w:val="222222"/>
                <w:lang w:eastAsia="en-GB"/>
              </w:rPr>
              <w:t>*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6F5DC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5,133</w:t>
            </w:r>
          </w:p>
        </w:tc>
      </w:tr>
      <w:tr w:rsidR="00EB2B55" w:rsidRPr="00672DBE" w14:paraId="4B5A6FD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189EC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903FC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EC753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55</w:t>
            </w:r>
          </w:p>
        </w:tc>
      </w:tr>
      <w:tr w:rsidR="00EB2B55" w:rsidRPr="00672DBE" w14:paraId="33650D2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824EC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D15B5F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Sex Factors/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F26DA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1ACF506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B6BC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79D00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9 and 13 and 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2F25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4C1B8E4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4CBF6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56FA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14 and 19 and 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D024A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7028DBA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2D730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A26DC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 or 21 or 23 or 25 or 27 or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C59E81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962</w:t>
            </w:r>
          </w:p>
        </w:tc>
      </w:tr>
      <w:tr w:rsidR="00EB2B55" w:rsidRPr="00672DBE" w14:paraId="64F4BD92" w14:textId="77777777" w:rsidTr="003414BB">
        <w:trPr>
          <w:trHeight w:val="73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7F325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BC098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Methods/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C56D0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20,751</w:t>
            </w:r>
          </w:p>
        </w:tc>
      </w:tr>
      <w:tr w:rsidR="00EB2B55" w:rsidRPr="00672DBE" w14:paraId="35EAFFF9" w14:textId="77777777" w:rsidTr="003414BB">
        <w:trPr>
          <w:trHeight w:val="2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1978E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413C1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AA50D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219,412</w:t>
            </w:r>
          </w:p>
        </w:tc>
      </w:tr>
      <w:tr w:rsidR="00EB2B55" w:rsidRPr="00672DBE" w14:paraId="5B8C9D4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6AC7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264190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20849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21,241</w:t>
            </w:r>
          </w:p>
        </w:tc>
      </w:tr>
      <w:tr w:rsidR="00EB2B55" w:rsidRPr="00672DBE" w14:paraId="577C964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79C11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F29B6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41844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86,114</w:t>
            </w:r>
          </w:p>
        </w:tc>
      </w:tr>
      <w:tr w:rsidR="00EB2B55" w:rsidRPr="00672DBE" w14:paraId="7D20A57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9DC6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CCA39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AD36E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59,725</w:t>
            </w:r>
          </w:p>
        </w:tc>
      </w:tr>
      <w:tr w:rsidR="00EB2B55" w:rsidRPr="00672DBE" w14:paraId="2294B5F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78CD1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D61367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 or 31 or 32 or 33 or 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741D4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391,315</w:t>
            </w:r>
          </w:p>
        </w:tc>
      </w:tr>
      <w:tr w:rsidR="00EB2B55" w:rsidRPr="00672DBE" w14:paraId="5549826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E1597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71443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 and 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53073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137</w:t>
            </w:r>
          </w:p>
        </w:tc>
      </w:tr>
      <w:tr w:rsidR="00EB2B55" w:rsidRPr="00672DBE" w14:paraId="30322D9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1CA20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81B77E" w14:textId="02C17559"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36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 and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6956C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45</w:t>
            </w:r>
          </w:p>
        </w:tc>
      </w:tr>
    </w:tbl>
    <w:p w14:paraId="100CB169" w14:textId="77777777" w:rsidR="00EB2B55" w:rsidRDefault="00EB2B55" w:rsidP="003414BB">
      <w:pPr>
        <w:shd w:val="clear" w:color="auto" w:fill="FFFFFF"/>
        <w:spacing w:after="0" w:line="240" w:lineRule="auto"/>
        <w:rPr>
          <w:rFonts w:ascii="Arial" w:eastAsia="Times New Roman" w:hAnsi="Arial" w:cs="Arial"/>
          <w:color w:val="222222"/>
          <w:lang w:eastAsia="en-GB"/>
        </w:rPr>
      </w:pPr>
      <w:r w:rsidRPr="00672DBE">
        <w:rPr>
          <w:rFonts w:ascii="Arial" w:eastAsia="Times New Roman" w:hAnsi="Arial" w:cs="Arial"/>
          <w:color w:val="222222"/>
          <w:lang w:eastAsia="en-GB"/>
        </w:rPr>
        <w:t> </w:t>
      </w:r>
    </w:p>
    <w:p w14:paraId="7F5C2BB2" w14:textId="77777777" w:rsidR="00B00C15" w:rsidRPr="00672DBE" w:rsidRDefault="00B00C15" w:rsidP="003414BB">
      <w:pPr>
        <w:shd w:val="clear" w:color="auto" w:fill="FFFFFF"/>
        <w:spacing w:after="0" w:line="240" w:lineRule="auto"/>
        <w:rPr>
          <w:rFonts w:ascii="Arial" w:eastAsia="Times New Roman" w:hAnsi="Arial" w:cs="Arial"/>
          <w:lang w:eastAsia="en-GB"/>
        </w:rPr>
      </w:pPr>
    </w:p>
    <w:p w14:paraId="51FEC6A9" w14:textId="01D5B382" w:rsidR="00EB2B55" w:rsidRPr="008F4CA1" w:rsidRDefault="008F4CA1" w:rsidP="003414BB">
      <w:pPr>
        <w:keepNext/>
        <w:keepLines/>
        <w:shd w:val="clear" w:color="auto" w:fill="FFFFFF"/>
        <w:spacing w:line="240" w:lineRule="auto"/>
        <w:outlineLvl w:val="4"/>
        <w:rPr>
          <w:rFonts w:ascii="Arial" w:eastAsia="Times New Roman" w:hAnsi="Arial" w:cs="Arial"/>
          <w:b/>
          <w:lang w:eastAsia="en-GB"/>
        </w:rPr>
      </w:pPr>
      <w:r w:rsidRPr="008F4CA1">
        <w:rPr>
          <w:rFonts w:ascii="Arial" w:eastAsia="Times New Roman" w:hAnsi="Arial" w:cs="Arial"/>
          <w:b/>
          <w:bCs/>
          <w:lang w:eastAsia="en-GB"/>
        </w:rPr>
        <w:t>Table A</w:t>
      </w:r>
      <w:r w:rsidR="00457DA0">
        <w:rPr>
          <w:rFonts w:ascii="Arial" w:eastAsia="Times New Roman" w:hAnsi="Arial" w:cs="Arial"/>
          <w:b/>
          <w:bCs/>
          <w:lang w:eastAsia="en-GB"/>
        </w:rPr>
        <w:t>10</w:t>
      </w:r>
      <w:r w:rsidRPr="008F4CA1">
        <w:rPr>
          <w:rFonts w:ascii="Arial" w:eastAsia="Times New Roman" w:hAnsi="Arial" w:cs="Arial"/>
          <w:b/>
          <w:bCs/>
          <w:lang w:eastAsia="en-GB"/>
        </w:rPr>
        <w:t xml:space="preserve">. </w:t>
      </w:r>
      <w:proofErr w:type="spellStart"/>
      <w:r w:rsidR="00EB2B55" w:rsidRPr="008F4CA1">
        <w:rPr>
          <w:rFonts w:ascii="Arial" w:eastAsia="Times New Roman" w:hAnsi="Arial" w:cs="Arial"/>
          <w:b/>
          <w:bCs/>
          <w:lang w:eastAsia="en-GB"/>
        </w:rPr>
        <w:t>Emcare</w:t>
      </w:r>
      <w:proofErr w:type="spellEnd"/>
      <w:r w:rsidR="00EB2B55" w:rsidRPr="008F4CA1">
        <w:rPr>
          <w:rFonts w:ascii="Arial" w:eastAsia="Times New Roman" w:hAnsi="Arial" w:cs="Arial"/>
          <w:b/>
          <w:bCs/>
          <w:lang w:eastAsia="en-GB"/>
        </w:rPr>
        <w:t xml:space="preserve"> </w:t>
      </w:r>
      <w:r w:rsidRPr="008F4CA1">
        <w:rPr>
          <w:rFonts w:ascii="Arial" w:eastAsia="Times New Roman" w:hAnsi="Arial" w:cs="Arial"/>
          <w:b/>
          <w:bCs/>
          <w:lang w:eastAsia="en-GB"/>
        </w:rPr>
        <w:t>Search History for Question</w:t>
      </w:r>
      <w:r w:rsidR="00985507">
        <w:rPr>
          <w:rFonts w:ascii="Arial" w:eastAsia="Times New Roman" w:hAnsi="Arial" w:cs="Arial"/>
          <w:b/>
          <w:bCs/>
          <w:lang w:eastAsia="en-GB"/>
        </w:rPr>
        <w:t>s</w:t>
      </w:r>
      <w:r w:rsidRPr="008F4CA1">
        <w:rPr>
          <w:rFonts w:ascii="Arial" w:eastAsia="Times New Roman" w:hAnsi="Arial" w:cs="Arial"/>
          <w:b/>
          <w:bCs/>
          <w:lang w:eastAsia="en-GB"/>
        </w:rPr>
        <w:t xml:space="preserve"> 3 and 4</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52C100F3" w14:textId="77777777" w:rsidTr="00B00C15">
        <w:trPr>
          <w:trHeight w:val="375"/>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18201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694761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821DE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w:t>
            </w:r>
          </w:p>
        </w:tc>
      </w:tr>
      <w:tr w:rsidR="00EB2B55" w:rsidRPr="00672DBE" w14:paraId="034CD55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4E5DA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6C387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0BF3B2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2,897</w:t>
            </w:r>
          </w:p>
        </w:tc>
      </w:tr>
      <w:tr w:rsidR="00EB2B55" w:rsidRPr="00672DBE" w14:paraId="08B4D505"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A0DE0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722BE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0A1AD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8,877</w:t>
            </w:r>
          </w:p>
        </w:tc>
      </w:tr>
      <w:tr w:rsidR="00EB2B55" w:rsidRPr="00672DBE" w14:paraId="0B24FABA"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5CE0B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2263D73" w14:textId="39F1F1FE"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01044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10,623</w:t>
            </w:r>
          </w:p>
        </w:tc>
      </w:tr>
      <w:tr w:rsidR="00EB2B55" w:rsidRPr="00672DBE" w14:paraId="295B086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B3742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7D029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DD82D9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20,735</w:t>
            </w:r>
          </w:p>
        </w:tc>
      </w:tr>
      <w:tr w:rsidR="00EB2B55" w:rsidRPr="00672DBE" w14:paraId="32A0D94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5E108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AC5B2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Therapeutics/ or Drug Therapy/ or Patient 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32317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315,292</w:t>
            </w:r>
          </w:p>
        </w:tc>
      </w:tr>
      <w:tr w:rsidR="00EB2B55" w:rsidRPr="00672DBE" w14:paraId="781B666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FBC6F5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07D0F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Health Services/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E9743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1,741,646</w:t>
            </w:r>
          </w:p>
        </w:tc>
      </w:tr>
      <w:tr w:rsidR="00EB2B55" w:rsidRPr="00672DBE" w14:paraId="3DE37C06" w14:textId="77777777" w:rsidTr="003414BB">
        <w:trPr>
          <w:trHeight w:val="247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3529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7D864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Patient Care Management/ or Dental Procedure/ or Patient Care Planning/ or Primary Health Care/ or "Continuity Of Patient Care"/ or Patient-</w:t>
            </w:r>
            <w:proofErr w:type="spellStart"/>
            <w:r w:rsidRPr="00672DBE">
              <w:rPr>
                <w:rFonts w:ascii="Arial" w:eastAsia="Times New Roman" w:hAnsi="Arial" w:cs="Arial"/>
                <w:color w:val="222222"/>
                <w:lang w:eastAsia="en-GB"/>
              </w:rPr>
              <w:t>Centered</w:t>
            </w:r>
            <w:proofErr w:type="spellEnd"/>
            <w:r w:rsidRPr="00672DBE">
              <w:rPr>
                <w:rFonts w:ascii="Arial" w:eastAsia="Times New Roman" w:hAnsi="Arial" w:cs="Arial"/>
                <w:color w:val="222222"/>
                <w:lang w:eastAsia="en-GB"/>
              </w:rPr>
              <w:t xml:space="preserve"> Care/ or "Delivery Of Health Care"/ or "Delivery Of Health Care, Integrated"/ or Health Care Access/ or Primary Care Access/ or Health Equity/ or Right To Health/ or Universal Health Care/ or Healthcare Disparities/ or Disease Management/ or Analgesia/ or "Drug Utilization Review"/ or Patient Care Team/ or Patient Selection/ or Health Care Quality/ or Outcome Assessment, Health Care/ or Patient Outcome Assessment/ or Patient Reported Outcome Measures/ or Quality Control/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295F4F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538,800</w:t>
            </w:r>
          </w:p>
        </w:tc>
      </w:tr>
      <w:tr w:rsidR="00EB2B55" w:rsidRPr="00672DBE" w14:paraId="70F49396"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19D94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B1769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Health Planning/ or Health Care Rationing/ or "Health Services Needs </w:t>
            </w:r>
            <w:proofErr w:type="gramStart"/>
            <w:r w:rsidRPr="00672DBE">
              <w:rPr>
                <w:rFonts w:ascii="Arial" w:eastAsia="Times New Roman" w:hAnsi="Arial" w:cs="Arial"/>
                <w:color w:val="222222"/>
                <w:lang w:eastAsia="en-GB"/>
              </w:rPr>
              <w:t>And</w:t>
            </w:r>
            <w:proofErr w:type="gramEnd"/>
            <w:r w:rsidRPr="00672DBE">
              <w:rPr>
                <w:rFonts w:ascii="Arial" w:eastAsia="Times New Roman" w:hAnsi="Arial" w:cs="Arial"/>
                <w:color w:val="222222"/>
                <w:lang w:eastAsia="en-GB"/>
              </w:rPr>
              <w:t xml:space="preserve"> Demand"/ or National Health Programs/ or State Medicine/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81FA47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235,517</w:t>
            </w:r>
          </w:p>
        </w:tc>
      </w:tr>
      <w:tr w:rsidR="00EB2B55" w:rsidRPr="00672DBE" w14:paraId="6FEF9E2B"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CECA2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2EA40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Pharmaceutical Services/ or Preventive Health Services/ or Diagnostic Services/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5729E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10,671</w:t>
            </w:r>
          </w:p>
        </w:tc>
      </w:tr>
      <w:tr w:rsidR="00EB2B55" w:rsidRPr="00672DBE" w14:paraId="0315F24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693BF3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D1CB5D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"Diagnostic Techniques </w:t>
            </w:r>
            <w:proofErr w:type="gramStart"/>
            <w:r w:rsidRPr="00672DBE">
              <w:rPr>
                <w:rFonts w:ascii="Arial" w:eastAsia="Times New Roman" w:hAnsi="Arial" w:cs="Arial"/>
                <w:color w:val="222222"/>
                <w:lang w:eastAsia="en-GB"/>
              </w:rPr>
              <w:t>And</w:t>
            </w:r>
            <w:proofErr w:type="gramEnd"/>
            <w:r w:rsidRPr="00672DBE">
              <w:rPr>
                <w:rFonts w:ascii="Arial" w:eastAsia="Times New Roman" w:hAnsi="Arial" w:cs="Arial"/>
                <w:color w:val="222222"/>
                <w:lang w:eastAsia="en-GB"/>
              </w:rPr>
              <w:t xml:space="preserve"> Procedures"/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77FC4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22,754</w:t>
            </w:r>
          </w:p>
        </w:tc>
      </w:tr>
      <w:tr w:rsidR="00EB2B55" w:rsidRPr="00672DBE" w14:paraId="27DE573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FB85D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4BA92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 or 7 or 8 or 9 or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0A6538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2,114,115</w:t>
            </w:r>
          </w:p>
        </w:tc>
      </w:tr>
      <w:tr w:rsidR="00EB2B55" w:rsidRPr="00672DBE" w14:paraId="1664860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7C4297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78010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CBCC2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5,053</w:t>
            </w:r>
          </w:p>
        </w:tc>
      </w:tr>
      <w:tr w:rsidR="00EB2B55" w:rsidRPr="00672DBE" w14:paraId="18047E9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976B6C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A4EA9E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D943A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1,916,479</w:t>
            </w:r>
          </w:p>
        </w:tc>
      </w:tr>
      <w:tr w:rsidR="00EB2B55" w:rsidRPr="00672DBE" w14:paraId="5092830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79071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1141C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E15ACC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2,300,457</w:t>
            </w:r>
          </w:p>
        </w:tc>
      </w:tr>
      <w:tr w:rsidR="00EB2B55" w:rsidRPr="00672DBE" w14:paraId="63293B0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B9352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38E6F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 or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009A3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2,300,457</w:t>
            </w:r>
          </w:p>
        </w:tc>
      </w:tr>
      <w:tr w:rsidR="00EB2B55" w:rsidRPr="00672DBE" w14:paraId="6DD18AA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FCB19F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B10EE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 and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9651E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4,405</w:t>
            </w:r>
          </w:p>
        </w:tc>
      </w:tr>
      <w:tr w:rsidR="00EB2B55" w:rsidRPr="00672DBE" w14:paraId="502FBA30"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C0D9D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3712D1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Education/ or Health Literacy/ or Health Fairs/ or Health Promotion/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7DCE45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82,337</w:t>
            </w:r>
          </w:p>
        </w:tc>
      </w:tr>
      <w:tr w:rsidR="00EB2B55" w:rsidRPr="00672DBE" w14:paraId="058D659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06973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1E3A8F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Knowledge, Attitudes,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D4F37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9,363</w:t>
            </w:r>
          </w:p>
        </w:tc>
      </w:tr>
      <w:tr w:rsidR="00EB2B55" w:rsidRPr="00672DBE" w14:paraId="64DA96A9"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7E21D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DE5682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adj (promotion or literacy or education or knowledge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DAB18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109,317</w:t>
            </w:r>
          </w:p>
        </w:tc>
      </w:tr>
      <w:tr w:rsidR="00EB2B55" w:rsidRPr="00672DBE" w14:paraId="7C9A15D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0D2B7D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E2D8B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 or 18 or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A1C89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116,676</w:t>
            </w:r>
          </w:p>
        </w:tc>
      </w:tr>
      <w:tr w:rsidR="00EB2B55" w:rsidRPr="00672DBE" w14:paraId="489FA24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E4494A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0873E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537AE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292</w:t>
            </w:r>
          </w:p>
        </w:tc>
      </w:tr>
      <w:tr w:rsidR="00EB2B55" w:rsidRPr="00672DBE" w14:paraId="6A23647A"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22336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1A983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adj7 (health adj (promotion or literacy or education or knowledge))).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4E26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11,284</w:t>
            </w:r>
          </w:p>
        </w:tc>
      </w:tr>
      <w:tr w:rsidR="00EB2B55" w:rsidRPr="00672DBE" w14:paraId="429BDB5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AD285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9507A7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F7625F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110</w:t>
            </w:r>
          </w:p>
        </w:tc>
      </w:tr>
      <w:tr w:rsidR="00EB2B55" w:rsidRPr="00672DBE" w14:paraId="6F88F83C"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3B35B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88401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adj4 (treatment* or therapeutic* or therapies or health service* or healthcare or health care or surgical procedure* or diagnostic test* or clinical pathology or pharmacy or pharmaceutical preparation* or medical equipment or medical device* or clinical practice)).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0E817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29,567</w:t>
            </w:r>
          </w:p>
        </w:tc>
      </w:tr>
      <w:tr w:rsidR="00EB2B55" w:rsidRPr="00672DBE" w14:paraId="1AE8563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A7FF5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FCB6C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8FDC7D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712</w:t>
            </w:r>
          </w:p>
        </w:tc>
      </w:tr>
      <w:tr w:rsidR="00EB2B55" w:rsidRPr="00672DBE" w14:paraId="0821D710"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E3FCD3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0B0F6B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adj5 ((health or healthcare or health care) adj5 (</w:t>
            </w:r>
            <w:proofErr w:type="spellStart"/>
            <w:r w:rsidRPr="00672DBE">
              <w:rPr>
                <w:rFonts w:ascii="Arial" w:eastAsia="Times New Roman" w:hAnsi="Arial" w:cs="Arial"/>
                <w:color w:val="222222"/>
                <w:lang w:eastAsia="en-GB"/>
              </w:rPr>
              <w:t>educat</w:t>
            </w:r>
            <w:proofErr w:type="spellEnd"/>
            <w:r w:rsidRPr="00672DBE">
              <w:rPr>
                <w:rFonts w:ascii="Arial" w:eastAsia="Times New Roman" w:hAnsi="Arial" w:cs="Arial"/>
                <w:color w:val="222222"/>
                <w:lang w:eastAsia="en-GB"/>
              </w:rPr>
              <w:t>*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F5EA1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12,312</w:t>
            </w:r>
          </w:p>
        </w:tc>
      </w:tr>
      <w:tr w:rsidR="00EB2B55" w:rsidRPr="00672DBE" w14:paraId="76129EF6"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44337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772DF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2BB02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99</w:t>
            </w:r>
          </w:p>
        </w:tc>
      </w:tr>
      <w:tr w:rsidR="00EB2B55" w:rsidRPr="00672DBE" w14:paraId="53CD61D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6943C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5AA97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Sex Factors/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2461E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223</w:t>
            </w:r>
          </w:p>
        </w:tc>
      </w:tr>
      <w:tr w:rsidR="00EB2B55" w:rsidRPr="00672DBE" w14:paraId="5FC54D9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2F5D6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1F329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11 and 15 and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E607C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r>
      <w:tr w:rsidR="00EB2B55" w:rsidRPr="00672DBE" w14:paraId="1341622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3F3E3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84307C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15 and 20 and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8DDC1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0</w:t>
            </w:r>
          </w:p>
        </w:tc>
      </w:tr>
      <w:tr w:rsidR="00EB2B55" w:rsidRPr="00672DBE" w14:paraId="65466C2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5F5F6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BDC38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 or 23 or 25 or 27 or 29 or 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7FD62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1,103</w:t>
            </w:r>
          </w:p>
        </w:tc>
      </w:tr>
      <w:tr w:rsidR="00EB2B55" w:rsidRPr="00672DBE" w14:paraId="7411FAA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9B00EE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2387BA0" w14:textId="52BF92C0"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limit 31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EB7C7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1,055</w:t>
            </w:r>
          </w:p>
        </w:tc>
      </w:tr>
      <w:tr w:rsidR="00EB2B55" w:rsidRPr="00672DBE" w14:paraId="67428E76"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C9BF5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BD80F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082A1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990,482</w:t>
            </w:r>
          </w:p>
        </w:tc>
      </w:tr>
      <w:tr w:rsidR="00EB2B55" w:rsidRPr="00672DBE" w14:paraId="4D9A3523" w14:textId="77777777" w:rsidTr="003414BB">
        <w:trPr>
          <w:trHeight w:val="774"/>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603F3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A665F4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62CE8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513,772</w:t>
            </w:r>
          </w:p>
        </w:tc>
      </w:tr>
      <w:tr w:rsidR="00EB2B55" w:rsidRPr="00672DBE" w14:paraId="0E5FB5F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F551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48BBF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5FDA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37,859</w:t>
            </w:r>
          </w:p>
        </w:tc>
      </w:tr>
      <w:tr w:rsidR="00EB2B55" w:rsidRPr="00672DBE" w14:paraId="76D6959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8D4406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B6DB4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F06E6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290,187</w:t>
            </w:r>
          </w:p>
        </w:tc>
      </w:tr>
      <w:tr w:rsidR="00EB2B55" w:rsidRPr="00672DBE" w14:paraId="3CEAE32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135032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9C654B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ACEC1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51,207</w:t>
            </w:r>
          </w:p>
        </w:tc>
      </w:tr>
      <w:tr w:rsidR="00EB2B55" w:rsidRPr="00672DBE" w14:paraId="7BCB59B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A187DF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A48AA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 or 34 or 35 or 36 or 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67E51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1,522,913</w:t>
            </w:r>
          </w:p>
        </w:tc>
      </w:tr>
      <w:tr w:rsidR="00EB2B55" w:rsidRPr="00672DBE" w14:paraId="2FDD092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3DEFE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29B87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 and 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9608D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370</w:t>
            </w:r>
          </w:p>
        </w:tc>
      </w:tr>
      <w:tr w:rsidR="00EB2B55" w:rsidRPr="00672DBE" w14:paraId="375A278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DB3EA5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30E92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39 to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6DAB8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184</w:t>
            </w:r>
          </w:p>
        </w:tc>
      </w:tr>
    </w:tbl>
    <w:p w14:paraId="18AAEC1D" w14:textId="26F82D34" w:rsidR="00EB2B55" w:rsidRDefault="00EB2B55" w:rsidP="003414BB">
      <w:pPr>
        <w:shd w:val="clear" w:color="auto" w:fill="FFFFFF"/>
        <w:spacing w:after="0" w:line="240" w:lineRule="auto"/>
        <w:rPr>
          <w:rFonts w:ascii="Arial" w:eastAsia="Times New Roman" w:hAnsi="Arial" w:cs="Arial"/>
          <w:color w:val="222222"/>
          <w:lang w:eastAsia="en-GB"/>
        </w:rPr>
      </w:pPr>
    </w:p>
    <w:p w14:paraId="54ABC2EC" w14:textId="77777777" w:rsidR="00B00C15" w:rsidRPr="00672DBE" w:rsidRDefault="00B00C15" w:rsidP="003414BB">
      <w:pPr>
        <w:shd w:val="clear" w:color="auto" w:fill="FFFFFF"/>
        <w:spacing w:after="0" w:line="240" w:lineRule="auto"/>
        <w:rPr>
          <w:rFonts w:ascii="Arial" w:eastAsia="Times New Roman" w:hAnsi="Arial" w:cs="Arial"/>
          <w:lang w:eastAsia="en-GB"/>
        </w:rPr>
      </w:pPr>
    </w:p>
    <w:p w14:paraId="7030E35B" w14:textId="67EBB787" w:rsidR="00EB2B55" w:rsidRPr="008F4CA1" w:rsidRDefault="008F4CA1" w:rsidP="003414BB">
      <w:pPr>
        <w:keepNext/>
        <w:keepLines/>
        <w:shd w:val="clear" w:color="auto" w:fill="FFFFFF"/>
        <w:spacing w:line="240" w:lineRule="auto"/>
        <w:outlineLvl w:val="4"/>
        <w:rPr>
          <w:rFonts w:ascii="Arial" w:eastAsia="Times New Roman" w:hAnsi="Arial" w:cs="Arial"/>
          <w:b/>
          <w:lang w:eastAsia="en-GB"/>
        </w:rPr>
      </w:pPr>
      <w:r w:rsidRPr="008F4CA1">
        <w:rPr>
          <w:rFonts w:ascii="Arial" w:eastAsia="Times New Roman" w:hAnsi="Arial" w:cs="Arial"/>
          <w:b/>
          <w:bCs/>
          <w:lang w:eastAsia="en-GB"/>
        </w:rPr>
        <w:t>Table A1</w:t>
      </w:r>
      <w:r w:rsidR="00457DA0">
        <w:rPr>
          <w:rFonts w:ascii="Arial" w:eastAsia="Times New Roman" w:hAnsi="Arial" w:cs="Arial"/>
          <w:b/>
          <w:bCs/>
          <w:lang w:eastAsia="en-GB"/>
        </w:rPr>
        <w:t>1</w:t>
      </w:r>
      <w:r w:rsidRPr="008F4CA1">
        <w:rPr>
          <w:rFonts w:ascii="Arial" w:eastAsia="Times New Roman" w:hAnsi="Arial" w:cs="Arial"/>
          <w:b/>
          <w:bCs/>
          <w:lang w:eastAsia="en-GB"/>
        </w:rPr>
        <w:t xml:space="preserve">. </w:t>
      </w:r>
      <w:r w:rsidR="00EB2B55" w:rsidRPr="008F4CA1">
        <w:rPr>
          <w:rFonts w:ascii="Arial" w:eastAsia="Times New Roman" w:hAnsi="Arial" w:cs="Arial"/>
          <w:b/>
          <w:bCs/>
          <w:lang w:eastAsia="en-GB"/>
        </w:rPr>
        <w:t xml:space="preserve">Cochrane Central Register of Controlled Trials </w:t>
      </w:r>
      <w:r w:rsidR="006258AC" w:rsidRPr="008F4CA1">
        <w:rPr>
          <w:rFonts w:ascii="Arial" w:eastAsia="Times New Roman" w:hAnsi="Arial" w:cs="Arial"/>
          <w:b/>
          <w:bCs/>
          <w:lang w:eastAsia="en-GB"/>
        </w:rPr>
        <w:t>search history for question</w:t>
      </w:r>
      <w:r w:rsidR="00BA6538">
        <w:rPr>
          <w:rFonts w:ascii="Arial" w:eastAsia="Times New Roman" w:hAnsi="Arial" w:cs="Arial"/>
          <w:b/>
          <w:bCs/>
          <w:lang w:eastAsia="en-GB"/>
        </w:rPr>
        <w:t>s</w:t>
      </w:r>
      <w:r w:rsidRPr="008F4CA1">
        <w:rPr>
          <w:rFonts w:ascii="Arial" w:eastAsia="Times New Roman" w:hAnsi="Arial" w:cs="Arial"/>
          <w:b/>
          <w:bCs/>
          <w:lang w:eastAsia="en-GB"/>
        </w:rPr>
        <w:t xml:space="preserve"> 3 and 4</w:t>
      </w:r>
    </w:p>
    <w:tbl>
      <w:tblPr>
        <w:tblW w:w="0" w:type="auto"/>
        <w:tblCellMar>
          <w:top w:w="15" w:type="dxa"/>
          <w:left w:w="15" w:type="dxa"/>
          <w:bottom w:w="15" w:type="dxa"/>
          <w:right w:w="15" w:type="dxa"/>
        </w:tblCellMar>
        <w:tblLook w:val="04A0" w:firstRow="1" w:lastRow="0" w:firstColumn="1" w:lastColumn="0" w:noHBand="0" w:noVBand="1"/>
      </w:tblPr>
      <w:tblGrid>
        <w:gridCol w:w="445"/>
        <w:gridCol w:w="7515"/>
        <w:gridCol w:w="1056"/>
      </w:tblGrid>
      <w:tr w:rsidR="00EB2B55" w:rsidRPr="00672DBE" w14:paraId="041A49E0" w14:textId="77777777" w:rsidTr="00B00C15">
        <w:trPr>
          <w:trHeight w:val="345"/>
          <w:tblHead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8F1D8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36DC86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5ADB58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b/>
                <w:bCs/>
                <w:color w:val="222222"/>
                <w:lang w:eastAsia="en-GB"/>
              </w:rPr>
              <w:t>Results </w:t>
            </w:r>
          </w:p>
        </w:tc>
      </w:tr>
      <w:tr w:rsidR="00EB2B55" w:rsidRPr="00672DBE" w14:paraId="5053095B"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F90C89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06BA41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Equity/ or Sexism/</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81F2F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71</w:t>
            </w:r>
          </w:p>
        </w:tc>
      </w:tr>
      <w:tr w:rsidR="00EB2B55" w:rsidRPr="00672DBE" w14:paraId="2C63F127"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C9ACC3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9A146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(gendered approach* or gender-specific or gender sensitive or gender perspective*).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0CAD6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841</w:t>
            </w:r>
          </w:p>
        </w:tc>
      </w:tr>
      <w:tr w:rsidR="00EB2B55" w:rsidRPr="00672DBE" w14:paraId="3A8C1E08"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271E4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C0D9EA" w14:textId="0E9F6468"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((gender or sex or gender-based or sex-</w:t>
            </w:r>
            <w:r w:rsidR="00112E01">
              <w:rPr>
                <w:rFonts w:ascii="Arial" w:eastAsia="Times New Roman" w:hAnsi="Arial" w:cs="Arial"/>
                <w:color w:val="222222"/>
                <w:lang w:eastAsia="en-GB"/>
              </w:rPr>
              <w:t>based</w:t>
            </w:r>
            <w:r w:rsidRPr="00672DBE">
              <w:rPr>
                <w:rFonts w:ascii="Arial" w:eastAsia="Times New Roman" w:hAnsi="Arial" w:cs="Arial"/>
                <w:color w:val="222222"/>
                <w:lang w:eastAsia="en-GB"/>
              </w:rPr>
              <w:t xml:space="preserve">) adj (equality or equity or </w:t>
            </w:r>
            <w:proofErr w:type="spellStart"/>
            <w:r w:rsidRPr="00672DBE">
              <w:rPr>
                <w:rFonts w:ascii="Arial" w:eastAsia="Times New Roman" w:hAnsi="Arial" w:cs="Arial"/>
                <w:color w:val="222222"/>
                <w:lang w:eastAsia="en-GB"/>
              </w:rPr>
              <w:t>inequit</w:t>
            </w:r>
            <w:proofErr w:type="spellEnd"/>
            <w:r w:rsidRPr="00672DBE">
              <w:rPr>
                <w:rFonts w:ascii="Arial" w:eastAsia="Times New Roman" w:hAnsi="Arial" w:cs="Arial"/>
                <w:color w:val="222222"/>
                <w:lang w:eastAsia="en-GB"/>
              </w:rPr>
              <w:t xml:space="preserve">* or </w:t>
            </w:r>
            <w:proofErr w:type="spellStart"/>
            <w:r w:rsidRPr="00672DBE">
              <w:rPr>
                <w:rFonts w:ascii="Arial" w:eastAsia="Times New Roman" w:hAnsi="Arial" w:cs="Arial"/>
                <w:color w:val="222222"/>
                <w:lang w:eastAsia="en-GB"/>
              </w:rPr>
              <w:t>inequalit</w:t>
            </w:r>
            <w:proofErr w:type="spellEnd"/>
            <w:r w:rsidRPr="00672DBE">
              <w:rPr>
                <w:rFonts w:ascii="Arial" w:eastAsia="Times New Roman" w:hAnsi="Arial" w:cs="Arial"/>
                <w:color w:val="222222"/>
                <w:lang w:eastAsia="en-GB"/>
              </w:rPr>
              <w:t xml:space="preserve">* or bias* or </w:t>
            </w:r>
            <w:proofErr w:type="spellStart"/>
            <w:r w:rsidRPr="00672DBE">
              <w:rPr>
                <w:rFonts w:ascii="Arial" w:eastAsia="Times New Roman" w:hAnsi="Arial" w:cs="Arial"/>
                <w:color w:val="222222"/>
                <w:lang w:eastAsia="en-GB"/>
              </w:rPr>
              <w:t>disparit</w:t>
            </w:r>
            <w:proofErr w:type="spellEnd"/>
            <w:r w:rsidRPr="00672DBE">
              <w:rPr>
                <w:rFonts w:ascii="Arial" w:eastAsia="Times New Roman" w:hAnsi="Arial" w:cs="Arial"/>
                <w:color w:val="222222"/>
                <w:lang w:eastAsia="en-GB"/>
              </w:rPr>
              <w:t>* or discrimination or prejudice)).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74BD3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488</w:t>
            </w:r>
          </w:p>
        </w:tc>
      </w:tr>
      <w:tr w:rsidR="00EB2B55" w:rsidRPr="00672DBE" w14:paraId="0FD7C72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68E91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FC28BB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 or 2 or 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77CB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1,340</w:t>
            </w:r>
          </w:p>
        </w:tc>
      </w:tr>
      <w:tr w:rsidR="00EB2B55" w:rsidRPr="00672DBE" w14:paraId="085B353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400CF1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161CC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Therapeutics/ or Drug Therapy/ or Patient 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5A82D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15,649</w:t>
            </w:r>
          </w:p>
        </w:tc>
      </w:tr>
      <w:tr w:rsidR="00EB2B55" w:rsidRPr="00672DBE" w14:paraId="26EE173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E14A1F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97890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Health Services/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704AB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134,068</w:t>
            </w:r>
          </w:p>
        </w:tc>
      </w:tr>
      <w:tr w:rsidR="00EB2B55" w:rsidRPr="00672DBE" w14:paraId="25F2BBA8" w14:textId="77777777" w:rsidTr="006E62C4">
        <w:trPr>
          <w:trHeight w:val="557"/>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FD1AD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6FC0BC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Patient Care Management/ or Comprehensive Dental Care/ or Patient Care Planning/ or Primary Health Care/ or "Continuity Of Patient Care"/ or Patient-</w:t>
            </w:r>
            <w:proofErr w:type="spellStart"/>
            <w:r w:rsidRPr="00672DBE">
              <w:rPr>
                <w:rFonts w:ascii="Arial" w:eastAsia="Times New Roman" w:hAnsi="Arial" w:cs="Arial"/>
                <w:color w:val="222222"/>
                <w:lang w:eastAsia="en-GB"/>
              </w:rPr>
              <w:t>Centered</w:t>
            </w:r>
            <w:proofErr w:type="spellEnd"/>
            <w:r w:rsidRPr="00672DBE">
              <w:rPr>
                <w:rFonts w:ascii="Arial" w:eastAsia="Times New Roman" w:hAnsi="Arial" w:cs="Arial"/>
                <w:color w:val="222222"/>
                <w:lang w:eastAsia="en-GB"/>
              </w:rPr>
              <w:t xml:space="preserve"> Care/ or Progressive Patient Care/ or "Delivery Of Health Care"/ or "Delivery Of Health Care, Integrated"/ or Health Services Accessibility/ or Access To Primary Care/ or Health Equity/ or Right To Health/ or Universal Health Care/ or Healthcare Disparities/ or Disease Management/ or Pain Management/ or "Medication Review"/ or Patient Care Team/ or Patient Selection/ or "Quality Of Health Care"/ or Outcome Assessment, Health Care/ or Patient Outcome Assessment/ or Patient Reported Outcome Measures/ or Quality Assurance, Health Care/ or Quality Indicators, Health Care/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5D221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35,077</w:t>
            </w:r>
          </w:p>
        </w:tc>
      </w:tr>
      <w:tr w:rsidR="00EB2B55" w:rsidRPr="00672DBE" w14:paraId="444662E9"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15DEF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E16A54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Health Planning/ or Health Care Rationing/ or "Health Services Needs </w:t>
            </w:r>
            <w:proofErr w:type="gramStart"/>
            <w:r w:rsidRPr="00672DBE">
              <w:rPr>
                <w:rFonts w:ascii="Arial" w:eastAsia="Times New Roman" w:hAnsi="Arial" w:cs="Arial"/>
                <w:color w:val="222222"/>
                <w:lang w:eastAsia="en-GB"/>
              </w:rPr>
              <w:t>And</w:t>
            </w:r>
            <w:proofErr w:type="gramEnd"/>
            <w:r w:rsidRPr="00672DBE">
              <w:rPr>
                <w:rFonts w:ascii="Arial" w:eastAsia="Times New Roman" w:hAnsi="Arial" w:cs="Arial"/>
                <w:color w:val="222222"/>
                <w:lang w:eastAsia="en-GB"/>
              </w:rPr>
              <w:t xml:space="preserve"> Demand"/ or National Health Programs/ or State Medicine/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5CEA96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1,477</w:t>
            </w:r>
          </w:p>
        </w:tc>
      </w:tr>
      <w:tr w:rsidR="00EB2B55" w:rsidRPr="00672DBE" w14:paraId="6C60773A"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B4D53D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0965F1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Pharmaceutical Services/ or Preventive Health Services/ or Diagnostic Services/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3CA8BC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834</w:t>
            </w:r>
          </w:p>
        </w:tc>
      </w:tr>
      <w:tr w:rsidR="00EB2B55" w:rsidRPr="00672DBE" w14:paraId="1D05B06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BCADF8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0EE612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"Diagnostic Techniques </w:t>
            </w:r>
            <w:proofErr w:type="gramStart"/>
            <w:r w:rsidRPr="00672DBE">
              <w:rPr>
                <w:rFonts w:ascii="Arial" w:eastAsia="Times New Roman" w:hAnsi="Arial" w:cs="Arial"/>
                <w:color w:val="222222"/>
                <w:lang w:eastAsia="en-GB"/>
              </w:rPr>
              <w:t>And</w:t>
            </w:r>
            <w:proofErr w:type="gramEnd"/>
            <w:r w:rsidRPr="00672DBE">
              <w:rPr>
                <w:rFonts w:ascii="Arial" w:eastAsia="Times New Roman" w:hAnsi="Arial" w:cs="Arial"/>
                <w:color w:val="222222"/>
                <w:lang w:eastAsia="en-GB"/>
              </w:rPr>
              <w:t xml:space="preserve"> Procedures"/ or Diagnostic Imaging/</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4124C4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334</w:t>
            </w:r>
          </w:p>
        </w:tc>
      </w:tr>
      <w:tr w:rsidR="00EB2B55" w:rsidRPr="00672DBE" w14:paraId="2C2DF43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E4CA95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E08831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 or 6 or 7 or 8 or 9 or 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799A3C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169,153</w:t>
            </w:r>
          </w:p>
        </w:tc>
      </w:tr>
      <w:tr w:rsidR="00EB2B55" w:rsidRPr="00672DBE" w14:paraId="45BCA73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9FFE9A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9B2B00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7182E8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211</w:t>
            </w:r>
          </w:p>
        </w:tc>
      </w:tr>
      <w:tr w:rsidR="00EB2B55" w:rsidRPr="00672DBE" w14:paraId="1E3CBFB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66A93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A7769F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Women/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2291CA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290</w:t>
            </w:r>
          </w:p>
        </w:tc>
      </w:tr>
      <w:tr w:rsidR="00EB2B55" w:rsidRPr="00672DBE" w14:paraId="577581A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934D7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D0F5F0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BCEA4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990,752</w:t>
            </w:r>
          </w:p>
        </w:tc>
      </w:tr>
      <w:tr w:rsidR="00EB2B55" w:rsidRPr="00672DBE" w14:paraId="06DC12C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FCFE2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ADEC8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13 or 14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8574418"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990,752</w:t>
            </w:r>
          </w:p>
        </w:tc>
      </w:tr>
      <w:tr w:rsidR="00EB2B55" w:rsidRPr="00672DBE" w14:paraId="7915390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C92FC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83A330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 and 15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BC3FED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207</w:t>
            </w:r>
          </w:p>
        </w:tc>
      </w:tr>
      <w:tr w:rsidR="00EB2B55" w:rsidRPr="00672DBE" w14:paraId="747E8582"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E39AC1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58BD39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Education/ or Health Literacy/ or Health Fairs/ or Health Promotion/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040E42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12,266</w:t>
            </w:r>
          </w:p>
        </w:tc>
      </w:tr>
      <w:tr w:rsidR="00EB2B55" w:rsidRPr="00672DBE" w14:paraId="776E4C9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4D4D36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3BEBD9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Knowledge, Attitudes,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7CBD1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7,385</w:t>
            </w:r>
          </w:p>
        </w:tc>
      </w:tr>
      <w:tr w:rsidR="00EB2B55" w:rsidRPr="00672DBE" w14:paraId="742CB646"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7DB3D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A684D2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(health adj (promotion or literacy or education or knowledge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642D5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32,318</w:t>
            </w:r>
          </w:p>
        </w:tc>
      </w:tr>
      <w:tr w:rsidR="00EB2B55" w:rsidRPr="00672DBE" w14:paraId="559E53B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259A0C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37ABE9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 or 18 or 19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EEE39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32,320</w:t>
            </w:r>
          </w:p>
        </w:tc>
      </w:tr>
      <w:tr w:rsidR="00EB2B55" w:rsidRPr="00672DBE" w14:paraId="2F91A5A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5FDE22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DAC49E"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16 and 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EB5CD4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59</w:t>
            </w:r>
          </w:p>
        </w:tc>
      </w:tr>
      <w:tr w:rsidR="00EB2B55" w:rsidRPr="00672DBE" w14:paraId="19D6206F"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18D486C"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4200CA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adj7 (health adj (promotion or literacy or education or knowledge))).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92766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6,523</w:t>
            </w:r>
          </w:p>
        </w:tc>
      </w:tr>
      <w:tr w:rsidR="00EB2B55" w:rsidRPr="00672DBE" w14:paraId="12B5137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6A702B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lastRenderedPageBreak/>
              <w:t>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01EF4E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EA6090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23</w:t>
            </w:r>
          </w:p>
        </w:tc>
      </w:tr>
      <w:tr w:rsidR="00EB2B55" w:rsidRPr="00672DBE" w14:paraId="5584C8FF"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7B9298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7B03B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adj4 (treatment* or therapeutic* or therapies or health service* or healthcare or health care or surgical procedure* or diagnostic test* or clinical pathology or pharmacy or pharmaceutical preparation* or medical equipment or medical device* or clinical practice)).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B49B3D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177,006</w:t>
            </w:r>
          </w:p>
        </w:tc>
      </w:tr>
      <w:tr w:rsidR="00EB2B55" w:rsidRPr="00672DBE" w14:paraId="25E563A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1FB79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5D2738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5A77FF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218</w:t>
            </w:r>
          </w:p>
        </w:tc>
      </w:tr>
      <w:tr w:rsidR="00EB2B55" w:rsidRPr="00672DBE" w14:paraId="795F9193"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C2BC7B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69A9C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w:t>
            </w:r>
            <w:proofErr w:type="spellStart"/>
            <w:r w:rsidRPr="00672DBE">
              <w:rPr>
                <w:rFonts w:ascii="Arial" w:eastAsia="Times New Roman" w:hAnsi="Arial" w:cs="Arial"/>
                <w:color w:val="222222"/>
                <w:lang w:eastAsia="en-GB"/>
              </w:rPr>
              <w:t>wom#n</w:t>
            </w:r>
            <w:proofErr w:type="spellEnd"/>
            <w:r w:rsidRPr="00672DBE">
              <w:rPr>
                <w:rFonts w:ascii="Arial" w:eastAsia="Times New Roman" w:hAnsi="Arial" w:cs="Arial"/>
                <w:color w:val="222222"/>
                <w:lang w:eastAsia="en-GB"/>
              </w:rPr>
              <w:t xml:space="preserve"> or girl? or mother? or wife or wives or female?) adj5 ((health or healthcare or health care) adj5 (</w:t>
            </w:r>
            <w:proofErr w:type="spellStart"/>
            <w:r w:rsidRPr="00672DBE">
              <w:rPr>
                <w:rFonts w:ascii="Arial" w:eastAsia="Times New Roman" w:hAnsi="Arial" w:cs="Arial"/>
                <w:color w:val="222222"/>
                <w:lang w:eastAsia="en-GB"/>
              </w:rPr>
              <w:t>educat</w:t>
            </w:r>
            <w:proofErr w:type="spellEnd"/>
            <w:r w:rsidRPr="00672DBE">
              <w:rPr>
                <w:rFonts w:ascii="Arial" w:eastAsia="Times New Roman" w:hAnsi="Arial" w:cs="Arial"/>
                <w:color w:val="222222"/>
                <w:lang w:eastAsia="en-GB"/>
              </w:rPr>
              <w:t>* or counsel* or teach* or mentor*))).</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4847A9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6,526</w:t>
            </w:r>
          </w:p>
        </w:tc>
      </w:tr>
      <w:tr w:rsidR="00EB2B55" w:rsidRPr="00672DBE" w14:paraId="62B4ADC5"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260A05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F552F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26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7CFAF6"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r>
      <w:tr w:rsidR="00EB2B55" w:rsidRPr="00672DBE" w14:paraId="37F3823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87B48E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CA8230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Sex Factors/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9539E7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7,053</w:t>
            </w:r>
          </w:p>
        </w:tc>
      </w:tr>
      <w:tr w:rsidR="00EB2B55" w:rsidRPr="00672DBE" w14:paraId="2FEC811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3D848C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B6D0CB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11 and 15 and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18D2C6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61</w:t>
            </w:r>
          </w:p>
        </w:tc>
      </w:tr>
      <w:tr w:rsidR="00EB2B55" w:rsidRPr="00672DBE" w14:paraId="684CEB8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F21593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68C1F0"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 and 15 and 20 and 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E4F30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20</w:t>
            </w:r>
          </w:p>
        </w:tc>
      </w:tr>
      <w:tr w:rsidR="00EB2B55" w:rsidRPr="00672DBE" w14:paraId="309EF83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9F5520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3595754"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21 or 23 or 25 or 27 or 29 or 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577D12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317</w:t>
            </w:r>
          </w:p>
        </w:tc>
      </w:tr>
      <w:tr w:rsidR="00EB2B55" w:rsidRPr="00672DBE" w14:paraId="7A4E39F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DA5414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7C61ED4" w14:textId="1A6DAB2B"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limit 31 to </w:t>
            </w:r>
            <w:r w:rsidR="00160D5E" w:rsidRPr="00672DBE">
              <w:rPr>
                <w:rFonts w:ascii="Arial" w:eastAsia="Times New Roman" w:hAnsi="Arial" w:cs="Arial"/>
                <w:color w:val="222222"/>
                <w:lang w:eastAsia="en-GB"/>
              </w:rPr>
              <w:t>English</w:t>
            </w:r>
            <w:r w:rsidRPr="00672DBE">
              <w:rPr>
                <w:rFonts w:ascii="Arial" w:eastAsia="Times New Roman" w:hAnsi="Arial" w:cs="Arial"/>
                <w:color w:val="222222"/>
                <w:lang w:eastAsia="en-GB"/>
              </w:rPr>
              <w:t xml:space="preserve"> language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99834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307</w:t>
            </w:r>
          </w:p>
        </w:tc>
      </w:tr>
      <w:tr w:rsidR="00EB2B55" w:rsidRPr="00672DBE" w14:paraId="501604CF"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611DC3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639379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exp Observation/ or exp Epidemiologic Studies/ or exp Case-Control Studies/ or exp Cohort Studies/ or exp Controlled Before-After Studies/ or exp Cross-Sectional Studies/ or exp Clinical Trials/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C15818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195,918</w:t>
            </w:r>
          </w:p>
        </w:tc>
      </w:tr>
      <w:tr w:rsidR="00EB2B55" w:rsidRPr="00672DBE" w14:paraId="2FBEC293"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C355F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BC59343"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 xml:space="preserve">((observation* or </w:t>
            </w:r>
            <w:proofErr w:type="spellStart"/>
            <w:r w:rsidRPr="00672DBE">
              <w:rPr>
                <w:rFonts w:ascii="Arial" w:eastAsia="Times New Roman" w:hAnsi="Arial" w:cs="Arial"/>
                <w:color w:val="222222"/>
                <w:lang w:eastAsia="en-GB"/>
              </w:rPr>
              <w:t>epidemiolog</w:t>
            </w:r>
            <w:proofErr w:type="spellEnd"/>
            <w:r w:rsidRPr="00672DBE">
              <w:rPr>
                <w:rFonts w:ascii="Arial" w:eastAsia="Times New Roman" w:hAnsi="Arial" w:cs="Arial"/>
                <w:color w:val="222222"/>
                <w:lang w:eastAsia="en-GB"/>
              </w:rPr>
              <w:t xml:space="preserve">* or case-control or cohort or before-after or cross-sectional or "before and after" or </w:t>
            </w:r>
            <w:proofErr w:type="spellStart"/>
            <w:r w:rsidRPr="00672DBE">
              <w:rPr>
                <w:rFonts w:ascii="Arial" w:eastAsia="Times New Roman" w:hAnsi="Arial" w:cs="Arial"/>
                <w:color w:val="222222"/>
                <w:lang w:eastAsia="en-GB"/>
              </w:rPr>
              <w:t>crosssectional</w:t>
            </w:r>
            <w:proofErr w:type="spellEnd"/>
            <w:r w:rsidRPr="00672DBE">
              <w:rPr>
                <w:rFonts w:ascii="Arial" w:eastAsia="Times New Roman" w:hAnsi="Arial" w:cs="Arial"/>
                <w:color w:val="222222"/>
                <w:lang w:eastAsia="en-GB"/>
              </w:rPr>
              <w:t>) adj (study or studies)).</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05AF438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62,547</w:t>
            </w:r>
          </w:p>
        </w:tc>
      </w:tr>
      <w:tr w:rsidR="00EB2B55" w:rsidRPr="00672DBE" w14:paraId="4A5FAE22"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43B592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3D7AED1"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Evidence Based Practice/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45A619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771</w:t>
            </w:r>
          </w:p>
        </w:tc>
      </w:tr>
      <w:tr w:rsidR="00EB2B55" w:rsidRPr="00672DBE" w14:paraId="1B3FE1B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53A82FF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645A405"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guideline*.</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8B24CF9"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54,758</w:t>
            </w:r>
          </w:p>
        </w:tc>
      </w:tr>
      <w:tr w:rsidR="00EB2B55" w:rsidRPr="00672DBE" w14:paraId="11A48FA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CC333F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7ACBE8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(program* adj3 (develop* or implement*)).</w:t>
            </w:r>
            <w:proofErr w:type="spellStart"/>
            <w:r w:rsidRPr="00672DBE">
              <w:rPr>
                <w:rFonts w:ascii="Arial" w:eastAsia="Times New Roman" w:hAnsi="Arial" w:cs="Arial"/>
                <w:color w:val="222222"/>
                <w:lang w:eastAsia="en-GB"/>
              </w:rPr>
              <w:t>mp</w:t>
            </w:r>
            <w:proofErr w:type="spellEnd"/>
            <w:r w:rsidRPr="00672DBE">
              <w:rPr>
                <w:rFonts w:ascii="Arial" w:eastAsia="Times New Roman" w:hAnsi="Arial" w:cs="Arial"/>
                <w:color w:val="222222"/>
                <w:lang w:eastAsia="en-GB"/>
              </w:rPr>
              <w: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916255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10,247</w:t>
            </w:r>
          </w:p>
        </w:tc>
      </w:tr>
      <w:tr w:rsidR="00EB2B55" w:rsidRPr="00672DBE" w14:paraId="2219672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1286B0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369E2E6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33 or 34 or 35 or 36 or 37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6D66F6DD"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285,865</w:t>
            </w:r>
          </w:p>
        </w:tc>
      </w:tr>
      <w:tr w:rsidR="00EB2B55" w:rsidRPr="00672DBE" w14:paraId="63E2181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43965E17"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AA470EB"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32 and 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118CDC0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94</w:t>
            </w:r>
          </w:p>
        </w:tc>
      </w:tr>
      <w:tr w:rsidR="00EB2B55" w:rsidRPr="00672DBE" w14:paraId="48E7C3D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3C212FF"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775FC422"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limit 39 to yr="2014 -Current"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hideMark/>
          </w:tcPr>
          <w:p w14:paraId="2FF4442A" w14:textId="77777777" w:rsidR="00EB2B55" w:rsidRPr="00672DBE" w:rsidRDefault="00EB2B55" w:rsidP="003414BB">
            <w:pPr>
              <w:shd w:val="clear" w:color="auto" w:fill="FFFFFF"/>
              <w:spacing w:after="0" w:line="240" w:lineRule="auto"/>
              <w:rPr>
                <w:rFonts w:ascii="Arial" w:eastAsia="Times New Roman" w:hAnsi="Arial" w:cs="Arial"/>
                <w:lang w:eastAsia="en-GB"/>
              </w:rPr>
            </w:pPr>
            <w:r w:rsidRPr="00672DBE">
              <w:rPr>
                <w:rFonts w:ascii="Arial" w:eastAsia="Times New Roman" w:hAnsi="Arial" w:cs="Arial"/>
                <w:color w:val="222222"/>
                <w:lang w:eastAsia="en-GB"/>
              </w:rPr>
              <w:t>45</w:t>
            </w:r>
          </w:p>
        </w:tc>
      </w:tr>
    </w:tbl>
    <w:p w14:paraId="11905DC3" w14:textId="44DD8B89" w:rsidR="006258AC" w:rsidRDefault="006258AC">
      <w:pPr>
        <w:rPr>
          <w:rFonts w:ascii="Arial" w:eastAsia="Times New Roman" w:hAnsi="Arial" w:cs="Arial"/>
          <w:color w:val="222222"/>
          <w:lang w:eastAsia="en-GB"/>
        </w:rPr>
      </w:pPr>
      <w:r>
        <w:rPr>
          <w:rFonts w:ascii="Arial" w:eastAsia="Times New Roman" w:hAnsi="Arial" w:cs="Arial"/>
          <w:color w:val="222222"/>
          <w:lang w:eastAsia="en-GB"/>
        </w:rPr>
        <w:br w:type="page"/>
      </w:r>
    </w:p>
    <w:p w14:paraId="69B6A276" w14:textId="77777777" w:rsidR="004F776F" w:rsidRDefault="008F4CA1" w:rsidP="008F4CA1">
      <w:pPr>
        <w:pStyle w:val="ListParagraph"/>
        <w:ind w:left="0"/>
        <w:jc w:val="both"/>
        <w:rPr>
          <w:rFonts w:ascii="Arial" w:eastAsia="Times New Roman" w:hAnsi="Arial" w:cs="Arial"/>
          <w:b/>
          <w:color w:val="212121"/>
          <w:lang w:eastAsia="en-GB"/>
        </w:rPr>
      </w:pPr>
      <w:r>
        <w:rPr>
          <w:rFonts w:ascii="Arial" w:eastAsia="Times New Roman" w:hAnsi="Arial" w:cs="Arial"/>
          <w:b/>
          <w:color w:val="212121"/>
          <w:lang w:eastAsia="en-GB"/>
        </w:rPr>
        <w:lastRenderedPageBreak/>
        <w:t>Table A1</w:t>
      </w:r>
      <w:r w:rsidR="00457DA0">
        <w:rPr>
          <w:rFonts w:ascii="Arial" w:eastAsia="Times New Roman" w:hAnsi="Arial" w:cs="Arial"/>
          <w:b/>
          <w:color w:val="212121"/>
          <w:lang w:eastAsia="en-GB"/>
        </w:rPr>
        <w:t>2</w:t>
      </w:r>
      <w:r>
        <w:rPr>
          <w:rFonts w:ascii="Arial" w:eastAsia="Times New Roman" w:hAnsi="Arial" w:cs="Arial"/>
          <w:b/>
          <w:color w:val="212121"/>
          <w:lang w:eastAsia="en-GB"/>
        </w:rPr>
        <w:t xml:space="preserve">. </w:t>
      </w:r>
    </w:p>
    <w:p w14:paraId="1B298E30" w14:textId="3F66E6F2" w:rsidR="00EB2B55" w:rsidRPr="004F776F" w:rsidRDefault="008F4CA1" w:rsidP="008F4CA1">
      <w:pPr>
        <w:pStyle w:val="ListParagraph"/>
        <w:ind w:left="0"/>
        <w:jc w:val="both"/>
        <w:rPr>
          <w:rFonts w:ascii="Arial" w:eastAsia="Times New Roman" w:hAnsi="Arial" w:cs="Arial"/>
          <w:color w:val="212121"/>
          <w:lang w:eastAsia="en-GB"/>
        </w:rPr>
      </w:pPr>
      <w:r w:rsidRPr="008F4CA1">
        <w:rPr>
          <w:rFonts w:ascii="Arial" w:eastAsia="Times New Roman" w:hAnsi="Arial" w:cs="Arial"/>
          <w:b/>
          <w:color w:val="212121"/>
          <w:lang w:eastAsia="en-GB"/>
        </w:rPr>
        <w:t xml:space="preserve">Concept Grid for Research Question </w:t>
      </w:r>
      <w:r w:rsidR="008A06A5" w:rsidRPr="008F4CA1">
        <w:rPr>
          <w:rFonts w:ascii="Arial" w:eastAsia="Times New Roman" w:hAnsi="Arial" w:cs="Arial"/>
          <w:b/>
          <w:color w:val="212121"/>
          <w:lang w:eastAsia="en-GB"/>
        </w:rPr>
        <w:t xml:space="preserve">5: </w:t>
      </w:r>
      <w:r w:rsidRPr="004F776F">
        <w:rPr>
          <w:rFonts w:ascii="Arial" w:eastAsia="Times New Roman" w:hAnsi="Arial" w:cs="Arial"/>
          <w:color w:val="212121"/>
          <w:lang w:eastAsia="en-GB"/>
        </w:rPr>
        <w:t>What are the gaps in data collection? e.g. instances where standard reporting does not include disaggregation by sex and/or gender and identify</w:t>
      </w:r>
    </w:p>
    <w:p w14:paraId="6F69A59C" w14:textId="77777777" w:rsidR="003E5206" w:rsidRPr="00672DBE" w:rsidRDefault="003E5206" w:rsidP="008F4CA1">
      <w:pPr>
        <w:pStyle w:val="ListParagraph"/>
        <w:ind w:left="0"/>
        <w:jc w:val="both"/>
        <w:rPr>
          <w:rFonts w:ascii="Arial" w:eastAsia="Times New Roman" w:hAnsi="Arial" w:cs="Arial"/>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535"/>
        <w:gridCol w:w="1857"/>
        <w:gridCol w:w="5614"/>
      </w:tblGrid>
      <w:tr w:rsidR="00EB2B55" w:rsidRPr="00672DBE" w14:paraId="290FB979" w14:textId="77777777" w:rsidTr="008F4CA1">
        <w:tc>
          <w:tcPr>
            <w:tcW w:w="153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4407D9D" w14:textId="77777777" w:rsidR="00EB2B55" w:rsidRPr="008F4CA1" w:rsidRDefault="00EB2B55" w:rsidP="003A788C">
            <w:pPr>
              <w:keepNext/>
              <w:keepLines/>
              <w:spacing w:after="0" w:line="240" w:lineRule="auto"/>
              <w:jc w:val="center"/>
              <w:rPr>
                <w:rFonts w:ascii="Arial" w:eastAsia="Times New Roman" w:hAnsi="Arial" w:cs="Arial"/>
                <w:sz w:val="21"/>
                <w:szCs w:val="21"/>
                <w:lang w:eastAsia="en-GB"/>
              </w:rPr>
            </w:pPr>
            <w:r w:rsidRPr="008F4CA1">
              <w:rPr>
                <w:rFonts w:ascii="Arial" w:eastAsia="Times New Roman" w:hAnsi="Arial" w:cs="Arial"/>
                <w:b/>
                <w:bCs/>
                <w:color w:val="212121"/>
                <w:sz w:val="21"/>
                <w:szCs w:val="21"/>
                <w:lang w:eastAsia="en-GB"/>
              </w:rPr>
              <w:t>CONCEPT GRID</w:t>
            </w:r>
          </w:p>
        </w:tc>
        <w:tc>
          <w:tcPr>
            <w:tcW w:w="1857"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91FB006" w14:textId="77777777" w:rsidR="00EB2B55" w:rsidRPr="008F4CA1" w:rsidRDefault="00EB2B55" w:rsidP="003A788C">
            <w:pPr>
              <w:keepNext/>
              <w:keepLines/>
              <w:spacing w:after="0" w:line="240" w:lineRule="auto"/>
              <w:rPr>
                <w:rFonts w:ascii="Arial" w:eastAsia="Times New Roman" w:hAnsi="Arial" w:cs="Arial"/>
                <w:sz w:val="21"/>
                <w:szCs w:val="21"/>
                <w:lang w:eastAsia="en-GB"/>
              </w:rPr>
            </w:pPr>
            <w:proofErr w:type="spellStart"/>
            <w:r w:rsidRPr="008F4CA1">
              <w:rPr>
                <w:rFonts w:ascii="Arial" w:eastAsia="Times New Roman" w:hAnsi="Arial" w:cs="Arial"/>
                <w:b/>
                <w:bCs/>
                <w:color w:val="212121"/>
                <w:sz w:val="21"/>
                <w:szCs w:val="21"/>
                <w:lang w:eastAsia="en-GB"/>
              </w:rPr>
              <w:t>MeSH</w:t>
            </w:r>
            <w:proofErr w:type="spellEnd"/>
            <w:r w:rsidRPr="008F4CA1">
              <w:rPr>
                <w:rFonts w:ascii="Arial" w:eastAsia="Times New Roman" w:hAnsi="Arial" w:cs="Arial"/>
                <w:b/>
                <w:bCs/>
                <w:color w:val="212121"/>
                <w:sz w:val="21"/>
                <w:szCs w:val="21"/>
                <w:lang w:eastAsia="en-GB"/>
              </w:rPr>
              <w:t xml:space="preserve"> terms</w:t>
            </w:r>
          </w:p>
        </w:tc>
        <w:tc>
          <w:tcPr>
            <w:tcW w:w="561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2FB0B4AA" w14:textId="77777777" w:rsidR="00EB2B55" w:rsidRPr="008F4CA1" w:rsidRDefault="00EB2B55" w:rsidP="003A788C">
            <w:pPr>
              <w:keepNext/>
              <w:keepLines/>
              <w:spacing w:after="0" w:line="240" w:lineRule="auto"/>
              <w:rPr>
                <w:rFonts w:ascii="Arial" w:eastAsia="Times New Roman" w:hAnsi="Arial" w:cs="Arial"/>
                <w:sz w:val="21"/>
                <w:szCs w:val="21"/>
                <w:lang w:eastAsia="en-GB"/>
              </w:rPr>
            </w:pPr>
            <w:proofErr w:type="spellStart"/>
            <w:r w:rsidRPr="008F4CA1">
              <w:rPr>
                <w:rFonts w:ascii="Arial" w:eastAsia="Times New Roman" w:hAnsi="Arial" w:cs="Arial"/>
                <w:b/>
                <w:bCs/>
                <w:color w:val="212121"/>
                <w:sz w:val="21"/>
                <w:szCs w:val="21"/>
                <w:lang w:eastAsia="en-GB"/>
              </w:rPr>
              <w:t>Textwords</w:t>
            </w:r>
            <w:proofErr w:type="spellEnd"/>
          </w:p>
        </w:tc>
      </w:tr>
      <w:tr w:rsidR="00EB2B55" w:rsidRPr="00672DBE" w14:paraId="33EA5709" w14:textId="77777777" w:rsidTr="008F4CA1">
        <w:trPr>
          <w:trHeight w:val="441"/>
        </w:trPr>
        <w:tc>
          <w:tcPr>
            <w:tcW w:w="153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5B4B1705"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b/>
                <w:bCs/>
                <w:color w:val="212121"/>
                <w:sz w:val="21"/>
                <w:szCs w:val="21"/>
                <w:lang w:eastAsia="en-GB"/>
              </w:rPr>
              <w:t>Problem</w:t>
            </w:r>
          </w:p>
          <w:p w14:paraId="6ABF0044" w14:textId="77777777" w:rsidR="00EB2B55" w:rsidRPr="008F4CA1" w:rsidRDefault="00EB2B55" w:rsidP="003A788C">
            <w:pPr>
              <w:keepNext/>
              <w:keepLines/>
              <w:spacing w:after="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Gender bias</w:t>
            </w:r>
          </w:p>
        </w:tc>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7A2EA8"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Gender Equity/ </w:t>
            </w:r>
          </w:p>
          <w:p w14:paraId="365CC9D5"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Sexism/</w:t>
            </w:r>
          </w:p>
        </w:tc>
        <w:tc>
          <w:tcPr>
            <w:tcW w:w="5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7D250"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(gendered approach* or gender-specific or gender sensitive or gender perspective*).</w:t>
            </w:r>
            <w:proofErr w:type="spellStart"/>
            <w:r w:rsidRPr="008F4CA1">
              <w:rPr>
                <w:rFonts w:ascii="Arial" w:eastAsia="Times New Roman" w:hAnsi="Arial" w:cs="Arial"/>
                <w:color w:val="212121"/>
                <w:sz w:val="21"/>
                <w:szCs w:val="21"/>
                <w:lang w:eastAsia="en-GB"/>
              </w:rPr>
              <w:t>mp</w:t>
            </w:r>
            <w:proofErr w:type="spellEnd"/>
            <w:r w:rsidRPr="008F4CA1">
              <w:rPr>
                <w:rFonts w:ascii="Arial" w:eastAsia="Times New Roman" w:hAnsi="Arial" w:cs="Arial"/>
                <w:color w:val="212121"/>
                <w:sz w:val="21"/>
                <w:szCs w:val="21"/>
                <w:lang w:eastAsia="en-GB"/>
              </w:rPr>
              <w:t>.</w:t>
            </w:r>
          </w:p>
          <w:p w14:paraId="470C0A0C" w14:textId="5C8E71F1" w:rsidR="00EB2B55" w:rsidRPr="008F4CA1" w:rsidRDefault="00EB2B55" w:rsidP="003A788C">
            <w:pPr>
              <w:keepNext/>
              <w:keepLines/>
              <w:spacing w:after="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 xml:space="preserve">((gender or sex or gender-based or sex-based) adj (equality or equity or </w:t>
            </w:r>
            <w:proofErr w:type="spellStart"/>
            <w:r w:rsidRPr="008F4CA1">
              <w:rPr>
                <w:rFonts w:ascii="Arial" w:eastAsia="Times New Roman" w:hAnsi="Arial" w:cs="Arial"/>
                <w:color w:val="212121"/>
                <w:sz w:val="21"/>
                <w:szCs w:val="21"/>
                <w:lang w:eastAsia="en-GB"/>
              </w:rPr>
              <w:t>inequit</w:t>
            </w:r>
            <w:proofErr w:type="spellEnd"/>
            <w:r w:rsidRPr="008F4CA1">
              <w:rPr>
                <w:rFonts w:ascii="Arial" w:eastAsia="Times New Roman" w:hAnsi="Arial" w:cs="Arial"/>
                <w:color w:val="212121"/>
                <w:sz w:val="21"/>
                <w:szCs w:val="21"/>
                <w:lang w:eastAsia="en-GB"/>
              </w:rPr>
              <w:t xml:space="preserve">* or </w:t>
            </w:r>
            <w:proofErr w:type="spellStart"/>
            <w:r w:rsidRPr="008F4CA1">
              <w:rPr>
                <w:rFonts w:ascii="Arial" w:eastAsia="Times New Roman" w:hAnsi="Arial" w:cs="Arial"/>
                <w:color w:val="212121"/>
                <w:sz w:val="21"/>
                <w:szCs w:val="21"/>
                <w:lang w:eastAsia="en-GB"/>
              </w:rPr>
              <w:t>inequalit</w:t>
            </w:r>
            <w:proofErr w:type="spellEnd"/>
            <w:r w:rsidRPr="008F4CA1">
              <w:rPr>
                <w:rFonts w:ascii="Arial" w:eastAsia="Times New Roman" w:hAnsi="Arial" w:cs="Arial"/>
                <w:color w:val="212121"/>
                <w:sz w:val="21"/>
                <w:szCs w:val="21"/>
                <w:lang w:eastAsia="en-GB"/>
              </w:rPr>
              <w:t xml:space="preserve">* or bias* or </w:t>
            </w:r>
            <w:proofErr w:type="spellStart"/>
            <w:r w:rsidRPr="008F4CA1">
              <w:rPr>
                <w:rFonts w:ascii="Arial" w:eastAsia="Times New Roman" w:hAnsi="Arial" w:cs="Arial"/>
                <w:color w:val="212121"/>
                <w:sz w:val="21"/>
                <w:szCs w:val="21"/>
                <w:lang w:eastAsia="en-GB"/>
              </w:rPr>
              <w:t>disparit</w:t>
            </w:r>
            <w:proofErr w:type="spellEnd"/>
            <w:r w:rsidRPr="008F4CA1">
              <w:rPr>
                <w:rFonts w:ascii="Arial" w:eastAsia="Times New Roman" w:hAnsi="Arial" w:cs="Arial"/>
                <w:color w:val="212121"/>
                <w:sz w:val="21"/>
                <w:szCs w:val="21"/>
                <w:lang w:eastAsia="en-GB"/>
              </w:rPr>
              <w:t>* or discrimination or prejudice)).</w:t>
            </w:r>
            <w:proofErr w:type="spellStart"/>
            <w:r w:rsidRPr="008F4CA1">
              <w:rPr>
                <w:rFonts w:ascii="Arial" w:eastAsia="Times New Roman" w:hAnsi="Arial" w:cs="Arial"/>
                <w:color w:val="212121"/>
                <w:sz w:val="21"/>
                <w:szCs w:val="21"/>
                <w:lang w:eastAsia="en-GB"/>
              </w:rPr>
              <w:t>mp</w:t>
            </w:r>
            <w:proofErr w:type="spellEnd"/>
            <w:r w:rsidRPr="008F4CA1">
              <w:rPr>
                <w:rFonts w:ascii="Arial" w:eastAsia="Times New Roman" w:hAnsi="Arial" w:cs="Arial"/>
                <w:color w:val="212121"/>
                <w:sz w:val="21"/>
                <w:szCs w:val="21"/>
                <w:lang w:eastAsia="en-GB"/>
              </w:rPr>
              <w:t>.</w:t>
            </w:r>
          </w:p>
        </w:tc>
      </w:tr>
      <w:tr w:rsidR="00EB2B55" w:rsidRPr="00672DBE" w14:paraId="7F07FFB1" w14:textId="77777777" w:rsidTr="008F4CA1">
        <w:tc>
          <w:tcPr>
            <w:tcW w:w="153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4019C498"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b/>
                <w:bCs/>
                <w:color w:val="212121"/>
                <w:sz w:val="21"/>
                <w:szCs w:val="21"/>
                <w:lang w:eastAsia="en-GB"/>
              </w:rPr>
              <w:t>Interest</w:t>
            </w:r>
          </w:p>
          <w:p w14:paraId="3797CA45" w14:textId="77777777" w:rsidR="00EB2B55" w:rsidRPr="008F4CA1" w:rsidRDefault="00EB2B55" w:rsidP="003A788C">
            <w:pPr>
              <w:keepNext/>
              <w:keepLines/>
              <w:spacing w:after="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Female patients</w:t>
            </w:r>
          </w:p>
        </w:tc>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784BE"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Women/</w:t>
            </w:r>
          </w:p>
        </w:tc>
        <w:tc>
          <w:tcPr>
            <w:tcW w:w="5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EC5865" w14:textId="77777777" w:rsidR="00EB2B55" w:rsidRPr="008F4CA1" w:rsidRDefault="00EB2B55" w:rsidP="003A788C">
            <w:pPr>
              <w:keepNext/>
              <w:keepLines/>
              <w:spacing w:after="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w:t>
            </w:r>
            <w:proofErr w:type="spellStart"/>
            <w:r w:rsidRPr="008F4CA1">
              <w:rPr>
                <w:rFonts w:ascii="Arial" w:eastAsia="Times New Roman" w:hAnsi="Arial" w:cs="Arial"/>
                <w:color w:val="212121"/>
                <w:sz w:val="21"/>
                <w:szCs w:val="21"/>
                <w:lang w:eastAsia="en-GB"/>
              </w:rPr>
              <w:t>wom#n</w:t>
            </w:r>
            <w:proofErr w:type="spellEnd"/>
            <w:r w:rsidRPr="008F4CA1">
              <w:rPr>
                <w:rFonts w:ascii="Arial" w:eastAsia="Times New Roman" w:hAnsi="Arial" w:cs="Arial"/>
                <w:color w:val="212121"/>
                <w:sz w:val="21"/>
                <w:szCs w:val="21"/>
                <w:lang w:eastAsia="en-GB"/>
              </w:rPr>
              <w:t xml:space="preserve"> or girl? or mother? or wife or wives or female?).</w:t>
            </w:r>
            <w:proofErr w:type="spellStart"/>
            <w:r w:rsidRPr="008F4CA1">
              <w:rPr>
                <w:rFonts w:ascii="Arial" w:eastAsia="Times New Roman" w:hAnsi="Arial" w:cs="Arial"/>
                <w:color w:val="212121"/>
                <w:sz w:val="21"/>
                <w:szCs w:val="21"/>
                <w:lang w:eastAsia="en-GB"/>
              </w:rPr>
              <w:t>mp</w:t>
            </w:r>
            <w:proofErr w:type="spellEnd"/>
            <w:r w:rsidRPr="008F4CA1">
              <w:rPr>
                <w:rFonts w:ascii="Arial" w:eastAsia="Times New Roman" w:hAnsi="Arial" w:cs="Arial"/>
                <w:color w:val="212121"/>
                <w:sz w:val="21"/>
                <w:szCs w:val="21"/>
                <w:lang w:eastAsia="en-GB"/>
              </w:rPr>
              <w:t>.</w:t>
            </w:r>
          </w:p>
        </w:tc>
      </w:tr>
      <w:tr w:rsidR="00EB2B55" w:rsidRPr="00672DBE" w14:paraId="21F1681D" w14:textId="77777777" w:rsidTr="003E5206">
        <w:trPr>
          <w:trHeight w:val="1219"/>
        </w:trPr>
        <w:tc>
          <w:tcPr>
            <w:tcW w:w="153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0E923CE"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b/>
                <w:bCs/>
                <w:color w:val="212121"/>
                <w:sz w:val="21"/>
                <w:szCs w:val="21"/>
                <w:lang w:eastAsia="en-GB"/>
              </w:rPr>
              <w:t>Context</w:t>
            </w:r>
          </w:p>
          <w:p w14:paraId="3B0F9570" w14:textId="77777777" w:rsidR="00EB2B55" w:rsidRPr="008F4CA1" w:rsidRDefault="00EB2B55" w:rsidP="003A788C">
            <w:pPr>
              <w:keepNext/>
              <w:keepLines/>
              <w:spacing w:after="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Healthcare providers</w:t>
            </w:r>
          </w:p>
        </w:tc>
        <w:tc>
          <w:tcPr>
            <w:tcW w:w="18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E4D06A"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exp Data collection/ </w:t>
            </w:r>
          </w:p>
          <w:p w14:paraId="681C4D78" w14:textId="77777777" w:rsidR="00EB2B55" w:rsidRPr="008F4CA1" w:rsidRDefault="00EB2B55" w:rsidP="003A788C">
            <w:pPr>
              <w:keepNext/>
              <w:keepLines/>
              <w:spacing w:after="20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exp Data accuracy/</w:t>
            </w:r>
          </w:p>
        </w:tc>
        <w:tc>
          <w:tcPr>
            <w:tcW w:w="5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4E211" w14:textId="7C4C4BD0" w:rsidR="00EB2B55" w:rsidRPr="008F4CA1" w:rsidRDefault="00EB2B55" w:rsidP="003A788C">
            <w:pPr>
              <w:keepNext/>
              <w:keepLines/>
              <w:spacing w:after="0" w:line="240" w:lineRule="auto"/>
              <w:rPr>
                <w:rFonts w:ascii="Arial" w:eastAsia="Times New Roman" w:hAnsi="Arial" w:cs="Arial"/>
                <w:sz w:val="21"/>
                <w:szCs w:val="21"/>
                <w:lang w:eastAsia="en-GB"/>
              </w:rPr>
            </w:pPr>
            <w:r w:rsidRPr="008F4CA1">
              <w:rPr>
                <w:rFonts w:ascii="Arial" w:eastAsia="Times New Roman" w:hAnsi="Arial" w:cs="Arial"/>
                <w:color w:val="212121"/>
                <w:sz w:val="21"/>
                <w:szCs w:val="21"/>
                <w:lang w:eastAsia="en-GB"/>
              </w:rPr>
              <w:t xml:space="preserve">((gender-based or gender specific) adj1 (data collection* or data analysis or data </w:t>
            </w:r>
            <w:r w:rsidR="00160D5E" w:rsidRPr="008F4CA1">
              <w:rPr>
                <w:rFonts w:ascii="Arial" w:eastAsia="Times New Roman" w:hAnsi="Arial" w:cs="Arial"/>
                <w:color w:val="212121"/>
                <w:sz w:val="21"/>
                <w:szCs w:val="21"/>
                <w:lang w:eastAsia="en-GB"/>
              </w:rPr>
              <w:t>management</w:t>
            </w:r>
            <w:r w:rsidRPr="008F4CA1">
              <w:rPr>
                <w:rFonts w:ascii="Arial" w:eastAsia="Times New Roman" w:hAnsi="Arial" w:cs="Arial"/>
                <w:color w:val="212121"/>
                <w:sz w:val="21"/>
                <w:szCs w:val="21"/>
                <w:lang w:eastAsia="en-GB"/>
              </w:rPr>
              <w:t xml:space="preserve"> or data </w:t>
            </w:r>
            <w:proofErr w:type="spellStart"/>
            <w:r w:rsidRPr="008F4CA1">
              <w:rPr>
                <w:rFonts w:ascii="Arial" w:eastAsia="Times New Roman" w:hAnsi="Arial" w:cs="Arial"/>
                <w:color w:val="212121"/>
                <w:sz w:val="21"/>
                <w:szCs w:val="21"/>
                <w:lang w:eastAsia="en-GB"/>
              </w:rPr>
              <w:t>accurac</w:t>
            </w:r>
            <w:proofErr w:type="spellEnd"/>
            <w:r w:rsidRPr="008F4CA1">
              <w:rPr>
                <w:rFonts w:ascii="Arial" w:eastAsia="Times New Roman" w:hAnsi="Arial" w:cs="Arial"/>
                <w:color w:val="212121"/>
                <w:sz w:val="21"/>
                <w:szCs w:val="21"/>
                <w:lang w:eastAsia="en-GB"/>
              </w:rPr>
              <w:t xml:space="preserve">* or data gap or data </w:t>
            </w:r>
            <w:proofErr w:type="spellStart"/>
            <w:r w:rsidRPr="008F4CA1">
              <w:rPr>
                <w:rFonts w:ascii="Arial" w:eastAsia="Times New Roman" w:hAnsi="Arial" w:cs="Arial"/>
                <w:color w:val="212121"/>
                <w:sz w:val="21"/>
                <w:szCs w:val="21"/>
                <w:lang w:eastAsia="en-GB"/>
              </w:rPr>
              <w:t>discrepanc</w:t>
            </w:r>
            <w:proofErr w:type="spellEnd"/>
            <w:r w:rsidRPr="008F4CA1">
              <w:rPr>
                <w:rFonts w:ascii="Arial" w:eastAsia="Times New Roman" w:hAnsi="Arial" w:cs="Arial"/>
                <w:color w:val="212121"/>
                <w:sz w:val="21"/>
                <w:szCs w:val="21"/>
                <w:lang w:eastAsia="en-GB"/>
              </w:rPr>
              <w:t>*)).</w:t>
            </w:r>
            <w:proofErr w:type="spellStart"/>
            <w:r w:rsidRPr="008F4CA1">
              <w:rPr>
                <w:rFonts w:ascii="Arial" w:eastAsia="Times New Roman" w:hAnsi="Arial" w:cs="Arial"/>
                <w:color w:val="212121"/>
                <w:sz w:val="21"/>
                <w:szCs w:val="21"/>
                <w:lang w:eastAsia="en-GB"/>
              </w:rPr>
              <w:t>mp</w:t>
            </w:r>
            <w:proofErr w:type="spellEnd"/>
            <w:r w:rsidRPr="008F4CA1">
              <w:rPr>
                <w:rFonts w:ascii="Arial" w:eastAsia="Times New Roman" w:hAnsi="Arial" w:cs="Arial"/>
                <w:color w:val="212121"/>
                <w:sz w:val="21"/>
                <w:szCs w:val="21"/>
                <w:lang w:eastAsia="en-GB"/>
              </w:rPr>
              <w:t>.</w:t>
            </w:r>
          </w:p>
        </w:tc>
      </w:tr>
    </w:tbl>
    <w:p w14:paraId="4533F461" w14:textId="77777777" w:rsidR="00EB2B55" w:rsidRPr="00672DBE" w:rsidRDefault="00EB2B55" w:rsidP="003414BB">
      <w:pPr>
        <w:spacing w:after="240" w:line="240" w:lineRule="auto"/>
        <w:rPr>
          <w:rFonts w:ascii="Arial" w:eastAsia="Times New Roman" w:hAnsi="Arial" w:cs="Arial"/>
          <w:lang w:eastAsia="en-GB"/>
        </w:rPr>
      </w:pPr>
    </w:p>
    <w:p w14:paraId="753310E4" w14:textId="37C186FA" w:rsidR="00EB2B55" w:rsidRPr="003E5206" w:rsidRDefault="00457DA0" w:rsidP="003414BB">
      <w:pPr>
        <w:spacing w:line="240" w:lineRule="auto"/>
        <w:rPr>
          <w:rFonts w:ascii="Arial" w:eastAsia="Times New Roman" w:hAnsi="Arial" w:cs="Arial"/>
          <w:b/>
          <w:lang w:eastAsia="en-GB"/>
        </w:rPr>
      </w:pPr>
      <w:r>
        <w:rPr>
          <w:rFonts w:ascii="Arial" w:eastAsia="Times New Roman" w:hAnsi="Arial" w:cs="Arial"/>
          <w:b/>
          <w:color w:val="212121"/>
          <w:lang w:eastAsia="en-GB"/>
        </w:rPr>
        <w:t>Table A13</w:t>
      </w:r>
      <w:r w:rsidR="003E5206" w:rsidRPr="003E5206">
        <w:rPr>
          <w:rFonts w:ascii="Arial" w:eastAsia="Times New Roman" w:hAnsi="Arial" w:cs="Arial"/>
          <w:b/>
          <w:color w:val="212121"/>
          <w:lang w:eastAsia="en-GB"/>
        </w:rPr>
        <w:t xml:space="preserve">. MEDLINE </w:t>
      </w:r>
      <w:r w:rsidR="0067771A" w:rsidRPr="003E5206">
        <w:rPr>
          <w:rFonts w:ascii="Arial" w:eastAsia="Times New Roman" w:hAnsi="Arial" w:cs="Arial"/>
          <w:b/>
          <w:color w:val="212121"/>
          <w:lang w:eastAsia="en-GB"/>
        </w:rPr>
        <w:t xml:space="preserve">search history for question </w:t>
      </w:r>
      <w:r w:rsidR="003E5206" w:rsidRPr="003E5206">
        <w:rPr>
          <w:rFonts w:ascii="Arial" w:eastAsia="Times New Roman" w:hAnsi="Arial" w:cs="Arial"/>
          <w:b/>
          <w:color w:val="212121"/>
          <w:lang w:eastAsia="en-GB"/>
        </w:rPr>
        <w:t>5</w:t>
      </w:r>
    </w:p>
    <w:tbl>
      <w:tblPr>
        <w:tblW w:w="0" w:type="auto"/>
        <w:tblCellMar>
          <w:top w:w="15" w:type="dxa"/>
          <w:left w:w="15" w:type="dxa"/>
          <w:bottom w:w="15" w:type="dxa"/>
          <w:right w:w="15" w:type="dxa"/>
        </w:tblCellMar>
        <w:tblLook w:val="04A0" w:firstRow="1" w:lastRow="0" w:firstColumn="1" w:lastColumn="0" w:noHBand="0" w:noVBand="1"/>
      </w:tblPr>
      <w:tblGrid>
        <w:gridCol w:w="445"/>
        <w:gridCol w:w="7392"/>
        <w:gridCol w:w="1179"/>
      </w:tblGrid>
      <w:tr w:rsidR="00EB2B55" w:rsidRPr="00672DBE" w14:paraId="75EAC141" w14:textId="77777777" w:rsidTr="003A788C">
        <w:trPr>
          <w:trHeight w:val="309"/>
          <w:tblHeader/>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31BEAF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130F5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3FE96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Results</w:t>
            </w:r>
          </w:p>
        </w:tc>
      </w:tr>
      <w:tr w:rsidR="00EB2B55" w:rsidRPr="00672DBE" w14:paraId="774029C3"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04BF8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3504C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Equity/ or Sexism/</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03F7A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4003</w:t>
            </w:r>
          </w:p>
        </w:tc>
      </w:tr>
      <w:tr w:rsidR="00EB2B55" w:rsidRPr="00672DBE" w14:paraId="0E2A5F92"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8F203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D3B9E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(gendered approach* or gender-specific or gender sensitive or gender perspective*).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90416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16392</w:t>
            </w:r>
          </w:p>
        </w:tc>
      </w:tr>
      <w:tr w:rsidR="00EB2B55" w:rsidRPr="00672DBE" w14:paraId="109FE2FD"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A1124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46BDAD" w14:textId="60292476"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or gender-based or sex-</w:t>
            </w:r>
            <w:r w:rsidR="00112E01">
              <w:rPr>
                <w:rFonts w:ascii="Arial" w:eastAsia="Times New Roman" w:hAnsi="Arial" w:cs="Arial"/>
                <w:color w:val="212121"/>
                <w:lang w:eastAsia="en-GB"/>
              </w:rPr>
              <w:t>based</w:t>
            </w:r>
            <w:r w:rsidRPr="00672DBE">
              <w:rPr>
                <w:rFonts w:ascii="Arial" w:eastAsia="Times New Roman" w:hAnsi="Arial" w:cs="Arial"/>
                <w:color w:val="212121"/>
                <w:lang w:eastAsia="en-GB"/>
              </w:rPr>
              <w:t xml:space="preserve">) adj (equality or equity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discrimination or prejudice)).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E7832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18042</w:t>
            </w:r>
          </w:p>
        </w:tc>
      </w:tr>
      <w:tr w:rsidR="00EB2B55" w:rsidRPr="00672DBE" w14:paraId="4F1F8E9E"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D3B9A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855EC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 or 2 or 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91095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35494</w:t>
            </w:r>
          </w:p>
        </w:tc>
      </w:tr>
      <w:tr w:rsidR="00EB2B55" w:rsidRPr="00672DBE" w14:paraId="793C0938"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AF189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4F46D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Therapeutics/ or Drug Therapy/ or Patient Care/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5DE58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51908</w:t>
            </w:r>
          </w:p>
        </w:tc>
      </w:tr>
      <w:tr w:rsidR="00EB2B55" w:rsidRPr="00672DBE" w14:paraId="3E4DEF12"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3A8FA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A49E5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"Delivery of Health Care"/ or exp Health Services/ or exp Health Services Accessibility/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5BC97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3188729</w:t>
            </w:r>
          </w:p>
        </w:tc>
      </w:tr>
      <w:tr w:rsidR="00EB2B55" w:rsidRPr="00672DBE" w14:paraId="6DF752A6"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D9488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C0255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Health Planning/ or Health Care Rationing/ or "Health Services Needs </w:t>
            </w:r>
            <w:proofErr w:type="gramStart"/>
            <w:r w:rsidRPr="00672DBE">
              <w:rPr>
                <w:rFonts w:ascii="Arial" w:eastAsia="Times New Roman" w:hAnsi="Arial" w:cs="Arial"/>
                <w:color w:val="212121"/>
                <w:lang w:eastAsia="en-GB"/>
              </w:rPr>
              <w:t>And</w:t>
            </w:r>
            <w:proofErr w:type="gramEnd"/>
            <w:r w:rsidRPr="00672DBE">
              <w:rPr>
                <w:rFonts w:ascii="Arial" w:eastAsia="Times New Roman" w:hAnsi="Arial" w:cs="Arial"/>
                <w:color w:val="212121"/>
                <w:lang w:eastAsia="en-GB"/>
              </w:rPr>
              <w:t xml:space="preserve"> Demand"/ or National Health Programs/ or State Medicine/</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65E46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175851</w:t>
            </w:r>
          </w:p>
        </w:tc>
      </w:tr>
      <w:tr w:rsidR="00EB2B55" w:rsidRPr="00672DBE" w14:paraId="18E942BC"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42AA7C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7493A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Pharmaceutical Services/ or Preventive Health Services/ or Diagnostic Services/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5062C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26274</w:t>
            </w:r>
          </w:p>
        </w:tc>
      </w:tr>
      <w:tr w:rsidR="00EB2B55" w:rsidRPr="00672DBE" w14:paraId="1BEEB6FF"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B1D7C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CAEB61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 or 6 or 7 or 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8C8C4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3267915</w:t>
            </w:r>
          </w:p>
        </w:tc>
      </w:tr>
      <w:tr w:rsidR="00EB2B55" w:rsidRPr="00672DBE" w14:paraId="4C13E7BA"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EF0C6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BAEAD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Women/</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CFE86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15200</w:t>
            </w:r>
          </w:p>
        </w:tc>
      </w:tr>
      <w:tr w:rsidR="00EB2B55" w:rsidRPr="00672DBE" w14:paraId="79292D9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AD98E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CFE5A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A93A2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10214608</w:t>
            </w:r>
          </w:p>
        </w:tc>
      </w:tr>
      <w:tr w:rsidR="00EB2B55" w:rsidRPr="00672DBE" w14:paraId="0C40EB2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C67C2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96BC7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 or 11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C8ED3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10214608</w:t>
            </w:r>
          </w:p>
        </w:tc>
      </w:tr>
      <w:tr w:rsidR="00EB2B55" w:rsidRPr="00672DBE" w14:paraId="7B2342FA"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89723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F03D7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Data Collection/ or exp Data Analysis/ or exp Data Management/ or exp Data Accuracy/</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B71E32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2569090</w:t>
            </w:r>
          </w:p>
        </w:tc>
      </w:tr>
      <w:tr w:rsidR="00EB2B55" w:rsidRPr="00672DBE" w14:paraId="7B2824BB"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CD5BE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4C994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Information Dissemination/ or exp Information Management/ or exp Health Information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A1B84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258050</w:t>
            </w:r>
          </w:p>
        </w:tc>
      </w:tr>
      <w:tr w:rsidR="00EB2B55" w:rsidRPr="00672DBE" w14:paraId="364D6FF4"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16142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0F8CC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(data adj2 (gap? or </w:t>
            </w:r>
            <w:proofErr w:type="spellStart"/>
            <w:r w:rsidRPr="00672DBE">
              <w:rPr>
                <w:rFonts w:ascii="Arial" w:eastAsia="Times New Roman" w:hAnsi="Arial" w:cs="Arial"/>
                <w:color w:val="212121"/>
                <w:lang w:eastAsia="en-GB"/>
              </w:rPr>
              <w:t>discrepanc</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99B1F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4431</w:t>
            </w:r>
          </w:p>
        </w:tc>
      </w:tr>
      <w:tr w:rsidR="00EB2B55" w:rsidRPr="00672DBE" w14:paraId="467FD5B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CCBCF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79CA4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(data adj3 </w:t>
            </w:r>
            <w:proofErr w:type="spellStart"/>
            <w:r w:rsidRPr="00672DBE">
              <w:rPr>
                <w:rFonts w:ascii="Arial" w:eastAsia="Times New Roman" w:hAnsi="Arial" w:cs="Arial"/>
                <w:color w:val="212121"/>
                <w:lang w:eastAsia="en-GB"/>
              </w:rPr>
              <w:t>disaggregat</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513C3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1125</w:t>
            </w:r>
          </w:p>
        </w:tc>
      </w:tr>
      <w:tr w:rsidR="00EB2B55" w:rsidRPr="00672DBE" w14:paraId="5888A1C5"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37594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lastRenderedPageBreak/>
              <w:t>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68B350" w14:textId="16055770"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(data collection* or data analysis or data </w:t>
            </w:r>
            <w:r w:rsidR="00160D5E" w:rsidRPr="00672DBE">
              <w:rPr>
                <w:rFonts w:ascii="Arial" w:eastAsia="Times New Roman" w:hAnsi="Arial" w:cs="Arial"/>
                <w:color w:val="212121"/>
                <w:lang w:eastAsia="en-GB"/>
              </w:rPr>
              <w:t>management</w:t>
            </w:r>
            <w:r w:rsidRPr="00672DBE">
              <w:rPr>
                <w:rFonts w:ascii="Arial" w:eastAsia="Times New Roman" w:hAnsi="Arial" w:cs="Arial"/>
                <w:color w:val="212121"/>
                <w:lang w:eastAsia="en-GB"/>
              </w:rPr>
              <w:t xml:space="preserve"> or data </w:t>
            </w:r>
            <w:proofErr w:type="spellStart"/>
            <w:r w:rsidRPr="00672DBE">
              <w:rPr>
                <w:rFonts w:ascii="Arial" w:eastAsia="Times New Roman" w:hAnsi="Arial" w:cs="Arial"/>
                <w:color w:val="212121"/>
                <w:lang w:eastAsia="en-GB"/>
              </w:rPr>
              <w:t>accurac</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B3D89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303520</w:t>
            </w:r>
          </w:p>
        </w:tc>
      </w:tr>
      <w:tr w:rsidR="00EB2B55" w:rsidRPr="00672DBE" w14:paraId="6A7B7980"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CB2F40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47CAB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 or 14 or 15 or 16 or 17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538AE1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2778656</w:t>
            </w:r>
          </w:p>
        </w:tc>
      </w:tr>
      <w:tr w:rsidR="00EB2B55" w:rsidRPr="00672DBE" w14:paraId="4EEA20B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F118D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52B4D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 and 9 and 12 and 18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0EF7F0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2373</w:t>
            </w:r>
          </w:p>
        </w:tc>
      </w:tr>
      <w:tr w:rsidR="00EB2B55" w:rsidRPr="00672DBE" w14:paraId="62DBB552" w14:textId="77777777" w:rsidTr="003414BB">
        <w:trPr>
          <w:trHeight w:val="124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F5E42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3E4D3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wom#n</w:t>
            </w:r>
            <w:proofErr w:type="spellEnd"/>
            <w:r w:rsidRPr="00672DBE">
              <w:rPr>
                <w:rFonts w:ascii="Arial" w:eastAsia="Times New Roman" w:hAnsi="Arial" w:cs="Arial"/>
                <w:color w:val="212121"/>
                <w:lang w:eastAsia="en-GB"/>
              </w:rPr>
              <w:t xml:space="preserve"> or girl? or mother? or wife or wives or female?) adj7 (treatment* or therapeutic* or therapies or health service* or healthcare or health care or surgical procedure* or diagnostic test* or clinical pathology or pharmacy or pharmaceutical preparation* or medical equipment or medical device* or clinical practice)).</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24EE6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266428</w:t>
            </w:r>
          </w:p>
        </w:tc>
      </w:tr>
      <w:tr w:rsidR="00EB2B55" w:rsidRPr="00672DBE" w14:paraId="1868C95D"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1C7EFF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4CD2A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19 and 20</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3961C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515</w:t>
            </w:r>
          </w:p>
        </w:tc>
      </w:tr>
      <w:tr w:rsidR="00EB2B55" w:rsidRPr="00672DBE" w14:paraId="2EA29D01"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01C5D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1050E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or sex) adj3 disaggregated data*).</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EFD834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129</w:t>
            </w:r>
          </w:p>
        </w:tc>
      </w:tr>
      <w:tr w:rsidR="00EB2B55" w:rsidRPr="00672DBE" w14:paraId="1DAF7888"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6DF12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C92B1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((gender-based or gender specific or gender sensitive or sex based) and (data adj3 (gap? or </w:t>
            </w:r>
            <w:proofErr w:type="spellStart"/>
            <w:r w:rsidRPr="00672DBE">
              <w:rPr>
                <w:rFonts w:ascii="Arial" w:eastAsia="Times New Roman" w:hAnsi="Arial" w:cs="Arial"/>
                <w:color w:val="212121"/>
                <w:lang w:eastAsia="en-GB"/>
              </w:rPr>
              <w:t>discrepanc</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8663C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18</w:t>
            </w:r>
          </w:p>
        </w:tc>
      </w:tr>
      <w:tr w:rsidR="00EB2B55" w:rsidRPr="00672DBE" w14:paraId="0578364E" w14:textId="77777777" w:rsidTr="003414BB">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AFB0C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1DA50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((gender-based or gender specific or gender sensitive or sex based) and (data adj3 </w:t>
            </w:r>
            <w:proofErr w:type="spellStart"/>
            <w:r w:rsidRPr="00672DBE">
              <w:rPr>
                <w:rFonts w:ascii="Arial" w:eastAsia="Times New Roman" w:hAnsi="Arial" w:cs="Arial"/>
                <w:color w:val="212121"/>
                <w:lang w:eastAsia="en-GB"/>
              </w:rPr>
              <w:t>disaggregat</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51A6C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65</w:t>
            </w:r>
          </w:p>
        </w:tc>
      </w:tr>
      <w:tr w:rsidR="00EB2B55" w:rsidRPr="00672DBE" w14:paraId="2CAEBFC3" w14:textId="77777777" w:rsidTr="003414BB">
        <w:trPr>
          <w:trHeight w:val="750"/>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C7F42C"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EF31C5" w14:textId="65F81450"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((gender-based or gender specific or gender sensitive or sex based) adj5 (data collection* or data analysis or data </w:t>
            </w:r>
            <w:r w:rsidR="00160D5E" w:rsidRPr="00672DBE">
              <w:rPr>
                <w:rFonts w:ascii="Arial" w:eastAsia="Times New Roman" w:hAnsi="Arial" w:cs="Arial"/>
                <w:color w:val="212121"/>
                <w:lang w:eastAsia="en-GB"/>
              </w:rPr>
              <w:t>management</w:t>
            </w:r>
            <w:r w:rsidRPr="00672DBE">
              <w:rPr>
                <w:rFonts w:ascii="Arial" w:eastAsia="Times New Roman" w:hAnsi="Arial" w:cs="Arial"/>
                <w:color w:val="212121"/>
                <w:lang w:eastAsia="en-GB"/>
              </w:rPr>
              <w:t xml:space="preserve"> or data </w:t>
            </w:r>
            <w:proofErr w:type="spellStart"/>
            <w:r w:rsidRPr="00672DBE">
              <w:rPr>
                <w:rFonts w:ascii="Arial" w:eastAsia="Times New Roman" w:hAnsi="Arial" w:cs="Arial"/>
                <w:color w:val="212121"/>
                <w:lang w:eastAsia="en-GB"/>
              </w:rPr>
              <w:t>accurac</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55411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20</w:t>
            </w:r>
          </w:p>
        </w:tc>
      </w:tr>
      <w:tr w:rsidR="00EB2B55" w:rsidRPr="00672DBE" w14:paraId="18C29377"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FF5C5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86D19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 or sex) adj5 (data adj3 </w:t>
            </w:r>
            <w:proofErr w:type="spellStart"/>
            <w:r w:rsidRPr="00672DBE">
              <w:rPr>
                <w:rFonts w:ascii="Arial" w:eastAsia="Times New Roman" w:hAnsi="Arial" w:cs="Arial"/>
                <w:color w:val="212121"/>
                <w:lang w:eastAsia="en-GB"/>
              </w:rPr>
              <w:t>disaggregat</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mp</w:t>
            </w:r>
            <w:proofErr w:type="spellEnd"/>
            <w:r w:rsidRPr="00672DBE">
              <w:rPr>
                <w:rFonts w:ascii="Arial" w:eastAsia="Times New Roman" w:hAnsi="Arial" w:cs="Arial"/>
                <w:color w:val="212121"/>
                <w:lang w:eastAsia="en-GB"/>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823997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244</w:t>
            </w:r>
          </w:p>
        </w:tc>
      </w:tr>
      <w:tr w:rsidR="00EB2B55" w:rsidRPr="00672DBE" w14:paraId="1C8336AC"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A0090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8758B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21 or 22 or 23 or 24 or 25 or 26</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63320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801</w:t>
            </w:r>
          </w:p>
        </w:tc>
      </w:tr>
      <w:tr w:rsidR="00EB2B55" w:rsidRPr="00672DBE" w14:paraId="51D86269" w14:textId="77777777" w:rsidTr="003414BB">
        <w:trPr>
          <w:trHeight w:val="25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D52F5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85E1B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limit 27 to yr="2014 -Current"</w:t>
            </w:r>
          </w:p>
        </w:tc>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30090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496</w:t>
            </w:r>
          </w:p>
        </w:tc>
      </w:tr>
    </w:tbl>
    <w:p w14:paraId="75442770" w14:textId="6CECD761" w:rsidR="00EB2B55" w:rsidRDefault="00EB2B55" w:rsidP="003414BB">
      <w:pPr>
        <w:spacing w:after="0" w:line="240" w:lineRule="auto"/>
        <w:rPr>
          <w:rFonts w:ascii="Arial" w:eastAsia="Times New Roman" w:hAnsi="Arial" w:cs="Arial"/>
          <w:color w:val="212121"/>
          <w:lang w:eastAsia="en-GB"/>
        </w:rPr>
      </w:pPr>
    </w:p>
    <w:p w14:paraId="42EAA71D" w14:textId="77777777" w:rsidR="00112E01" w:rsidRPr="00672DBE" w:rsidRDefault="00112E01" w:rsidP="003414BB">
      <w:pPr>
        <w:spacing w:after="0" w:line="240" w:lineRule="auto"/>
        <w:rPr>
          <w:rFonts w:ascii="Arial" w:eastAsia="Times New Roman" w:hAnsi="Arial" w:cs="Arial"/>
          <w:color w:val="212121"/>
          <w:lang w:eastAsia="en-GB"/>
        </w:rPr>
      </w:pPr>
    </w:p>
    <w:p w14:paraId="52A9F6F6" w14:textId="77777777" w:rsidR="00EB2B55" w:rsidRPr="00672DBE" w:rsidRDefault="00EB2B55" w:rsidP="003A788C">
      <w:pPr>
        <w:keepNext/>
        <w:spacing w:after="0" w:line="240" w:lineRule="auto"/>
        <w:rPr>
          <w:rFonts w:ascii="Arial" w:eastAsia="Times New Roman" w:hAnsi="Arial" w:cs="Arial"/>
          <w:b/>
          <w:bCs/>
          <w:lang w:eastAsia="en-GB"/>
        </w:rPr>
      </w:pPr>
      <w:r w:rsidRPr="00672DBE">
        <w:rPr>
          <w:rFonts w:ascii="Arial" w:eastAsia="Times New Roman" w:hAnsi="Arial" w:cs="Arial"/>
          <w:b/>
          <w:bCs/>
          <w:lang w:eastAsia="en-GB"/>
        </w:rPr>
        <w:t>Supplementary search</w:t>
      </w:r>
    </w:p>
    <w:p w14:paraId="5D741E32" w14:textId="38D21FEE" w:rsidR="00EB2B55" w:rsidRDefault="00EB2B55" w:rsidP="003A788C">
      <w:pPr>
        <w:keepNext/>
        <w:spacing w:after="0" w:line="240" w:lineRule="auto"/>
        <w:rPr>
          <w:rFonts w:ascii="Arial" w:eastAsia="Times New Roman" w:hAnsi="Arial" w:cs="Arial"/>
          <w:lang w:eastAsia="en-GB"/>
        </w:rPr>
      </w:pPr>
    </w:p>
    <w:p w14:paraId="701FAD86" w14:textId="0DF27225" w:rsidR="00112E01" w:rsidRDefault="00112E01" w:rsidP="003A788C">
      <w:pPr>
        <w:keepNext/>
        <w:spacing w:after="0" w:line="240" w:lineRule="auto"/>
        <w:rPr>
          <w:rFonts w:ascii="Arial" w:eastAsia="Times New Roman" w:hAnsi="Arial" w:cs="Arial"/>
          <w:lang w:eastAsia="en-GB"/>
        </w:rPr>
      </w:pPr>
      <w:r>
        <w:rPr>
          <w:rFonts w:ascii="Arial" w:eastAsia="Times New Roman" w:hAnsi="Arial" w:cs="Arial"/>
          <w:lang w:eastAsia="en-GB"/>
        </w:rPr>
        <w:t>To</w:t>
      </w:r>
      <w:r w:rsidRPr="005C076B">
        <w:rPr>
          <w:rFonts w:ascii="Arial" w:eastAsia="Times New Roman" w:hAnsi="Arial" w:cs="Arial"/>
          <w:lang w:eastAsia="en-GB"/>
        </w:rPr>
        <w:t xml:space="preserve"> identify systematic reviews and </w:t>
      </w:r>
      <w:r>
        <w:rPr>
          <w:rFonts w:ascii="Arial" w:eastAsia="Times New Roman" w:hAnsi="Arial" w:cs="Arial"/>
          <w:lang w:eastAsia="en-GB"/>
        </w:rPr>
        <w:t xml:space="preserve">primary </w:t>
      </w:r>
      <w:r w:rsidRPr="005C076B">
        <w:rPr>
          <w:rFonts w:ascii="Arial" w:eastAsia="Times New Roman" w:hAnsi="Arial" w:cs="Arial"/>
          <w:lang w:eastAsia="en-GB"/>
        </w:rPr>
        <w:t>studies evaluating interventions to reduce gender bias, which may not have been captured in the searches</w:t>
      </w:r>
      <w:r>
        <w:rPr>
          <w:rFonts w:ascii="Arial" w:eastAsia="Times New Roman" w:hAnsi="Arial" w:cs="Arial"/>
          <w:lang w:eastAsia="en-GB"/>
        </w:rPr>
        <w:t xml:space="preserve"> above.</w:t>
      </w:r>
    </w:p>
    <w:p w14:paraId="27AB528E" w14:textId="77777777" w:rsidR="00112E01" w:rsidRPr="00672DBE" w:rsidRDefault="00112E01" w:rsidP="003A788C">
      <w:pPr>
        <w:keepNext/>
        <w:spacing w:after="0" w:line="240" w:lineRule="auto"/>
        <w:rPr>
          <w:rFonts w:ascii="Arial" w:eastAsia="Times New Roman" w:hAnsi="Arial" w:cs="Arial"/>
          <w:lang w:eastAsia="en-GB"/>
        </w:rPr>
      </w:pPr>
    </w:p>
    <w:p w14:paraId="4AB75468" w14:textId="4EEFB597" w:rsidR="00EB2B55" w:rsidRPr="003E5206" w:rsidRDefault="003E5206" w:rsidP="003A788C">
      <w:pPr>
        <w:keepNext/>
        <w:spacing w:after="240" w:line="240" w:lineRule="auto"/>
        <w:rPr>
          <w:rFonts w:ascii="Arial" w:eastAsia="Times New Roman" w:hAnsi="Arial" w:cs="Arial"/>
          <w:b/>
          <w:lang w:eastAsia="en-GB"/>
        </w:rPr>
      </w:pPr>
      <w:r w:rsidRPr="003E5206">
        <w:rPr>
          <w:rFonts w:ascii="Arial" w:eastAsia="Times New Roman" w:hAnsi="Arial" w:cs="Arial"/>
          <w:b/>
          <w:lang w:eastAsia="en-GB"/>
        </w:rPr>
        <w:t>Table A1</w:t>
      </w:r>
      <w:r w:rsidR="00457DA0">
        <w:rPr>
          <w:rFonts w:ascii="Arial" w:eastAsia="Times New Roman" w:hAnsi="Arial" w:cs="Arial"/>
          <w:b/>
          <w:lang w:eastAsia="en-GB"/>
        </w:rPr>
        <w:t>4</w:t>
      </w:r>
      <w:r w:rsidRPr="003E5206">
        <w:rPr>
          <w:rFonts w:ascii="Arial" w:eastAsia="Times New Roman" w:hAnsi="Arial" w:cs="Arial"/>
          <w:b/>
          <w:lang w:eastAsia="en-GB"/>
        </w:rPr>
        <w:t xml:space="preserve">. Supplementary Search: MEDLINE Search History </w:t>
      </w:r>
    </w:p>
    <w:tbl>
      <w:tblPr>
        <w:tblW w:w="0" w:type="auto"/>
        <w:tblCellMar>
          <w:top w:w="15" w:type="dxa"/>
          <w:left w:w="15" w:type="dxa"/>
          <w:bottom w:w="15" w:type="dxa"/>
          <w:right w:w="15" w:type="dxa"/>
        </w:tblCellMar>
        <w:tblLook w:val="04A0" w:firstRow="1" w:lastRow="0" w:firstColumn="1" w:lastColumn="0" w:noHBand="0" w:noVBand="1"/>
      </w:tblPr>
      <w:tblGrid>
        <w:gridCol w:w="445"/>
        <w:gridCol w:w="5296"/>
        <w:gridCol w:w="1057"/>
        <w:gridCol w:w="2218"/>
      </w:tblGrid>
      <w:tr w:rsidR="00EB2B55" w:rsidRPr="00672DBE" w14:paraId="0FA73D1C" w14:textId="77777777" w:rsidTr="003A788C">
        <w:trPr>
          <w:trHeight w:val="170"/>
          <w:tblHeader/>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62DF75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C77A5F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Search Statement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526E63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Results</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05BDFD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b/>
                <w:bCs/>
                <w:color w:val="212121"/>
                <w:lang w:eastAsia="en-GB"/>
              </w:rPr>
              <w:t>Annotation</w:t>
            </w:r>
          </w:p>
        </w:tc>
      </w:tr>
      <w:tr w:rsidR="00EB2B55" w:rsidRPr="00672DBE" w14:paraId="59A4FE44" w14:textId="77777777" w:rsidTr="003414BB">
        <w:trPr>
          <w:trHeight w:val="1393"/>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DE0145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8793E2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(exp Health Services Accessibility/ or exp Delivery of Health Care/ or Quality Assurance, Health Care/ or Quality of Health Care/ or Healthcare Disparities/ or exp Health Policy/ or exp Primary Health Care/) and (Sexism/ or Sex Factors/ or Gender Equity/) and (Systematic Review/ or (systematic or scoping or synthesis or meta-analysis).</w:t>
            </w:r>
            <w:proofErr w:type="spellStart"/>
            <w:r w:rsidRPr="00672DBE">
              <w:rPr>
                <w:rFonts w:ascii="Arial" w:eastAsia="Times New Roman" w:hAnsi="Arial" w:cs="Arial"/>
                <w:color w:val="212121"/>
                <w:lang w:eastAsia="en-GB"/>
              </w:rPr>
              <w:t>ti</w:t>
            </w:r>
            <w:proofErr w:type="spellEnd"/>
            <w:r w:rsidRPr="00672DBE">
              <w:rPr>
                <w:rFonts w:ascii="Arial" w:eastAsia="Times New Roman" w:hAnsi="Arial" w:cs="Arial"/>
                <w:color w:val="212121"/>
                <w:lang w:eastAsia="en-GB"/>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E520AE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289</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C79044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SRs [</w:t>
            </w:r>
            <w:proofErr w:type="spellStart"/>
            <w:r w:rsidRPr="00672DBE">
              <w:rPr>
                <w:rFonts w:ascii="Arial" w:eastAsia="Times New Roman" w:hAnsi="Arial" w:cs="Arial"/>
                <w:color w:val="212121"/>
                <w:lang w:eastAsia="en-GB"/>
              </w:rPr>
              <w:t>MeSH</w:t>
            </w:r>
            <w:proofErr w:type="spellEnd"/>
            <w:r w:rsidRPr="00672DBE">
              <w:rPr>
                <w:rFonts w:ascii="Arial" w:eastAsia="Times New Roman" w:hAnsi="Arial" w:cs="Arial"/>
                <w:color w:val="212121"/>
                <w:lang w:eastAsia="en-GB"/>
              </w:rPr>
              <w:t xml:space="preserve"> terms]</w:t>
            </w:r>
          </w:p>
        </w:tc>
      </w:tr>
      <w:tr w:rsidR="00EB2B55" w:rsidRPr="00672DBE" w14:paraId="061ABFDE"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9BB499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102623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((gender bias or gender disparities) and (systematic or scoping or synthesis or meta-analysis)).</w:t>
            </w:r>
            <w:proofErr w:type="spellStart"/>
            <w:r w:rsidRPr="00672DBE">
              <w:rPr>
                <w:rFonts w:ascii="Arial" w:eastAsia="Times New Roman" w:hAnsi="Arial" w:cs="Arial"/>
                <w:color w:val="212121"/>
                <w:lang w:eastAsia="en-GB"/>
              </w:rPr>
              <w:t>ti</w:t>
            </w:r>
            <w:proofErr w:type="spellEnd"/>
            <w:r w:rsidRPr="00672DBE">
              <w:rPr>
                <w:rFonts w:ascii="Arial" w:eastAsia="Times New Roman" w:hAnsi="Arial" w:cs="Arial"/>
                <w:color w:val="212121"/>
                <w:lang w:eastAsia="en-GB"/>
              </w:rPr>
              <w:t>. or ((gender bias or gender disparities) adj10 (systematic or scoping or synthesis or meta-analysis)</w:t>
            </w:r>
            <w:proofErr w:type="gramStart"/>
            <w:r w:rsidRPr="00672DBE">
              <w:rPr>
                <w:rFonts w:ascii="Arial" w:eastAsia="Times New Roman" w:hAnsi="Arial" w:cs="Arial"/>
                <w:color w:val="212121"/>
                <w:lang w:eastAsia="en-GB"/>
              </w:rPr>
              <w:t>).ab.</w:t>
            </w:r>
            <w:proofErr w:type="gramEnd"/>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37DF12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58</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19A437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SRs [free text terms]</w:t>
            </w:r>
          </w:p>
        </w:tc>
      </w:tr>
      <w:tr w:rsidR="00EB2B55" w:rsidRPr="00672DBE" w14:paraId="10C6E856"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B3F4B6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3</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63C077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((bias or disparities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adj20 (intervention or </w:t>
            </w:r>
            <w:proofErr w:type="spellStart"/>
            <w:r w:rsidRPr="00672DBE">
              <w:rPr>
                <w:rFonts w:ascii="Arial" w:eastAsia="Times New Roman" w:hAnsi="Arial" w:cs="Arial"/>
                <w:color w:val="212121"/>
                <w:lang w:eastAsia="en-GB"/>
              </w:rPr>
              <w:t>reduc</w:t>
            </w:r>
            <w:proofErr w:type="spellEnd"/>
            <w:r w:rsidRPr="00672DBE">
              <w:rPr>
                <w:rFonts w:ascii="Arial" w:eastAsia="Times New Roman" w:hAnsi="Arial" w:cs="Arial"/>
                <w:color w:val="212121"/>
                <w:lang w:eastAsia="en-GB"/>
              </w:rPr>
              <w:t>*) adj20 (healthcare or health care) adj20 gender</w:t>
            </w:r>
            <w:proofErr w:type="gramStart"/>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ti</w:t>
            </w:r>
            <w:proofErr w:type="gramEnd"/>
            <w:r w:rsidRPr="00672DBE">
              <w:rPr>
                <w:rFonts w:ascii="Arial" w:eastAsia="Times New Roman" w:hAnsi="Arial" w:cs="Arial"/>
                <w:color w:val="212121"/>
                <w:lang w:eastAsia="en-GB"/>
              </w:rPr>
              <w:t>,ab</w:t>
            </w:r>
            <w:proofErr w:type="spellEnd"/>
            <w:r w:rsidRPr="00672DBE">
              <w:rPr>
                <w:rFonts w:ascii="Arial" w:eastAsia="Times New Roman" w:hAnsi="Arial" w:cs="Arial"/>
                <w:color w:val="212121"/>
                <w:lang w:eastAsia="en-GB"/>
              </w:rPr>
              <w:t xml:space="preserve">. or ((Sex Factors/ or Sexism/ or </w:t>
            </w:r>
            <w:proofErr w:type="spellStart"/>
            <w:r w:rsidRPr="00672DBE">
              <w:rPr>
                <w:rFonts w:ascii="Arial" w:eastAsia="Times New Roman" w:hAnsi="Arial" w:cs="Arial"/>
                <w:color w:val="212121"/>
                <w:lang w:eastAsia="en-GB"/>
              </w:rPr>
              <w:t>gender.ti</w:t>
            </w:r>
            <w:proofErr w:type="spellEnd"/>
            <w:r w:rsidRPr="00672DBE">
              <w:rPr>
                <w:rFonts w:ascii="Arial" w:eastAsia="Times New Roman" w:hAnsi="Arial" w:cs="Arial"/>
                <w:color w:val="212121"/>
                <w:lang w:eastAsia="en-GB"/>
              </w:rPr>
              <w:t xml:space="preserve">. or (gender bias or sex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or sex based or gender based</w:t>
            </w:r>
            <w:proofErr w:type="gramStart"/>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ti</w:t>
            </w:r>
            <w:proofErr w:type="gramEnd"/>
            <w:r w:rsidRPr="00672DBE">
              <w:rPr>
                <w:rFonts w:ascii="Arial" w:eastAsia="Times New Roman" w:hAnsi="Arial" w:cs="Arial"/>
                <w:color w:val="212121"/>
                <w:lang w:eastAsia="en-GB"/>
              </w:rPr>
              <w:t>,ab</w:t>
            </w:r>
            <w:proofErr w:type="spellEnd"/>
            <w:r w:rsidRPr="00672DBE">
              <w:rPr>
                <w:rFonts w:ascii="Arial" w:eastAsia="Times New Roman" w:hAnsi="Arial" w:cs="Arial"/>
                <w:color w:val="212121"/>
                <w:lang w:eastAsia="en-GB"/>
              </w:rPr>
              <w:t xml:space="preserve">.) adj20 </w:t>
            </w:r>
            <w:r w:rsidRPr="00672DBE">
              <w:rPr>
                <w:rFonts w:ascii="Arial" w:eastAsia="Times New Roman" w:hAnsi="Arial" w:cs="Arial"/>
                <w:color w:val="212121"/>
                <w:lang w:eastAsia="en-GB"/>
              </w:rPr>
              <w:lastRenderedPageBreak/>
              <w:t xml:space="preserve">(intervention or </w:t>
            </w:r>
            <w:proofErr w:type="spellStart"/>
            <w:r w:rsidRPr="00672DBE">
              <w:rPr>
                <w:rFonts w:ascii="Arial" w:eastAsia="Times New Roman" w:hAnsi="Arial" w:cs="Arial"/>
                <w:color w:val="212121"/>
                <w:lang w:eastAsia="en-GB"/>
              </w:rPr>
              <w:t>reduc</w:t>
            </w:r>
            <w:proofErr w:type="spellEnd"/>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ti,ab</w:t>
            </w:r>
            <w:proofErr w:type="spellEnd"/>
            <w:r w:rsidRPr="00672DBE">
              <w:rPr>
                <w:rFonts w:ascii="Arial" w:eastAsia="Times New Roman" w:hAnsi="Arial" w:cs="Arial"/>
                <w:color w:val="212121"/>
                <w:lang w:eastAsia="en-GB"/>
              </w:rPr>
              <w:t>. adj20 (healthcare or health care or health services).</w:t>
            </w:r>
            <w:proofErr w:type="spellStart"/>
            <w:r w:rsidRPr="00672DBE">
              <w:rPr>
                <w:rFonts w:ascii="Arial" w:eastAsia="Times New Roman" w:hAnsi="Arial" w:cs="Arial"/>
                <w:color w:val="212121"/>
                <w:lang w:eastAsia="en-GB"/>
              </w:rPr>
              <w:t>ti,ab</w:t>
            </w:r>
            <w:proofErr w:type="spellEnd"/>
            <w:r w:rsidRPr="00672DBE">
              <w:rPr>
                <w:rFonts w:ascii="Arial" w:eastAsia="Times New Roman" w:hAnsi="Arial" w:cs="Arial"/>
                <w:color w:val="212121"/>
                <w:lang w:eastAsia="en-GB"/>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7F6DBF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lastRenderedPageBreak/>
              <w:t>1741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46138A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Modified search of Alcalde-Rubio 2020 scoping review (translated from PubMed)</w:t>
            </w:r>
          </w:p>
        </w:tc>
      </w:tr>
      <w:tr w:rsidR="00EB2B55" w:rsidRPr="00672DBE" w14:paraId="023B1778"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39CBEF47"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4</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5FA74DEF"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1 or 2 or 3</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3065AD2E"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2064</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47B19201" w14:textId="77777777" w:rsidR="00EB2B55" w:rsidRPr="00672DBE" w:rsidRDefault="00EB2B55" w:rsidP="003414BB">
            <w:pPr>
              <w:spacing w:after="0" w:line="240" w:lineRule="auto"/>
              <w:rPr>
                <w:rFonts w:ascii="Arial" w:eastAsia="Times New Roman" w:hAnsi="Arial" w:cs="Arial"/>
                <w:color w:val="212121"/>
                <w:lang w:eastAsia="en-GB"/>
              </w:rPr>
            </w:pPr>
          </w:p>
        </w:tc>
      </w:tr>
      <w:tr w:rsidR="00EB2B55" w:rsidRPr="00672DBE" w14:paraId="39FFD605"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300007AC"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5</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0C332A5B"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limit 4 to dt=20181201-20231115</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21EC9983"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456</w:t>
            </w:r>
          </w:p>
        </w:tc>
        <w:tc>
          <w:tcPr>
            <w:tcW w:w="0" w:type="auto"/>
            <w:vMerge w:val="restart"/>
            <w:tcBorders>
              <w:top w:val="single" w:sz="4" w:space="0" w:color="808080"/>
              <w:left w:val="single" w:sz="4" w:space="0" w:color="808080"/>
              <w:right w:val="single" w:sz="4" w:space="0" w:color="808080"/>
            </w:tcBorders>
            <w:tcMar>
              <w:top w:w="100" w:type="dxa"/>
              <w:left w:w="100" w:type="dxa"/>
              <w:bottom w:w="100" w:type="dxa"/>
              <w:right w:w="100" w:type="dxa"/>
            </w:tcMar>
          </w:tcPr>
          <w:p w14:paraId="0CC9EFC3"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SR search and update of Alcalde-Rubio 2020 limited to Dec 2018 onwards</w:t>
            </w:r>
          </w:p>
        </w:tc>
      </w:tr>
      <w:tr w:rsidR="00EB2B55" w:rsidRPr="00672DBE" w14:paraId="2AB6BFA5"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26C250EA"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6</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07A6E559"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limit 4 to yr="2019 -Current"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28B92D9F"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471</w:t>
            </w:r>
          </w:p>
        </w:tc>
        <w:tc>
          <w:tcPr>
            <w:tcW w:w="0" w:type="auto"/>
            <w:vMerge/>
            <w:tcBorders>
              <w:left w:val="single" w:sz="4" w:space="0" w:color="808080"/>
              <w:right w:val="single" w:sz="4" w:space="0" w:color="808080"/>
            </w:tcBorders>
            <w:tcMar>
              <w:top w:w="100" w:type="dxa"/>
              <w:left w:w="100" w:type="dxa"/>
              <w:bottom w:w="100" w:type="dxa"/>
              <w:right w:w="100" w:type="dxa"/>
            </w:tcMar>
          </w:tcPr>
          <w:p w14:paraId="6317FFA1" w14:textId="77777777" w:rsidR="00EB2B55" w:rsidRPr="00672DBE" w:rsidRDefault="00EB2B55" w:rsidP="003414BB">
            <w:pPr>
              <w:spacing w:after="0" w:line="240" w:lineRule="auto"/>
              <w:rPr>
                <w:rFonts w:ascii="Arial" w:eastAsia="Times New Roman" w:hAnsi="Arial" w:cs="Arial"/>
                <w:color w:val="212121"/>
                <w:lang w:eastAsia="en-GB"/>
              </w:rPr>
            </w:pPr>
          </w:p>
        </w:tc>
      </w:tr>
      <w:tr w:rsidR="00EB2B55" w:rsidRPr="00672DBE" w14:paraId="4E010A62"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3FE2F5F5"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7</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010289C1"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6 or 7</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14:paraId="596B6B1B" w14:textId="77777777" w:rsidR="00EB2B55" w:rsidRPr="00672DBE" w:rsidRDefault="00EB2B55" w:rsidP="003414BB">
            <w:pPr>
              <w:spacing w:after="0" w:line="240" w:lineRule="auto"/>
              <w:rPr>
                <w:rFonts w:ascii="Arial" w:eastAsia="Times New Roman" w:hAnsi="Arial" w:cs="Arial"/>
                <w:color w:val="212121"/>
                <w:lang w:eastAsia="en-GB"/>
              </w:rPr>
            </w:pPr>
            <w:r w:rsidRPr="00672DBE">
              <w:rPr>
                <w:rFonts w:ascii="Arial" w:eastAsia="Times New Roman" w:hAnsi="Arial" w:cs="Arial"/>
                <w:color w:val="212121"/>
                <w:lang w:eastAsia="en-GB"/>
              </w:rPr>
              <w:t>479</w:t>
            </w:r>
          </w:p>
        </w:tc>
        <w:tc>
          <w:tcPr>
            <w:tcW w:w="0" w:type="auto"/>
            <w:vMerge/>
            <w:tcBorders>
              <w:left w:val="single" w:sz="4" w:space="0" w:color="808080"/>
              <w:bottom w:val="single" w:sz="4" w:space="0" w:color="808080"/>
              <w:right w:val="single" w:sz="4" w:space="0" w:color="808080"/>
            </w:tcBorders>
            <w:tcMar>
              <w:top w:w="100" w:type="dxa"/>
              <w:left w:w="100" w:type="dxa"/>
              <w:bottom w:w="100" w:type="dxa"/>
              <w:right w:w="100" w:type="dxa"/>
            </w:tcMar>
          </w:tcPr>
          <w:p w14:paraId="08F8DB48" w14:textId="77777777" w:rsidR="00EB2B55" w:rsidRPr="00672DBE" w:rsidRDefault="00EB2B55" w:rsidP="003414BB">
            <w:pPr>
              <w:spacing w:after="0" w:line="240" w:lineRule="auto"/>
              <w:rPr>
                <w:rFonts w:ascii="Arial" w:eastAsia="Times New Roman" w:hAnsi="Arial" w:cs="Arial"/>
                <w:color w:val="212121"/>
                <w:lang w:eastAsia="en-GB"/>
              </w:rPr>
            </w:pPr>
          </w:p>
        </w:tc>
      </w:tr>
      <w:tr w:rsidR="00EB2B55" w:rsidRPr="00672DBE" w14:paraId="15BBC7CA"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18F8386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8</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598A95A"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 or sex) adj2 (bias* or prejudice* or </w:t>
            </w:r>
            <w:proofErr w:type="spellStart"/>
            <w:r w:rsidRPr="00672DBE">
              <w:rPr>
                <w:rFonts w:ascii="Arial" w:eastAsia="Times New Roman" w:hAnsi="Arial" w:cs="Arial"/>
                <w:color w:val="212121"/>
                <w:lang w:eastAsia="en-GB"/>
              </w:rPr>
              <w:t>equalit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inequalit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inequit</w:t>
            </w:r>
            <w:proofErr w:type="spell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xml:space="preserve">* or norms or gap or gaps or difference* or </w:t>
            </w:r>
            <w:proofErr w:type="spellStart"/>
            <w:r w:rsidRPr="00672DBE">
              <w:rPr>
                <w:rFonts w:ascii="Arial" w:eastAsia="Times New Roman" w:hAnsi="Arial" w:cs="Arial"/>
                <w:color w:val="212121"/>
                <w:lang w:eastAsia="en-GB"/>
              </w:rPr>
              <w:t>discriminat</w:t>
            </w:r>
            <w:proofErr w:type="spellEnd"/>
            <w:r w:rsidRPr="00672DBE">
              <w:rPr>
                <w:rFonts w:ascii="Arial" w:eastAsia="Times New Roman" w:hAnsi="Arial" w:cs="Arial"/>
                <w:color w:val="212121"/>
                <w:lang w:eastAsia="en-GB"/>
              </w:rPr>
              <w:t>*) adj10 (</w:t>
            </w:r>
            <w:proofErr w:type="spellStart"/>
            <w:r w:rsidRPr="00672DBE">
              <w:rPr>
                <w:rFonts w:ascii="Arial" w:eastAsia="Times New Roman" w:hAnsi="Arial" w:cs="Arial"/>
                <w:color w:val="212121"/>
                <w:lang w:eastAsia="en-GB"/>
              </w:rPr>
              <w:t>reduc</w:t>
            </w:r>
            <w:proofErr w:type="spellEnd"/>
            <w:r w:rsidRPr="00672DBE">
              <w:rPr>
                <w:rFonts w:ascii="Arial" w:eastAsia="Times New Roman" w:hAnsi="Arial" w:cs="Arial"/>
                <w:color w:val="212121"/>
                <w:lang w:eastAsia="en-GB"/>
              </w:rPr>
              <w:t xml:space="preserve">* or </w:t>
            </w:r>
            <w:proofErr w:type="spellStart"/>
            <w:proofErr w:type="gramStart"/>
            <w:r w:rsidRPr="00672DBE">
              <w:rPr>
                <w:rFonts w:ascii="Arial" w:eastAsia="Times New Roman" w:hAnsi="Arial" w:cs="Arial"/>
                <w:color w:val="212121"/>
                <w:lang w:eastAsia="en-GB"/>
              </w:rPr>
              <w:t>minimi?e</w:t>
            </w:r>
            <w:proofErr w:type="spellEnd"/>
            <w:proofErr w:type="gram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overcom</w:t>
            </w:r>
            <w:proofErr w:type="spellEnd"/>
            <w:r w:rsidRPr="00672DBE">
              <w:rPr>
                <w:rFonts w:ascii="Arial" w:eastAsia="Times New Roman" w:hAnsi="Arial" w:cs="Arial"/>
                <w:color w:val="212121"/>
                <w:lang w:eastAsia="en-GB"/>
              </w:rPr>
              <w:t xml:space="preserve">* or advance or barriers or </w:t>
            </w:r>
            <w:proofErr w:type="spellStart"/>
            <w:r w:rsidRPr="00672DBE">
              <w:rPr>
                <w:rFonts w:ascii="Arial" w:eastAsia="Times New Roman" w:hAnsi="Arial" w:cs="Arial"/>
                <w:color w:val="212121"/>
                <w:lang w:eastAsia="en-GB"/>
              </w:rPr>
              <w:t>promot</w:t>
            </w:r>
            <w:proofErr w:type="spellEnd"/>
            <w:r w:rsidRPr="00672DBE">
              <w:rPr>
                <w:rFonts w:ascii="Arial" w:eastAsia="Times New Roman" w:hAnsi="Arial" w:cs="Arial"/>
                <w:color w:val="212121"/>
                <w:lang w:eastAsia="en-GB"/>
              </w:rPr>
              <w:t>* or address* or prevent* or improv* or counter*)).</w:t>
            </w:r>
            <w:proofErr w:type="spellStart"/>
            <w:r w:rsidRPr="00672DBE">
              <w:rPr>
                <w:rFonts w:ascii="Arial" w:eastAsia="Times New Roman" w:hAnsi="Arial" w:cs="Arial"/>
                <w:color w:val="212121"/>
                <w:lang w:eastAsia="en-GB"/>
              </w:rPr>
              <w:t>ti</w:t>
            </w:r>
            <w:proofErr w:type="spellEnd"/>
            <w:r w:rsidRPr="00672DBE">
              <w:rPr>
                <w:rFonts w:ascii="Arial" w:eastAsia="Times New Roman" w:hAnsi="Arial" w:cs="Arial"/>
                <w:color w:val="212121"/>
                <w:lang w:eastAsia="en-GB"/>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CA5A4A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777</w:t>
            </w:r>
          </w:p>
        </w:tc>
        <w:tc>
          <w:tcPr>
            <w:tcW w:w="0" w:type="auto"/>
            <w:vMerge w:val="restart"/>
            <w:tcBorders>
              <w:top w:val="single" w:sz="4" w:space="0" w:color="808080"/>
              <w:left w:val="single" w:sz="4" w:space="0" w:color="808080"/>
              <w:right w:val="single" w:sz="4" w:space="0" w:color="808080"/>
            </w:tcBorders>
            <w:tcMar>
              <w:top w:w="100" w:type="dxa"/>
              <w:left w:w="100" w:type="dxa"/>
              <w:bottom w:w="100" w:type="dxa"/>
              <w:right w:w="100" w:type="dxa"/>
            </w:tcMar>
            <w:hideMark/>
          </w:tcPr>
          <w:p w14:paraId="09AB8FE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Reducing gender bias (not limited to study design terms)</w:t>
            </w:r>
          </w:p>
        </w:tc>
      </w:tr>
      <w:tr w:rsidR="00EB2B55" w:rsidRPr="00672DBE" w14:paraId="103AD11A"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FEC5F6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9</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A15F101"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 or sex) adj (bias* or </w:t>
            </w:r>
            <w:proofErr w:type="spellStart"/>
            <w:r w:rsidRPr="00672DBE">
              <w:rPr>
                <w:rFonts w:ascii="Arial" w:eastAsia="Times New Roman" w:hAnsi="Arial" w:cs="Arial"/>
                <w:color w:val="212121"/>
                <w:lang w:eastAsia="en-GB"/>
              </w:rPr>
              <w:t>disparit</w:t>
            </w:r>
            <w:proofErr w:type="spellEnd"/>
            <w:r w:rsidRPr="00672DBE">
              <w:rPr>
                <w:rFonts w:ascii="Arial" w:eastAsia="Times New Roman" w:hAnsi="Arial" w:cs="Arial"/>
                <w:color w:val="212121"/>
                <w:lang w:eastAsia="en-GB"/>
              </w:rPr>
              <w:t>*) adj5 (</w:t>
            </w:r>
            <w:proofErr w:type="spellStart"/>
            <w:r w:rsidRPr="00672DBE">
              <w:rPr>
                <w:rFonts w:ascii="Arial" w:eastAsia="Times New Roman" w:hAnsi="Arial" w:cs="Arial"/>
                <w:color w:val="212121"/>
                <w:lang w:eastAsia="en-GB"/>
              </w:rPr>
              <w:t>reduc</w:t>
            </w:r>
            <w:proofErr w:type="spellEnd"/>
            <w:r w:rsidRPr="00672DBE">
              <w:rPr>
                <w:rFonts w:ascii="Arial" w:eastAsia="Times New Roman" w:hAnsi="Arial" w:cs="Arial"/>
                <w:color w:val="212121"/>
                <w:lang w:eastAsia="en-GB"/>
              </w:rPr>
              <w:t xml:space="preserve">* or </w:t>
            </w:r>
            <w:proofErr w:type="spellStart"/>
            <w:proofErr w:type="gramStart"/>
            <w:r w:rsidRPr="00672DBE">
              <w:rPr>
                <w:rFonts w:ascii="Arial" w:eastAsia="Times New Roman" w:hAnsi="Arial" w:cs="Arial"/>
                <w:color w:val="212121"/>
                <w:lang w:eastAsia="en-GB"/>
              </w:rPr>
              <w:t>minimi?e</w:t>
            </w:r>
            <w:proofErr w:type="spellEnd"/>
            <w:proofErr w:type="gramEnd"/>
            <w:r w:rsidRPr="00672DBE">
              <w:rPr>
                <w:rFonts w:ascii="Arial" w:eastAsia="Times New Roman" w:hAnsi="Arial" w:cs="Arial"/>
                <w:color w:val="212121"/>
                <w:lang w:eastAsia="en-GB"/>
              </w:rPr>
              <w:t xml:space="preserve">* or </w:t>
            </w:r>
            <w:proofErr w:type="spellStart"/>
            <w:r w:rsidRPr="00672DBE">
              <w:rPr>
                <w:rFonts w:ascii="Arial" w:eastAsia="Times New Roman" w:hAnsi="Arial" w:cs="Arial"/>
                <w:color w:val="212121"/>
                <w:lang w:eastAsia="en-GB"/>
              </w:rPr>
              <w:t>overcom</w:t>
            </w:r>
            <w:proofErr w:type="spellEnd"/>
            <w:r w:rsidRPr="00672DBE">
              <w:rPr>
                <w:rFonts w:ascii="Arial" w:eastAsia="Times New Roman" w:hAnsi="Arial" w:cs="Arial"/>
                <w:color w:val="212121"/>
                <w:lang w:eastAsia="en-GB"/>
              </w:rPr>
              <w:t xml:space="preserve">* or advance or barriers or </w:t>
            </w:r>
            <w:proofErr w:type="spellStart"/>
            <w:r w:rsidRPr="00672DBE">
              <w:rPr>
                <w:rFonts w:ascii="Arial" w:eastAsia="Times New Roman" w:hAnsi="Arial" w:cs="Arial"/>
                <w:color w:val="212121"/>
                <w:lang w:eastAsia="en-GB"/>
              </w:rPr>
              <w:t>promot</w:t>
            </w:r>
            <w:proofErr w:type="spellEnd"/>
            <w:r w:rsidRPr="00672DBE">
              <w:rPr>
                <w:rFonts w:ascii="Arial" w:eastAsia="Times New Roman" w:hAnsi="Arial" w:cs="Arial"/>
                <w:color w:val="212121"/>
                <w:lang w:eastAsia="en-GB"/>
              </w:rPr>
              <w:t>* or address* or prevent* or improv* or counter*)).ab.</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6CB786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558</w:t>
            </w:r>
          </w:p>
        </w:tc>
        <w:tc>
          <w:tcPr>
            <w:tcW w:w="0" w:type="auto"/>
            <w:vMerge/>
            <w:tcBorders>
              <w:left w:val="single" w:sz="4" w:space="0" w:color="808080"/>
              <w:bottom w:val="single" w:sz="4" w:space="0" w:color="808080"/>
              <w:right w:val="single" w:sz="4" w:space="0" w:color="808080"/>
            </w:tcBorders>
            <w:tcMar>
              <w:top w:w="100" w:type="dxa"/>
              <w:left w:w="100" w:type="dxa"/>
              <w:bottom w:w="100" w:type="dxa"/>
              <w:right w:w="100" w:type="dxa"/>
            </w:tcMar>
            <w:hideMark/>
          </w:tcPr>
          <w:p w14:paraId="46D5B984" w14:textId="77777777" w:rsidR="00EB2B55" w:rsidRPr="00672DBE" w:rsidRDefault="00EB2B55" w:rsidP="003414BB">
            <w:pPr>
              <w:spacing w:after="0" w:line="240" w:lineRule="auto"/>
              <w:rPr>
                <w:rFonts w:ascii="Arial" w:eastAsia="Times New Roman" w:hAnsi="Arial" w:cs="Arial"/>
                <w:lang w:eastAsia="en-GB"/>
              </w:rPr>
            </w:pPr>
          </w:p>
        </w:tc>
      </w:tr>
      <w:tr w:rsidR="00EB2B55" w:rsidRPr="00672DBE" w14:paraId="24301470"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B74853F"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10</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028A19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 xml:space="preserve">(gender* adj (integrated or accommodating or transformative) adj5 (strategy or strategies or intervention* or program* or initiative* or policy or policies or law or laws or </w:t>
            </w:r>
            <w:proofErr w:type="spellStart"/>
            <w:r w:rsidRPr="00672DBE">
              <w:rPr>
                <w:rFonts w:ascii="Arial" w:eastAsia="Times New Roman" w:hAnsi="Arial" w:cs="Arial"/>
                <w:color w:val="212121"/>
                <w:lang w:eastAsia="en-GB"/>
              </w:rPr>
              <w:t>evaluat</w:t>
            </w:r>
            <w:proofErr w:type="spellEnd"/>
            <w:r w:rsidRPr="00672DBE">
              <w:rPr>
                <w:rFonts w:ascii="Arial" w:eastAsia="Times New Roman" w:hAnsi="Arial" w:cs="Arial"/>
                <w:color w:val="212121"/>
                <w:lang w:eastAsia="en-GB"/>
              </w:rPr>
              <w:t>* or tool* or measure* or checklist*)</w:t>
            </w:r>
            <w:proofErr w:type="gramStart"/>
            <w:r w:rsidRPr="00672DBE">
              <w:rPr>
                <w:rFonts w:ascii="Arial" w:eastAsia="Times New Roman" w:hAnsi="Arial" w:cs="Arial"/>
                <w:color w:val="212121"/>
                <w:lang w:eastAsia="en-GB"/>
              </w:rPr>
              <w:t>).</w:t>
            </w:r>
            <w:proofErr w:type="spellStart"/>
            <w:r w:rsidRPr="00672DBE">
              <w:rPr>
                <w:rFonts w:ascii="Arial" w:eastAsia="Times New Roman" w:hAnsi="Arial" w:cs="Arial"/>
                <w:color w:val="212121"/>
                <w:lang w:eastAsia="en-GB"/>
              </w:rPr>
              <w:t>ti</w:t>
            </w:r>
            <w:proofErr w:type="gramEnd"/>
            <w:r w:rsidRPr="00672DBE">
              <w:rPr>
                <w:rFonts w:ascii="Arial" w:eastAsia="Times New Roman" w:hAnsi="Arial" w:cs="Arial"/>
                <w:color w:val="212121"/>
                <w:lang w:eastAsia="en-GB"/>
              </w:rPr>
              <w:t>,ab</w:t>
            </w:r>
            <w:proofErr w:type="spellEnd"/>
            <w:r w:rsidRPr="00672DBE">
              <w:rPr>
                <w:rFonts w:ascii="Arial" w:eastAsia="Times New Roman" w:hAnsi="Arial" w:cs="Arial"/>
                <w:color w:val="212121"/>
                <w:lang w:eastAsia="en-GB"/>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1CB362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173</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BE96762"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Gender-integrated interventions</w:t>
            </w:r>
          </w:p>
        </w:tc>
      </w:tr>
      <w:tr w:rsidR="00EB2B55" w:rsidRPr="00672DBE" w14:paraId="2DA3D6AB"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38CCD80"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11</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BB485E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8 or 9 or 10</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7821063"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2064</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3BB9083" w14:textId="77777777" w:rsidR="00EB2B55" w:rsidRPr="00672DBE" w:rsidRDefault="00EB2B55" w:rsidP="003414BB">
            <w:pPr>
              <w:spacing w:after="0" w:line="240" w:lineRule="auto"/>
              <w:rPr>
                <w:rFonts w:ascii="Arial" w:eastAsia="Times New Roman" w:hAnsi="Arial" w:cs="Arial"/>
                <w:lang w:eastAsia="en-GB"/>
              </w:rPr>
            </w:pPr>
          </w:p>
        </w:tc>
      </w:tr>
      <w:tr w:rsidR="00EB2B55" w:rsidRPr="00672DBE" w14:paraId="07CC8212"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016F393D"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12</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2F387D8"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limit 11 to yr="2014 -Current"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3AF232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lang w:eastAsia="en-GB"/>
              </w:rPr>
              <w:t>1147</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0E4E25B" w14:textId="77777777" w:rsidR="00EB2B55" w:rsidRPr="00672DBE" w:rsidRDefault="00EB2B55" w:rsidP="003414BB">
            <w:pPr>
              <w:spacing w:after="0" w:line="240" w:lineRule="auto"/>
              <w:rPr>
                <w:rFonts w:ascii="Arial" w:eastAsia="Times New Roman" w:hAnsi="Arial" w:cs="Arial"/>
                <w:lang w:eastAsia="en-GB"/>
              </w:rPr>
            </w:pPr>
          </w:p>
        </w:tc>
      </w:tr>
      <w:tr w:rsidR="00EB2B55" w:rsidRPr="00672DBE" w14:paraId="2BDBE7F2"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BA6AB2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401D7DB"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 or 12</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5C2C5B9"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1602</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7C2829E3" w14:textId="77777777" w:rsidR="00EB2B55" w:rsidRPr="00672DBE" w:rsidRDefault="00EB2B55" w:rsidP="003414BB">
            <w:pPr>
              <w:spacing w:after="0" w:line="240" w:lineRule="auto"/>
              <w:rPr>
                <w:rFonts w:ascii="Arial" w:eastAsia="Times New Roman" w:hAnsi="Arial" w:cs="Arial"/>
                <w:lang w:eastAsia="en-GB"/>
              </w:rPr>
            </w:pPr>
          </w:p>
        </w:tc>
      </w:tr>
      <w:tr w:rsidR="00EB2B55" w:rsidRPr="00672DBE" w14:paraId="3396D977"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2E5DF9C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14</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643BFA6"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(Animals/ not (Humans/ and Animals/)) or (comment or editorial or letter</w:t>
            </w:r>
            <w:proofErr w:type="gramStart"/>
            <w:r w:rsidRPr="00672DBE">
              <w:rPr>
                <w:rFonts w:ascii="Arial" w:eastAsia="Times New Roman" w:hAnsi="Arial" w:cs="Arial"/>
                <w:color w:val="212121"/>
                <w:lang w:eastAsia="en-GB"/>
              </w:rPr>
              <w:t>).pt.</w:t>
            </w:r>
            <w:proofErr w:type="gramEnd"/>
            <w:r w:rsidRPr="00672DBE">
              <w:rPr>
                <w:rFonts w:ascii="Arial" w:eastAsia="Times New Roman" w:hAnsi="Arial" w:cs="Arial"/>
                <w:color w:val="212121"/>
                <w:lang w:eastAsia="en-GB"/>
              </w:rPr>
              <w:t xml:space="preserve"> or (rats or mice or rabbits).</w:t>
            </w:r>
            <w:proofErr w:type="spellStart"/>
            <w:r w:rsidRPr="00672DBE">
              <w:rPr>
                <w:rFonts w:ascii="Arial" w:eastAsia="Times New Roman" w:hAnsi="Arial" w:cs="Arial"/>
                <w:color w:val="212121"/>
                <w:lang w:eastAsia="en-GB"/>
              </w:rPr>
              <w:t>ti</w:t>
            </w:r>
            <w:proofErr w:type="spellEnd"/>
            <w:r w:rsidRPr="00672DBE">
              <w:rPr>
                <w:rFonts w:ascii="Arial" w:eastAsia="Times New Roman" w:hAnsi="Arial" w:cs="Arial"/>
                <w:color w:val="212121"/>
                <w:lang w:eastAsia="en-GB"/>
              </w:rPr>
              <w:t>.</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01C2F47"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7408007</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644E86D1" w14:textId="77777777" w:rsidR="00EB2B55" w:rsidRPr="00672DBE" w:rsidRDefault="00EB2B55" w:rsidP="003414BB">
            <w:pPr>
              <w:spacing w:after="0" w:line="240" w:lineRule="auto"/>
              <w:rPr>
                <w:rFonts w:ascii="Arial" w:eastAsia="Times New Roman" w:hAnsi="Arial" w:cs="Arial"/>
                <w:lang w:eastAsia="en-GB"/>
              </w:rPr>
            </w:pPr>
          </w:p>
        </w:tc>
      </w:tr>
      <w:tr w:rsidR="00EB2B55" w:rsidRPr="00672DBE" w14:paraId="0D8E73D6" w14:textId="77777777" w:rsidTr="003414BB">
        <w:trPr>
          <w:trHeight w:val="170"/>
        </w:trPr>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3D218665"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15</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4A2D9434"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13 not 14</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19B5B9E" w14:textId="77777777" w:rsidR="00EB2B55" w:rsidRPr="00672DBE" w:rsidRDefault="00EB2B55" w:rsidP="003414BB">
            <w:pPr>
              <w:spacing w:after="0" w:line="240" w:lineRule="auto"/>
              <w:rPr>
                <w:rFonts w:ascii="Arial" w:eastAsia="Times New Roman" w:hAnsi="Arial" w:cs="Arial"/>
                <w:lang w:eastAsia="en-GB"/>
              </w:rPr>
            </w:pPr>
            <w:r w:rsidRPr="00672DBE">
              <w:rPr>
                <w:rFonts w:ascii="Arial" w:eastAsia="Times New Roman" w:hAnsi="Arial" w:cs="Arial"/>
                <w:color w:val="212121"/>
                <w:lang w:eastAsia="en-GB"/>
              </w:rPr>
              <w:t>1433</w:t>
            </w:r>
          </w:p>
        </w:tc>
        <w:tc>
          <w:tcPr>
            <w:tcW w:w="0" w:type="auto"/>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hideMark/>
          </w:tcPr>
          <w:p w14:paraId="5016963D" w14:textId="77777777" w:rsidR="00EB2B55" w:rsidRPr="00672DBE" w:rsidRDefault="00EB2B55" w:rsidP="003414BB">
            <w:pPr>
              <w:spacing w:after="0" w:line="240" w:lineRule="auto"/>
              <w:rPr>
                <w:rFonts w:ascii="Arial" w:eastAsia="Times New Roman" w:hAnsi="Arial" w:cs="Arial"/>
                <w:lang w:eastAsia="en-GB"/>
              </w:rPr>
            </w:pPr>
          </w:p>
        </w:tc>
      </w:tr>
    </w:tbl>
    <w:p w14:paraId="2CFE8BC5" w14:textId="77777777" w:rsidR="00EB2B55" w:rsidRPr="00672DBE" w:rsidRDefault="00EB2B55" w:rsidP="003414BB">
      <w:pPr>
        <w:spacing w:after="0" w:line="240" w:lineRule="auto"/>
        <w:jc w:val="both"/>
        <w:rPr>
          <w:rFonts w:ascii="Arial" w:eastAsia="Times New Roman" w:hAnsi="Arial" w:cs="Arial"/>
          <w:lang w:eastAsia="en-GB"/>
        </w:rPr>
      </w:pPr>
      <w:hyperlink r:id="rId21" w:history="1"/>
    </w:p>
    <w:p w14:paraId="744EA4A9" w14:textId="77777777" w:rsidR="00EB2B55" w:rsidRPr="00672DBE" w:rsidRDefault="00EB2B55" w:rsidP="003414BB">
      <w:pPr>
        <w:spacing w:after="0" w:line="240" w:lineRule="auto"/>
        <w:jc w:val="both"/>
        <w:rPr>
          <w:rFonts w:ascii="Arial" w:eastAsia="Times New Roman" w:hAnsi="Arial" w:cs="Arial"/>
          <w:lang w:eastAsia="en-GB"/>
        </w:rPr>
        <w:sectPr w:rsidR="00EB2B55" w:rsidRPr="00672DBE" w:rsidSect="00DA0F96">
          <w:pgSz w:w="11906" w:h="16838"/>
          <w:pgMar w:top="1440" w:right="1440" w:bottom="1440" w:left="1440" w:header="708" w:footer="708" w:gutter="0"/>
          <w:cols w:space="708"/>
          <w:docGrid w:linePitch="360"/>
        </w:sectPr>
      </w:pPr>
    </w:p>
    <w:p w14:paraId="7858A5C9" w14:textId="6D6C83BE" w:rsidR="00A471B8" w:rsidRPr="003300B8" w:rsidRDefault="00EB2B55" w:rsidP="00C376D4">
      <w:pPr>
        <w:pStyle w:val="Heading2"/>
        <w:rPr>
          <w:rFonts w:asciiTheme="minorHAnsi" w:hAnsiTheme="minorHAnsi" w:cstheme="minorHAnsi"/>
          <w:color w:val="4C2863"/>
        </w:rPr>
      </w:pPr>
      <w:bookmarkStart w:id="334" w:name="_Toc168392441"/>
      <w:bookmarkStart w:id="335" w:name="_Toc168392084"/>
      <w:bookmarkStart w:id="336" w:name="_Toc168393614"/>
      <w:bookmarkStart w:id="337" w:name="_Toc168393656"/>
      <w:bookmarkStart w:id="338" w:name="_Toc168394330"/>
      <w:bookmarkStart w:id="339" w:name="_Toc168394468"/>
      <w:r w:rsidRPr="003300B8">
        <w:rPr>
          <w:rFonts w:asciiTheme="minorHAnsi" w:hAnsiTheme="minorHAnsi" w:cstheme="minorHAnsi"/>
          <w:color w:val="4C2863"/>
        </w:rPr>
        <w:lastRenderedPageBreak/>
        <w:t xml:space="preserve">Appendix </w:t>
      </w:r>
      <w:r w:rsidR="00CC4682" w:rsidRPr="003300B8">
        <w:rPr>
          <w:rFonts w:asciiTheme="minorHAnsi" w:hAnsiTheme="minorHAnsi" w:cstheme="minorHAnsi"/>
          <w:color w:val="4C2863"/>
        </w:rPr>
        <w:t>B</w:t>
      </w:r>
      <w:r w:rsidRPr="003300B8">
        <w:rPr>
          <w:rFonts w:asciiTheme="minorHAnsi" w:hAnsiTheme="minorHAnsi" w:cstheme="minorHAnsi"/>
          <w:color w:val="4C2863"/>
        </w:rPr>
        <w:t>.</w:t>
      </w:r>
      <w:bookmarkEnd w:id="334"/>
      <w:r w:rsidRPr="003300B8">
        <w:rPr>
          <w:rFonts w:asciiTheme="minorHAnsi" w:hAnsiTheme="minorHAnsi" w:cstheme="minorHAnsi"/>
          <w:color w:val="4C2863"/>
        </w:rPr>
        <w:t xml:space="preserve">  </w:t>
      </w:r>
      <w:bookmarkEnd w:id="335"/>
      <w:r w:rsidR="00E93171" w:rsidRPr="003300B8">
        <w:rPr>
          <w:rFonts w:asciiTheme="minorHAnsi" w:hAnsiTheme="minorHAnsi" w:cstheme="minorHAnsi"/>
          <w:color w:val="4C2863"/>
        </w:rPr>
        <w:t xml:space="preserve">Data </w:t>
      </w:r>
      <w:r w:rsidR="00CF26C1" w:rsidRPr="003300B8">
        <w:rPr>
          <w:rFonts w:asciiTheme="minorHAnsi" w:hAnsiTheme="minorHAnsi" w:cstheme="minorHAnsi"/>
          <w:color w:val="4C2863"/>
        </w:rPr>
        <w:t>E</w:t>
      </w:r>
      <w:r w:rsidR="00E93171" w:rsidRPr="003300B8">
        <w:rPr>
          <w:rFonts w:asciiTheme="minorHAnsi" w:hAnsiTheme="minorHAnsi" w:cstheme="minorHAnsi"/>
          <w:color w:val="4C2863"/>
        </w:rPr>
        <w:t xml:space="preserve">xtraction </w:t>
      </w:r>
      <w:r w:rsidR="00CF26C1" w:rsidRPr="003300B8">
        <w:rPr>
          <w:rFonts w:asciiTheme="minorHAnsi" w:hAnsiTheme="minorHAnsi" w:cstheme="minorHAnsi"/>
          <w:color w:val="4C2863"/>
        </w:rPr>
        <w:t>T</w:t>
      </w:r>
      <w:r w:rsidR="00E93171" w:rsidRPr="003300B8">
        <w:rPr>
          <w:rFonts w:asciiTheme="minorHAnsi" w:hAnsiTheme="minorHAnsi" w:cstheme="minorHAnsi"/>
          <w:color w:val="4C2863"/>
        </w:rPr>
        <w:t xml:space="preserve">able by </w:t>
      </w:r>
      <w:r w:rsidR="00CF26C1" w:rsidRPr="003300B8">
        <w:rPr>
          <w:rFonts w:asciiTheme="minorHAnsi" w:hAnsiTheme="minorHAnsi" w:cstheme="minorHAnsi"/>
          <w:color w:val="4C2863"/>
        </w:rPr>
        <w:t>R</w:t>
      </w:r>
      <w:r w:rsidR="00E93171" w:rsidRPr="003300B8">
        <w:rPr>
          <w:rFonts w:asciiTheme="minorHAnsi" w:hAnsiTheme="minorHAnsi" w:cstheme="minorHAnsi"/>
          <w:color w:val="4C2863"/>
        </w:rPr>
        <w:t xml:space="preserve">esearch </w:t>
      </w:r>
      <w:r w:rsidR="00CF26C1" w:rsidRPr="003300B8">
        <w:rPr>
          <w:rFonts w:asciiTheme="minorHAnsi" w:hAnsiTheme="minorHAnsi" w:cstheme="minorHAnsi"/>
          <w:color w:val="4C2863"/>
        </w:rPr>
        <w:t>Q</w:t>
      </w:r>
      <w:r w:rsidR="00E93171" w:rsidRPr="003300B8">
        <w:rPr>
          <w:rFonts w:asciiTheme="minorHAnsi" w:hAnsiTheme="minorHAnsi" w:cstheme="minorHAnsi"/>
          <w:color w:val="4C2863"/>
        </w:rPr>
        <w:t>ues</w:t>
      </w:r>
      <w:r w:rsidR="002655F9" w:rsidRPr="003300B8">
        <w:rPr>
          <w:rFonts w:asciiTheme="minorHAnsi" w:hAnsiTheme="minorHAnsi" w:cstheme="minorHAnsi"/>
          <w:color w:val="4C2863"/>
        </w:rPr>
        <w:t>t</w:t>
      </w:r>
      <w:r w:rsidR="00E93171" w:rsidRPr="003300B8">
        <w:rPr>
          <w:rFonts w:asciiTheme="minorHAnsi" w:hAnsiTheme="minorHAnsi" w:cstheme="minorHAnsi"/>
          <w:color w:val="4C2863"/>
        </w:rPr>
        <w:t>ions</w:t>
      </w:r>
      <w:bookmarkEnd w:id="336"/>
      <w:bookmarkEnd w:id="337"/>
      <w:bookmarkEnd w:id="338"/>
      <w:bookmarkEnd w:id="339"/>
    </w:p>
    <w:p w14:paraId="5E3E21A4" w14:textId="0FB1A27E" w:rsidR="006108CD" w:rsidRPr="00672DBE" w:rsidRDefault="00A471B8" w:rsidP="00094656">
      <w:pPr>
        <w:rPr>
          <w:b/>
          <w:sz w:val="24"/>
          <w:szCs w:val="24"/>
        </w:rPr>
      </w:pPr>
      <w:r>
        <w:rPr>
          <w:b/>
          <w:sz w:val="24"/>
          <w:szCs w:val="24"/>
        </w:rPr>
        <w:t xml:space="preserve">Table B1. </w:t>
      </w:r>
      <w:r w:rsidR="00EB2B55" w:rsidRPr="00672DBE">
        <w:rPr>
          <w:b/>
          <w:sz w:val="24"/>
          <w:szCs w:val="24"/>
        </w:rPr>
        <w:t>Q</w:t>
      </w:r>
      <w:r w:rsidR="005253AB">
        <w:rPr>
          <w:b/>
          <w:sz w:val="24"/>
          <w:szCs w:val="24"/>
        </w:rPr>
        <w:t xml:space="preserve">uestion </w:t>
      </w:r>
      <w:r w:rsidR="00EB2B55" w:rsidRPr="00672DBE">
        <w:rPr>
          <w:b/>
          <w:sz w:val="24"/>
          <w:szCs w:val="24"/>
        </w:rPr>
        <w:t>1</w:t>
      </w:r>
      <w:r w:rsidR="005253AB">
        <w:rPr>
          <w:b/>
          <w:sz w:val="24"/>
          <w:szCs w:val="24"/>
        </w:rPr>
        <w:t>:</w:t>
      </w:r>
      <w:r w:rsidR="00EB2B55" w:rsidRPr="00672DBE">
        <w:rPr>
          <w:b/>
          <w:sz w:val="24"/>
          <w:szCs w:val="24"/>
        </w:rPr>
        <w:t xml:space="preserve"> What are the barriers to gender equity in health care and services experienced by women and girls in Australia?</w:t>
      </w:r>
    </w:p>
    <w:tbl>
      <w:tblPr>
        <w:tblStyle w:val="TableGrid"/>
        <w:tblW w:w="0" w:type="auto"/>
        <w:tblLayout w:type="fixed"/>
        <w:tblLook w:val="04A0" w:firstRow="1" w:lastRow="0" w:firstColumn="1" w:lastColumn="0" w:noHBand="0" w:noVBand="1"/>
      </w:tblPr>
      <w:tblGrid>
        <w:gridCol w:w="1271"/>
        <w:gridCol w:w="2552"/>
        <w:gridCol w:w="2673"/>
        <w:gridCol w:w="1579"/>
        <w:gridCol w:w="2552"/>
        <w:gridCol w:w="4761"/>
      </w:tblGrid>
      <w:tr w:rsidR="00BE2056" w:rsidRPr="00672DBE" w14:paraId="1CC7C1A4" w14:textId="77777777" w:rsidTr="005A6797">
        <w:trPr>
          <w:trHeight w:val="576"/>
          <w:tblHeader/>
        </w:trPr>
        <w:tc>
          <w:tcPr>
            <w:tcW w:w="1271" w:type="dxa"/>
            <w:hideMark/>
          </w:tcPr>
          <w:p w14:paraId="60E4DBFD" w14:textId="67B3C301" w:rsidR="00D96978" w:rsidRPr="00672DBE" w:rsidRDefault="00EB2B55" w:rsidP="003414BB">
            <w:pPr>
              <w:rPr>
                <w:b/>
                <w:bCs/>
              </w:rPr>
            </w:pPr>
            <w:r w:rsidRPr="00672DBE">
              <w:rPr>
                <w:b/>
                <w:bCs/>
              </w:rPr>
              <w:t xml:space="preserve">Author, </w:t>
            </w:r>
            <w:r w:rsidR="009249C8">
              <w:rPr>
                <w:b/>
                <w:bCs/>
              </w:rPr>
              <w:t>y</w:t>
            </w:r>
            <w:r w:rsidR="009249C8" w:rsidRPr="00672DBE">
              <w:rPr>
                <w:b/>
                <w:bCs/>
              </w:rPr>
              <w:t>ear</w:t>
            </w:r>
            <w:r w:rsidRPr="00672DBE">
              <w:rPr>
                <w:b/>
                <w:bCs/>
              </w:rPr>
              <w:t xml:space="preserve">, </w:t>
            </w:r>
            <w:r w:rsidR="009249C8">
              <w:rPr>
                <w:b/>
                <w:bCs/>
              </w:rPr>
              <w:t>c</w:t>
            </w:r>
            <w:r w:rsidR="009249C8" w:rsidRPr="00672DBE">
              <w:rPr>
                <w:b/>
                <w:bCs/>
              </w:rPr>
              <w:t>ountry</w:t>
            </w:r>
          </w:p>
        </w:tc>
        <w:tc>
          <w:tcPr>
            <w:tcW w:w="2552" w:type="dxa"/>
            <w:hideMark/>
          </w:tcPr>
          <w:p w14:paraId="46D862DC" w14:textId="764CF88B" w:rsidR="00EB2B55" w:rsidRPr="00672DBE" w:rsidRDefault="00EB2B55" w:rsidP="003414BB">
            <w:pPr>
              <w:rPr>
                <w:b/>
                <w:bCs/>
              </w:rPr>
            </w:pPr>
            <w:r w:rsidRPr="00672DBE">
              <w:rPr>
                <w:b/>
                <w:bCs/>
              </w:rPr>
              <w:t xml:space="preserve">Aim, </w:t>
            </w:r>
            <w:r w:rsidR="009249C8">
              <w:rPr>
                <w:b/>
                <w:bCs/>
              </w:rPr>
              <w:t>s</w:t>
            </w:r>
            <w:r w:rsidR="009249C8" w:rsidRPr="00672DBE">
              <w:rPr>
                <w:b/>
                <w:bCs/>
              </w:rPr>
              <w:t xml:space="preserve">tudy </w:t>
            </w:r>
            <w:r w:rsidRPr="00672DBE">
              <w:rPr>
                <w:b/>
                <w:bCs/>
              </w:rPr>
              <w:t>design</w:t>
            </w:r>
          </w:p>
        </w:tc>
        <w:tc>
          <w:tcPr>
            <w:tcW w:w="2673" w:type="dxa"/>
            <w:hideMark/>
          </w:tcPr>
          <w:p w14:paraId="7655659D" w14:textId="373CFA1F" w:rsidR="00EB2B55" w:rsidRPr="00672DBE" w:rsidRDefault="00EB2B55" w:rsidP="003414BB">
            <w:pPr>
              <w:rPr>
                <w:b/>
                <w:bCs/>
              </w:rPr>
            </w:pPr>
            <w:r w:rsidRPr="00672DBE">
              <w:rPr>
                <w:b/>
                <w:bCs/>
              </w:rPr>
              <w:t xml:space="preserve">Sample size, </w:t>
            </w:r>
            <w:r w:rsidR="009249C8">
              <w:rPr>
                <w:b/>
                <w:bCs/>
              </w:rPr>
              <w:t>p</w:t>
            </w:r>
            <w:r w:rsidR="009249C8" w:rsidRPr="00672DBE">
              <w:rPr>
                <w:b/>
                <w:bCs/>
              </w:rPr>
              <w:t>articipants</w:t>
            </w:r>
            <w:r w:rsidRPr="00672DBE">
              <w:rPr>
                <w:b/>
                <w:bCs/>
              </w:rPr>
              <w:t xml:space="preserve">, </w:t>
            </w:r>
            <w:r w:rsidR="009249C8">
              <w:rPr>
                <w:b/>
                <w:bCs/>
              </w:rPr>
              <w:t>s</w:t>
            </w:r>
            <w:r w:rsidR="009249C8" w:rsidRPr="00672DBE">
              <w:rPr>
                <w:b/>
                <w:bCs/>
              </w:rPr>
              <w:t>etting</w:t>
            </w:r>
          </w:p>
        </w:tc>
        <w:tc>
          <w:tcPr>
            <w:tcW w:w="1579" w:type="dxa"/>
            <w:hideMark/>
          </w:tcPr>
          <w:p w14:paraId="4528341E" w14:textId="77777777" w:rsidR="00EB2B55" w:rsidRPr="00672DBE" w:rsidRDefault="00EB2B55" w:rsidP="003414BB">
            <w:pPr>
              <w:rPr>
                <w:b/>
                <w:bCs/>
              </w:rPr>
            </w:pPr>
            <w:r w:rsidRPr="00672DBE">
              <w:rPr>
                <w:b/>
                <w:bCs/>
              </w:rPr>
              <w:t>Definition or clarification of sex/gender</w:t>
            </w:r>
          </w:p>
        </w:tc>
        <w:tc>
          <w:tcPr>
            <w:tcW w:w="2552" w:type="dxa"/>
            <w:hideMark/>
          </w:tcPr>
          <w:p w14:paraId="326434F2" w14:textId="395459B8" w:rsidR="00EB2B55" w:rsidRPr="00672DBE" w:rsidRDefault="00EB2B55" w:rsidP="003414BB">
            <w:pPr>
              <w:rPr>
                <w:b/>
                <w:bCs/>
              </w:rPr>
            </w:pPr>
            <w:r w:rsidRPr="00672DBE">
              <w:rPr>
                <w:b/>
                <w:bCs/>
              </w:rPr>
              <w:t xml:space="preserve">Outcome </w:t>
            </w:r>
            <w:r w:rsidR="009249C8">
              <w:rPr>
                <w:b/>
                <w:bCs/>
              </w:rPr>
              <w:t>&amp;</w:t>
            </w:r>
            <w:r w:rsidR="009249C8" w:rsidRPr="00672DBE">
              <w:rPr>
                <w:b/>
                <w:bCs/>
              </w:rPr>
              <w:t xml:space="preserve"> </w:t>
            </w:r>
            <w:r w:rsidRPr="00672DBE">
              <w:rPr>
                <w:b/>
                <w:bCs/>
              </w:rPr>
              <w:t>measures</w:t>
            </w:r>
          </w:p>
        </w:tc>
        <w:tc>
          <w:tcPr>
            <w:tcW w:w="4761" w:type="dxa"/>
            <w:hideMark/>
          </w:tcPr>
          <w:p w14:paraId="494FFDC8" w14:textId="7402CC3F" w:rsidR="00EB2B55" w:rsidRPr="00672DBE" w:rsidRDefault="00EB2B55" w:rsidP="003414BB">
            <w:pPr>
              <w:rPr>
                <w:b/>
                <w:bCs/>
              </w:rPr>
            </w:pPr>
            <w:r w:rsidRPr="00672DBE">
              <w:rPr>
                <w:b/>
                <w:bCs/>
              </w:rPr>
              <w:t>Results/</w:t>
            </w:r>
            <w:r w:rsidR="002D33A6">
              <w:rPr>
                <w:b/>
                <w:bCs/>
              </w:rPr>
              <w:t>m</w:t>
            </w:r>
            <w:r w:rsidR="002D33A6" w:rsidRPr="00672DBE">
              <w:rPr>
                <w:b/>
                <w:bCs/>
              </w:rPr>
              <w:t xml:space="preserve">ain </w:t>
            </w:r>
            <w:r w:rsidRPr="00672DBE">
              <w:rPr>
                <w:b/>
                <w:bCs/>
              </w:rPr>
              <w:t>findings</w:t>
            </w:r>
          </w:p>
        </w:tc>
      </w:tr>
      <w:tr w:rsidR="00954954" w:rsidRPr="00672DBE" w14:paraId="68FA8D68" w14:textId="77777777" w:rsidTr="00A21541">
        <w:trPr>
          <w:cantSplit/>
        </w:trPr>
        <w:tc>
          <w:tcPr>
            <w:tcW w:w="1271" w:type="dxa"/>
            <w:hideMark/>
          </w:tcPr>
          <w:p w14:paraId="365C7E34" w14:textId="6BC2B98F" w:rsidR="00D96978" w:rsidRPr="00672DBE" w:rsidRDefault="00EB2B55" w:rsidP="003414BB">
            <w:r w:rsidRPr="00672DBE">
              <w:t>Brucki et al.</w:t>
            </w:r>
            <w:r w:rsidR="00031304">
              <w:t>,</w:t>
            </w:r>
            <w:r w:rsidRPr="00672DBE">
              <w:t xml:space="preserve"> 2023, Australia</w:t>
            </w:r>
          </w:p>
        </w:tc>
        <w:tc>
          <w:tcPr>
            <w:tcW w:w="2552" w:type="dxa"/>
            <w:hideMark/>
          </w:tcPr>
          <w:p w14:paraId="2B8FE837" w14:textId="41B6F207" w:rsidR="00954954" w:rsidRDefault="00EB2B55" w:rsidP="00E351B9">
            <w:r w:rsidRPr="00672DBE">
              <w:t>To evaluate gender inequities associated with increased psychological distress in Victorian women aged 18</w:t>
            </w:r>
            <w:r w:rsidR="00160D5E" w:rsidRPr="00672DBE">
              <w:t>+</w:t>
            </w:r>
            <w:r w:rsidRPr="00672DBE">
              <w:t xml:space="preserve"> living independently </w:t>
            </w:r>
            <w:r w:rsidR="00E351B9">
              <w:t>d</w:t>
            </w:r>
            <w:r w:rsidRPr="00672DBE">
              <w:t xml:space="preserve">uring </w:t>
            </w:r>
            <w:r w:rsidR="00160D5E" w:rsidRPr="00672DBE">
              <w:t>stay</w:t>
            </w:r>
            <w:r w:rsidRPr="00672DBE">
              <w:t>-at-home directions for COVID</w:t>
            </w:r>
            <w:r w:rsidR="00160D5E" w:rsidRPr="00672DBE">
              <w:t>-</w:t>
            </w:r>
            <w:r w:rsidRPr="00672DBE">
              <w:t>19</w:t>
            </w:r>
            <w:r w:rsidR="00954954">
              <w:t>.</w:t>
            </w:r>
            <w:r w:rsidRPr="00672DBE">
              <w:t xml:space="preserve"> </w:t>
            </w:r>
          </w:p>
          <w:p w14:paraId="156271A0" w14:textId="582AC447" w:rsidR="00EB2B55" w:rsidRPr="00672DBE" w:rsidRDefault="00E351B9" w:rsidP="003414BB">
            <w:r>
              <w:t>Literature review: qualitative &amp; quantitative peer-reviewed, grey literature.</w:t>
            </w:r>
            <w:r w:rsidR="00160D5E" w:rsidRPr="00672DBE">
              <w:t xml:space="preserve">   </w:t>
            </w:r>
          </w:p>
        </w:tc>
        <w:tc>
          <w:tcPr>
            <w:tcW w:w="2673" w:type="dxa"/>
            <w:hideMark/>
          </w:tcPr>
          <w:p w14:paraId="6926805D" w14:textId="69AE6EB3" w:rsidR="00954954" w:rsidRDefault="00EB2B55" w:rsidP="00E351B9">
            <w:r w:rsidRPr="00672DBE">
              <w:t>5,926,624 people</w:t>
            </w:r>
            <w:r w:rsidR="00954954">
              <w:t>,</w:t>
            </w:r>
            <w:r w:rsidR="00E351B9">
              <w:t xml:space="preserve"> </w:t>
            </w:r>
            <w:r w:rsidRPr="00672DBE">
              <w:t xml:space="preserve">50.9% (n = 3,018,549) </w:t>
            </w:r>
            <w:r w:rsidR="00E351B9">
              <w:t>women</w:t>
            </w:r>
            <w:r w:rsidR="00954954">
              <w:t>.</w:t>
            </w:r>
          </w:p>
          <w:p w14:paraId="7CADCDB4" w14:textId="0211E1B9" w:rsidR="00EB2B55" w:rsidRPr="00672DBE" w:rsidRDefault="00EB2B55" w:rsidP="003414BB">
            <w:r w:rsidRPr="00672DBE">
              <w:t xml:space="preserve">Victoria in lockdown </w:t>
            </w:r>
            <w:r w:rsidR="00954954">
              <w:t xml:space="preserve">6 </w:t>
            </w:r>
            <w:r w:rsidRPr="00672DBE">
              <w:t>times for 264 days</w:t>
            </w:r>
            <w:r w:rsidR="00954954">
              <w:t>.</w:t>
            </w:r>
          </w:p>
        </w:tc>
        <w:tc>
          <w:tcPr>
            <w:tcW w:w="1579" w:type="dxa"/>
            <w:hideMark/>
          </w:tcPr>
          <w:p w14:paraId="32B976A4" w14:textId="49EC4D13" w:rsidR="00BC5522" w:rsidRPr="00672DBE" w:rsidRDefault="00BC5522" w:rsidP="00BC5522">
            <w:r>
              <w:t>Use</w:t>
            </w:r>
            <w:r w:rsidR="00E351B9">
              <w:t xml:space="preserve"> existing data</w:t>
            </w:r>
            <w:r>
              <w:t xml:space="preserve"> where p</w:t>
            </w:r>
            <w:r w:rsidR="00EB2B55" w:rsidRPr="00672DBE">
              <w:t xml:space="preserve">articipants treated as binary sex. </w:t>
            </w:r>
            <w:r>
              <w:t xml:space="preserve">Sex usually called </w:t>
            </w:r>
            <w:r w:rsidR="008D1556">
              <w:t>“</w:t>
            </w:r>
            <w:r>
              <w:t>gender</w:t>
            </w:r>
            <w:r w:rsidR="008D1556">
              <w:t>”</w:t>
            </w:r>
            <w:r>
              <w:t xml:space="preserve">, but </w:t>
            </w:r>
            <w:r w:rsidRPr="009B627F">
              <w:t xml:space="preserve">towards end </w:t>
            </w:r>
            <w:r w:rsidR="004746C2" w:rsidRPr="009B627F">
              <w:t xml:space="preserve">of </w:t>
            </w:r>
            <w:r w:rsidRPr="009B627F">
              <w:t xml:space="preserve">paper, </w:t>
            </w:r>
            <w:r w:rsidR="008D1556">
              <w:t>call</w:t>
            </w:r>
            <w:r w:rsidRPr="009B627F">
              <w:t xml:space="preserve"> gender “a social construct”.</w:t>
            </w:r>
          </w:p>
        </w:tc>
        <w:tc>
          <w:tcPr>
            <w:tcW w:w="2552" w:type="dxa"/>
            <w:hideMark/>
          </w:tcPr>
          <w:p w14:paraId="34EF2D9B" w14:textId="748D4529" w:rsidR="00BE2056" w:rsidRDefault="00E351B9" w:rsidP="003414BB">
            <w:r>
              <w:t>Occupation, psychological distress, loneliness, &amp; other h</w:t>
            </w:r>
            <w:r w:rsidRPr="00672DBE">
              <w:t xml:space="preserve">ealth </w:t>
            </w:r>
            <w:r w:rsidR="00EB2B55" w:rsidRPr="00672DBE">
              <w:t>impacts</w:t>
            </w:r>
            <w:r w:rsidR="00BE2056">
              <w:t>.</w:t>
            </w:r>
          </w:p>
          <w:p w14:paraId="10093BFC" w14:textId="6AA326F6" w:rsidR="00EB2B55" w:rsidRPr="00672DBE" w:rsidRDefault="00EB2B55" w:rsidP="003414BB">
            <w:r w:rsidRPr="00672DBE">
              <w:t>Equity-Focused Health Impact Assessment (EFHIA)</w:t>
            </w:r>
          </w:p>
        </w:tc>
        <w:tc>
          <w:tcPr>
            <w:tcW w:w="4761" w:type="dxa"/>
            <w:hideMark/>
          </w:tcPr>
          <w:p w14:paraId="3D6EE09D" w14:textId="044AF306" w:rsidR="00D23787" w:rsidRDefault="00A241FC" w:rsidP="003414BB">
            <w:r w:rsidRPr="00702CBA">
              <w:t>•</w:t>
            </w:r>
            <w:r>
              <w:t xml:space="preserve"> </w:t>
            </w:r>
            <w:r w:rsidR="00BE2056">
              <w:t>L</w:t>
            </w:r>
            <w:r w:rsidR="00EB2B55" w:rsidRPr="00672DBE">
              <w:t xml:space="preserve">ockdown policies generated </w:t>
            </w:r>
            <w:r w:rsidR="00BE2056">
              <w:t>&amp;</w:t>
            </w:r>
            <w:r w:rsidR="00BE2056" w:rsidRPr="00672DBE">
              <w:t xml:space="preserve"> </w:t>
            </w:r>
            <w:r w:rsidR="00EB2B55" w:rsidRPr="00672DBE">
              <w:t>perpetuated avoidable inequities</w:t>
            </w:r>
            <w:r w:rsidR="00BE2056">
              <w:t>,</w:t>
            </w:r>
            <w:r w:rsidR="00EB2B55" w:rsidRPr="00672DBE">
              <w:t xml:space="preserve"> harming mental health</w:t>
            </w:r>
            <w:r w:rsidR="00BE2056">
              <w:t>:</w:t>
            </w:r>
            <w:r w:rsidR="00EB2B55" w:rsidRPr="00672DBE">
              <w:t xml:space="preserve"> increased psychological distress, particularly for women</w:t>
            </w:r>
            <w:r w:rsidR="00D23787">
              <w:t>.</w:t>
            </w:r>
          </w:p>
          <w:p w14:paraId="3728634C" w14:textId="761D726A" w:rsidR="00D23787" w:rsidRDefault="00EB2B55" w:rsidP="003414BB">
            <w:r w:rsidRPr="00672DBE">
              <w:t>Anxiety Symptoms</w:t>
            </w:r>
            <w:r w:rsidR="00D23787">
              <w:t>:</w:t>
            </w:r>
            <w:r w:rsidR="00D23787" w:rsidRPr="00672DBE">
              <w:t xml:space="preserve">  </w:t>
            </w:r>
          </w:p>
          <w:p w14:paraId="4366453E" w14:textId="46749EE2" w:rsidR="00D23787" w:rsidRDefault="00A241FC" w:rsidP="003414BB">
            <w:r w:rsidRPr="00702CBA">
              <w:t>•</w:t>
            </w:r>
            <w:r w:rsidR="00EB2B55" w:rsidRPr="00672DBE">
              <w:t xml:space="preserve"> Restless or fidgety: </w:t>
            </w:r>
            <w:r>
              <w:t>w</w:t>
            </w:r>
            <w:r w:rsidRPr="00672DBE">
              <w:t xml:space="preserve">omen </w:t>
            </w:r>
            <w:r w:rsidR="00EB2B55" w:rsidRPr="00672DBE">
              <w:t xml:space="preserve">43.5%, </w:t>
            </w:r>
            <w:r>
              <w:t>m</w:t>
            </w:r>
            <w:r w:rsidRPr="00672DBE">
              <w:t xml:space="preserve">en </w:t>
            </w:r>
            <w:r w:rsidR="00EB2B55" w:rsidRPr="00672DBE">
              <w:t>38.4</w:t>
            </w:r>
            <w:r w:rsidRPr="00672DBE">
              <w:t>%</w:t>
            </w:r>
            <w:r>
              <w:t>.</w:t>
            </w:r>
          </w:p>
          <w:p w14:paraId="1115513D" w14:textId="4B5E05DF" w:rsidR="00A241FC" w:rsidRDefault="00A241FC" w:rsidP="003414BB">
            <w:r w:rsidRPr="00702CBA">
              <w:t>•</w:t>
            </w:r>
            <w:r w:rsidR="00EB2B55" w:rsidRPr="00672DBE">
              <w:t xml:space="preserve"> Nervou</w:t>
            </w:r>
            <w:r w:rsidR="00D23787">
              <w:t>s</w:t>
            </w:r>
            <w:r w:rsidR="00EB2B55" w:rsidRPr="00672DBE">
              <w:t xml:space="preserve">: </w:t>
            </w:r>
            <w:r>
              <w:t>w</w:t>
            </w:r>
            <w:r w:rsidRPr="00672DBE">
              <w:t xml:space="preserve">omen </w:t>
            </w:r>
            <w:r w:rsidR="00EB2B55" w:rsidRPr="00672DBE">
              <w:t xml:space="preserve">50.0%, </w:t>
            </w:r>
            <w:r>
              <w:t>m</w:t>
            </w:r>
            <w:r w:rsidRPr="00672DBE">
              <w:t xml:space="preserve">en </w:t>
            </w:r>
            <w:r w:rsidR="00EB2B55" w:rsidRPr="00672DBE">
              <w:t>41.0%</w:t>
            </w:r>
            <w:r>
              <w:t>.</w:t>
            </w:r>
          </w:p>
          <w:p w14:paraId="065CFC7D" w14:textId="1918DEBB" w:rsidR="00D23787" w:rsidRDefault="00A241FC" w:rsidP="003414BB">
            <w:r w:rsidRPr="00702CBA">
              <w:t>•</w:t>
            </w:r>
            <w:r w:rsidR="00EB2B55" w:rsidRPr="00672DBE">
              <w:t xml:space="preserve"> Everything is an effort: </w:t>
            </w:r>
            <w:r>
              <w:t>w</w:t>
            </w:r>
            <w:r w:rsidRPr="00672DBE">
              <w:t xml:space="preserve">omen </w:t>
            </w:r>
            <w:r w:rsidR="00EB2B55" w:rsidRPr="00672DBE">
              <w:t xml:space="preserve">44.7%, </w:t>
            </w:r>
            <w:r>
              <w:t>m</w:t>
            </w:r>
            <w:r w:rsidRPr="00672DBE">
              <w:t xml:space="preserve">en </w:t>
            </w:r>
            <w:r w:rsidR="00EB2B55" w:rsidRPr="00672DBE">
              <w:t>36.2</w:t>
            </w:r>
            <w:r w:rsidRPr="00672DBE">
              <w:t>%</w:t>
            </w:r>
            <w:r>
              <w:t>.</w:t>
            </w:r>
          </w:p>
          <w:p w14:paraId="72955777" w14:textId="36E6CF86" w:rsidR="00D23787" w:rsidRDefault="00D23787" w:rsidP="00D23787">
            <w:r>
              <w:t>D</w:t>
            </w:r>
            <w:r w:rsidR="00EB2B55" w:rsidRPr="00672DBE">
              <w:t>epression</w:t>
            </w:r>
            <w:r>
              <w:t xml:space="preserve"> symptom:</w:t>
            </w:r>
          </w:p>
          <w:p w14:paraId="4D4EF42F" w14:textId="0E22DC1D" w:rsidR="00EB2B55" w:rsidRPr="00672DBE" w:rsidRDefault="00A241FC" w:rsidP="00D23787">
            <w:r w:rsidRPr="00702CBA">
              <w:t>•</w:t>
            </w:r>
            <w:r w:rsidR="00D23787">
              <w:t xml:space="preserve"> </w:t>
            </w:r>
            <w:r w:rsidR="00EB2B55" w:rsidRPr="00672DBE">
              <w:t xml:space="preserve">Loneliness: </w:t>
            </w:r>
            <w:r>
              <w:t>w</w:t>
            </w:r>
            <w:r w:rsidRPr="00672DBE">
              <w:t xml:space="preserve">omen </w:t>
            </w:r>
            <w:r w:rsidR="00EB2B55" w:rsidRPr="00672DBE">
              <w:t xml:space="preserve">28.0%, </w:t>
            </w:r>
            <w:r>
              <w:t>m</w:t>
            </w:r>
            <w:r w:rsidRPr="00672DBE">
              <w:t xml:space="preserve">en </w:t>
            </w:r>
            <w:r w:rsidR="00EB2B55" w:rsidRPr="00672DBE">
              <w:t>16.0%</w:t>
            </w:r>
            <w:r w:rsidR="00D23787">
              <w:t>.</w:t>
            </w:r>
          </w:p>
        </w:tc>
      </w:tr>
      <w:tr w:rsidR="00795723" w:rsidRPr="000A1FC1" w14:paraId="22EB304C" w14:textId="77777777" w:rsidTr="00A60E99">
        <w:trPr>
          <w:cantSplit/>
        </w:trPr>
        <w:tc>
          <w:tcPr>
            <w:tcW w:w="1271" w:type="dxa"/>
          </w:tcPr>
          <w:p w14:paraId="6CE054F4" w14:textId="5E970E36" w:rsidR="00795723" w:rsidRPr="00696B71" w:rsidRDefault="00795723" w:rsidP="00795723">
            <w:pPr>
              <w:rPr>
                <w:rFonts w:cstheme="minorHAnsi"/>
              </w:rPr>
            </w:pPr>
            <w:r w:rsidRPr="00F34379">
              <w:rPr>
                <w:rFonts w:cstheme="minorHAnsi"/>
              </w:rPr>
              <w:t>Fogg et al., 2019, Australia</w:t>
            </w:r>
          </w:p>
        </w:tc>
        <w:tc>
          <w:tcPr>
            <w:tcW w:w="2552" w:type="dxa"/>
          </w:tcPr>
          <w:p w14:paraId="64090894" w14:textId="77777777" w:rsidR="00795723" w:rsidRPr="00F34379" w:rsidRDefault="00795723" w:rsidP="00795723">
            <w:pPr>
              <w:rPr>
                <w:rFonts w:cstheme="minorHAnsi"/>
              </w:rPr>
            </w:pPr>
            <w:r w:rsidRPr="00F34379">
              <w:rPr>
                <w:rFonts w:cstheme="minorHAnsi"/>
              </w:rPr>
              <w:t>To quantify sex differences in diagnostic and revascularisation coronary procedures within 1 year of hospitalisation for acute myocardial infarction (AMI) or angina.</w:t>
            </w:r>
          </w:p>
          <w:p w14:paraId="7527F898" w14:textId="5AD7FD19" w:rsidR="00795723" w:rsidRPr="00696B71" w:rsidRDefault="00795723" w:rsidP="00795723">
            <w:pPr>
              <w:rPr>
                <w:rFonts w:cstheme="minorHAnsi"/>
              </w:rPr>
            </w:pPr>
            <w:r w:rsidRPr="00F34379">
              <w:rPr>
                <w:rFonts w:cstheme="minorHAnsi"/>
              </w:rPr>
              <w:t>Prospective cohort study.</w:t>
            </w:r>
          </w:p>
        </w:tc>
        <w:tc>
          <w:tcPr>
            <w:tcW w:w="2673" w:type="dxa"/>
          </w:tcPr>
          <w:p w14:paraId="2B157BEE" w14:textId="4F0A91B1" w:rsidR="00795723" w:rsidRPr="00F34379" w:rsidRDefault="00795723" w:rsidP="00795723">
            <w:pPr>
              <w:rPr>
                <w:rFonts w:cstheme="minorHAnsi"/>
              </w:rPr>
            </w:pPr>
            <w:r w:rsidRPr="00F34379">
              <w:rPr>
                <w:rFonts w:cstheme="minorHAnsi"/>
              </w:rPr>
              <w:t>9037 patients: 4580 admitted with AMI</w:t>
            </w:r>
            <w:r w:rsidR="000A1FC1" w:rsidRPr="00696B71">
              <w:rPr>
                <w:rFonts w:cstheme="minorHAnsi"/>
              </w:rPr>
              <w:t>,</w:t>
            </w:r>
            <w:r w:rsidRPr="00F34379">
              <w:rPr>
                <w:rFonts w:cstheme="minorHAnsi"/>
              </w:rPr>
              <w:t xml:space="preserve"> 4457 with angina.</w:t>
            </w:r>
          </w:p>
          <w:p w14:paraId="724016C0" w14:textId="77777777" w:rsidR="00795723" w:rsidRPr="00F34379" w:rsidRDefault="00795723" w:rsidP="00795723">
            <w:pPr>
              <w:rPr>
                <w:rFonts w:cstheme="minorHAnsi"/>
              </w:rPr>
            </w:pPr>
          </w:p>
          <w:p w14:paraId="1978D349" w14:textId="34ED1AF3" w:rsidR="00795723" w:rsidRPr="00696B71" w:rsidRDefault="00795723" w:rsidP="00F34379">
            <w:pPr>
              <w:autoSpaceDE w:val="0"/>
              <w:autoSpaceDN w:val="0"/>
              <w:adjustRightInd w:val="0"/>
              <w:rPr>
                <w:rFonts w:cstheme="minorHAnsi"/>
              </w:rPr>
            </w:pPr>
            <w:r w:rsidRPr="00F34379">
              <w:rPr>
                <w:rFonts w:cstheme="minorHAnsi"/>
              </w:rPr>
              <w:t xml:space="preserve">Women </w:t>
            </w:r>
            <w:r w:rsidR="000A1FC1" w:rsidRPr="00696B71">
              <w:rPr>
                <w:rFonts w:cstheme="minorHAnsi"/>
              </w:rPr>
              <w:t>&amp;</w:t>
            </w:r>
            <w:r w:rsidRPr="00F34379">
              <w:rPr>
                <w:rFonts w:cstheme="minorHAnsi"/>
              </w:rPr>
              <w:t xml:space="preserve"> men aged 45</w:t>
            </w:r>
            <w:r w:rsidR="000A1FC1" w:rsidRPr="00696B71">
              <w:rPr>
                <w:rFonts w:cstheme="minorHAnsi"/>
              </w:rPr>
              <w:t>+</w:t>
            </w:r>
            <w:r w:rsidRPr="00F34379">
              <w:rPr>
                <w:rFonts w:cstheme="minorHAnsi"/>
              </w:rPr>
              <w:t xml:space="preserve"> from </w:t>
            </w:r>
            <w:r w:rsidR="00770491" w:rsidRPr="00F34379">
              <w:rPr>
                <w:rFonts w:cstheme="minorHAnsi"/>
              </w:rPr>
              <w:t>Sax Institute’s 45 &amp; Up</w:t>
            </w:r>
            <w:r w:rsidR="00FE77BE" w:rsidRPr="00F34379">
              <w:rPr>
                <w:rFonts w:cstheme="minorHAnsi"/>
              </w:rPr>
              <w:t xml:space="preserve"> </w:t>
            </w:r>
            <w:r w:rsidR="00770491" w:rsidRPr="00F34379">
              <w:rPr>
                <w:rFonts w:cstheme="minorHAnsi"/>
              </w:rPr>
              <w:t>Study</w:t>
            </w:r>
            <w:r w:rsidR="00FE77BE" w:rsidRPr="00F34379">
              <w:rPr>
                <w:rFonts w:cstheme="minorHAnsi"/>
              </w:rPr>
              <w:t xml:space="preserve">, all from </w:t>
            </w:r>
            <w:r w:rsidRPr="00F34379">
              <w:rPr>
                <w:rFonts w:cstheme="minorHAnsi"/>
              </w:rPr>
              <w:t>New South</w:t>
            </w:r>
            <w:r w:rsidR="000A1FC1" w:rsidRPr="00696B71">
              <w:rPr>
                <w:rFonts w:cstheme="minorHAnsi"/>
              </w:rPr>
              <w:t xml:space="preserve"> </w:t>
            </w:r>
            <w:r w:rsidRPr="00F34379">
              <w:rPr>
                <w:rFonts w:cstheme="minorHAnsi"/>
              </w:rPr>
              <w:t>Wales,</w:t>
            </w:r>
            <w:r w:rsidR="00FE77BE" w:rsidRPr="00696B71">
              <w:rPr>
                <w:rFonts w:cstheme="minorHAnsi"/>
              </w:rPr>
              <w:t xml:space="preserve"> initially</w:t>
            </w:r>
            <w:r w:rsidRPr="00F34379">
              <w:rPr>
                <w:rFonts w:cstheme="minorHAnsi"/>
              </w:rPr>
              <w:t xml:space="preserve"> randomly selected from Department of Human</w:t>
            </w:r>
            <w:r w:rsidR="00FE77BE" w:rsidRPr="00696B71">
              <w:rPr>
                <w:rFonts w:cstheme="minorHAnsi"/>
              </w:rPr>
              <w:t xml:space="preserve"> </w:t>
            </w:r>
            <w:r w:rsidRPr="00F34379">
              <w:rPr>
                <w:rFonts w:cstheme="minorHAnsi"/>
              </w:rPr>
              <w:t xml:space="preserve">Services database. </w:t>
            </w:r>
          </w:p>
        </w:tc>
        <w:tc>
          <w:tcPr>
            <w:tcW w:w="1579" w:type="dxa"/>
          </w:tcPr>
          <w:p w14:paraId="14680DDE" w14:textId="77777777" w:rsidR="00795723" w:rsidRPr="00F34379" w:rsidRDefault="00795723" w:rsidP="00795723">
            <w:pPr>
              <w:rPr>
                <w:rFonts w:cstheme="minorHAnsi"/>
              </w:rPr>
            </w:pPr>
            <w:r w:rsidRPr="00F34379">
              <w:rPr>
                <w:rFonts w:cstheme="minorHAnsi"/>
              </w:rPr>
              <w:t>No definition of sex/gender. Participants treated as binary sex.</w:t>
            </w:r>
          </w:p>
          <w:p w14:paraId="0CC71F2B" w14:textId="77777777" w:rsidR="00D62837" w:rsidRPr="00F34379" w:rsidRDefault="00D62837" w:rsidP="00795723">
            <w:pPr>
              <w:rPr>
                <w:rFonts w:cstheme="minorHAnsi"/>
              </w:rPr>
            </w:pPr>
            <w:r w:rsidRPr="00696B71">
              <w:rPr>
                <w:rFonts w:cstheme="minorHAnsi"/>
              </w:rPr>
              <w:t>“</w:t>
            </w:r>
            <w:r w:rsidRPr="00D83CCA">
              <w:rPr>
                <w:rFonts w:cstheme="minorHAnsi"/>
              </w:rPr>
              <w:t>S</w:t>
            </w:r>
            <w:r w:rsidR="00795723" w:rsidRPr="00F34379">
              <w:rPr>
                <w:rFonts w:cstheme="minorHAnsi"/>
              </w:rPr>
              <w:t>ex</w:t>
            </w:r>
            <w:r w:rsidRPr="00696B71">
              <w:rPr>
                <w:rFonts w:cstheme="minorHAnsi"/>
              </w:rPr>
              <w:t>”</w:t>
            </w:r>
            <w:r w:rsidRPr="00D83CCA">
              <w:rPr>
                <w:rFonts w:cstheme="minorHAnsi"/>
              </w:rPr>
              <w:t xml:space="preserve"> used </w:t>
            </w:r>
            <w:r w:rsidRPr="00F34379">
              <w:rPr>
                <w:rFonts w:cstheme="minorHAnsi"/>
              </w:rPr>
              <w:t>correctly; “gender” once for sex.</w:t>
            </w:r>
          </w:p>
          <w:p w14:paraId="4B4E58EE" w14:textId="2340D043" w:rsidR="00795723" w:rsidRPr="00F34379" w:rsidRDefault="00795723" w:rsidP="00795723">
            <w:pPr>
              <w:rPr>
                <w:rFonts w:cstheme="minorHAnsi"/>
              </w:rPr>
            </w:pPr>
          </w:p>
        </w:tc>
        <w:tc>
          <w:tcPr>
            <w:tcW w:w="2552" w:type="dxa"/>
          </w:tcPr>
          <w:p w14:paraId="554E9EE7" w14:textId="51D14B5D" w:rsidR="00795723" w:rsidRPr="00F34379" w:rsidRDefault="00795723" w:rsidP="00795723">
            <w:pPr>
              <w:rPr>
                <w:rFonts w:cstheme="minorHAnsi"/>
              </w:rPr>
            </w:pPr>
            <w:r w:rsidRPr="00F34379">
              <w:rPr>
                <w:rFonts w:cstheme="minorHAnsi"/>
              </w:rPr>
              <w:t xml:space="preserve">Coronary angiography </w:t>
            </w:r>
            <w:r w:rsidR="00535E7A">
              <w:rPr>
                <w:rFonts w:cstheme="minorHAnsi"/>
              </w:rPr>
              <w:t>&amp;</w:t>
            </w:r>
            <w:r w:rsidRPr="00F34379">
              <w:rPr>
                <w:rFonts w:cstheme="minorHAnsi"/>
              </w:rPr>
              <w:t xml:space="preserve"> coronary revascularisation with percutaneous coronary intervention or coronary artery bypass graft (PCI/CABG) within 1 year of index admission to hospital.  </w:t>
            </w:r>
          </w:p>
          <w:p w14:paraId="4432DEF5" w14:textId="77777777" w:rsidR="00795723" w:rsidRPr="00F34379" w:rsidRDefault="00795723" w:rsidP="00795723">
            <w:pPr>
              <w:rPr>
                <w:rFonts w:cstheme="minorHAnsi"/>
              </w:rPr>
            </w:pPr>
          </w:p>
          <w:p w14:paraId="17B69242" w14:textId="230D301F" w:rsidR="00795723" w:rsidRPr="00696B71" w:rsidRDefault="00795723" w:rsidP="00696B71">
            <w:pPr>
              <w:rPr>
                <w:rFonts w:cstheme="minorHAnsi"/>
              </w:rPr>
            </w:pPr>
            <w:r w:rsidRPr="00F34379">
              <w:rPr>
                <w:rFonts w:cstheme="minorHAnsi"/>
              </w:rPr>
              <w:t>All 50 APDC procedure-code fields, coded using Australian Classification</w:t>
            </w:r>
            <w:r w:rsidR="00535E7A">
              <w:rPr>
                <w:rFonts w:cstheme="minorHAnsi"/>
              </w:rPr>
              <w:t xml:space="preserve"> </w:t>
            </w:r>
            <w:r w:rsidRPr="00F34379">
              <w:rPr>
                <w:rFonts w:cstheme="minorHAnsi"/>
              </w:rPr>
              <w:t>of Health Interventions, used with ICD-10-AM.</w:t>
            </w:r>
          </w:p>
        </w:tc>
        <w:tc>
          <w:tcPr>
            <w:tcW w:w="4761" w:type="dxa"/>
          </w:tcPr>
          <w:p w14:paraId="6884840D" w14:textId="225A2E65" w:rsidR="005F3A89" w:rsidRDefault="00795723" w:rsidP="00795723">
            <w:pPr>
              <w:rPr>
                <w:rFonts w:cstheme="minorHAnsi"/>
              </w:rPr>
            </w:pPr>
            <w:r w:rsidRPr="00F34379">
              <w:rPr>
                <w:rFonts w:cstheme="minorHAnsi"/>
              </w:rPr>
              <w:t xml:space="preserve">• </w:t>
            </w:r>
            <w:r w:rsidR="005F3A89">
              <w:rPr>
                <w:rFonts w:cstheme="minorHAnsi"/>
              </w:rPr>
              <w:t>Wom</w:t>
            </w:r>
            <w:r w:rsidRPr="00F34379">
              <w:rPr>
                <w:rFonts w:cstheme="minorHAnsi"/>
              </w:rPr>
              <w:t xml:space="preserve">en </w:t>
            </w:r>
            <w:r w:rsidR="005F3A89">
              <w:rPr>
                <w:rFonts w:cstheme="minorHAnsi"/>
              </w:rPr>
              <w:t>less</w:t>
            </w:r>
            <w:r w:rsidRPr="00F34379">
              <w:rPr>
                <w:rFonts w:cstheme="minorHAnsi"/>
              </w:rPr>
              <w:t xml:space="preserve"> likely than men to receive coronary procedures, particularly revascularisation</w:t>
            </w:r>
            <w:r w:rsidR="005F3A89">
              <w:rPr>
                <w:rFonts w:cstheme="minorHAnsi"/>
              </w:rPr>
              <w:t>, especially if presenting with angina.</w:t>
            </w:r>
          </w:p>
          <w:p w14:paraId="2B5AA2F1" w14:textId="2C21E5D0" w:rsidR="00795723" w:rsidRPr="00F34379" w:rsidRDefault="00795723" w:rsidP="00795723">
            <w:pPr>
              <w:rPr>
                <w:rFonts w:cstheme="minorHAnsi"/>
              </w:rPr>
            </w:pPr>
            <w:r w:rsidRPr="00F34379">
              <w:rPr>
                <w:rFonts w:cstheme="minorHAnsi"/>
              </w:rPr>
              <w:t>• AMI</w:t>
            </w:r>
            <w:r w:rsidR="005F3A89">
              <w:rPr>
                <w:rFonts w:cstheme="minorHAnsi"/>
              </w:rPr>
              <w:t>:</w:t>
            </w:r>
            <w:r w:rsidRPr="00F34379">
              <w:rPr>
                <w:rFonts w:cstheme="minorHAnsi"/>
              </w:rPr>
              <w:t xml:space="preserve"> </w:t>
            </w:r>
            <w:r w:rsidR="005F3A89" w:rsidRPr="00592F55">
              <w:rPr>
                <w:rFonts w:cstheme="minorHAnsi"/>
              </w:rPr>
              <w:t>64.7% of women</w:t>
            </w:r>
            <w:r w:rsidR="005F3A89">
              <w:rPr>
                <w:rFonts w:cstheme="minorHAnsi"/>
              </w:rPr>
              <w:t>,</w:t>
            </w:r>
            <w:r w:rsidR="005F3A89" w:rsidRPr="00696B71">
              <w:rPr>
                <w:rFonts w:cstheme="minorHAnsi"/>
              </w:rPr>
              <w:t xml:space="preserve"> </w:t>
            </w:r>
            <w:r w:rsidRPr="00F34379">
              <w:rPr>
                <w:rFonts w:cstheme="minorHAnsi"/>
              </w:rPr>
              <w:t xml:space="preserve">71.6% of men received angiography; </w:t>
            </w:r>
            <w:r w:rsidR="005F3A89">
              <w:rPr>
                <w:rFonts w:cstheme="minorHAnsi"/>
              </w:rPr>
              <w:t xml:space="preserve">37.4% women, </w:t>
            </w:r>
            <w:r w:rsidRPr="00F34379">
              <w:rPr>
                <w:rFonts w:cstheme="minorHAnsi"/>
              </w:rPr>
              <w:t xml:space="preserve">57.8% men received PCI/CABG. </w:t>
            </w:r>
          </w:p>
          <w:p w14:paraId="1010F4FF" w14:textId="55D509C5" w:rsidR="00795723" w:rsidRPr="00F34379" w:rsidRDefault="00795723" w:rsidP="00795723">
            <w:pPr>
              <w:rPr>
                <w:rFonts w:cstheme="minorHAnsi"/>
              </w:rPr>
            </w:pPr>
            <w:r w:rsidRPr="00F34379">
              <w:rPr>
                <w:rFonts w:cstheme="minorHAnsi"/>
              </w:rPr>
              <w:t xml:space="preserve">• </w:t>
            </w:r>
            <w:r w:rsidR="005F3A89">
              <w:rPr>
                <w:rFonts w:cstheme="minorHAnsi"/>
              </w:rPr>
              <w:t>A</w:t>
            </w:r>
            <w:r w:rsidRPr="00F34379">
              <w:rPr>
                <w:rFonts w:cstheme="minorHAnsi"/>
              </w:rPr>
              <w:t>ngina</w:t>
            </w:r>
            <w:r w:rsidR="005F3A89">
              <w:rPr>
                <w:rFonts w:cstheme="minorHAnsi"/>
              </w:rPr>
              <w:t xml:space="preserve">: </w:t>
            </w:r>
            <w:r w:rsidR="005F3A89" w:rsidRPr="00592F55">
              <w:rPr>
                <w:rFonts w:cstheme="minorHAnsi"/>
              </w:rPr>
              <w:t>54.9% of women</w:t>
            </w:r>
            <w:r w:rsidRPr="00F34379">
              <w:rPr>
                <w:rFonts w:cstheme="minorHAnsi"/>
              </w:rPr>
              <w:t xml:space="preserve">, 67.3% of men received angiography; </w:t>
            </w:r>
            <w:r w:rsidR="005F3A89" w:rsidRPr="00592F55">
              <w:rPr>
                <w:rFonts w:cstheme="minorHAnsi"/>
              </w:rPr>
              <w:t>19.5% of women</w:t>
            </w:r>
            <w:r w:rsidR="005F3A89">
              <w:rPr>
                <w:rFonts w:cstheme="minorHAnsi"/>
              </w:rPr>
              <w:t>,</w:t>
            </w:r>
            <w:r w:rsidR="005F3A89" w:rsidRPr="00592F55">
              <w:rPr>
                <w:rFonts w:cstheme="minorHAnsi"/>
              </w:rPr>
              <w:t xml:space="preserve"> </w:t>
            </w:r>
            <w:r w:rsidRPr="00F34379">
              <w:rPr>
                <w:rFonts w:cstheme="minorHAnsi"/>
              </w:rPr>
              <w:t xml:space="preserve">44.6% of men received PCI/CABG. </w:t>
            </w:r>
          </w:p>
          <w:p w14:paraId="5215A1C0" w14:textId="19D4E9A6" w:rsidR="00D62837" w:rsidRPr="00696B71" w:rsidRDefault="00D62837" w:rsidP="00795723">
            <w:pPr>
              <w:pStyle w:val="NormalWeb"/>
              <w:spacing w:before="0" w:beforeAutospacing="0" w:after="0" w:afterAutospacing="0"/>
              <w:rPr>
                <w:rFonts w:asciiTheme="minorHAnsi" w:hAnsiTheme="minorHAnsi" w:cstheme="minorHAnsi"/>
                <w:sz w:val="22"/>
                <w:szCs w:val="22"/>
              </w:rPr>
            </w:pPr>
            <w:r w:rsidRPr="00F34379">
              <w:rPr>
                <w:rFonts w:asciiTheme="minorHAnsi" w:hAnsiTheme="minorHAnsi" w:cstheme="minorHAnsi"/>
                <w:sz w:val="22"/>
                <w:szCs w:val="22"/>
              </w:rPr>
              <w:t>• Health professionals’ unconscious “gender bias”?</w:t>
            </w:r>
          </w:p>
        </w:tc>
      </w:tr>
      <w:tr w:rsidR="0045669D" w:rsidRPr="000A1FC1" w14:paraId="7408584B" w14:textId="77777777" w:rsidTr="00A60E99">
        <w:trPr>
          <w:cantSplit/>
        </w:trPr>
        <w:tc>
          <w:tcPr>
            <w:tcW w:w="1271" w:type="dxa"/>
          </w:tcPr>
          <w:p w14:paraId="269CF955" w14:textId="77777777" w:rsidR="0045669D" w:rsidRDefault="0045669D" w:rsidP="0045669D">
            <w:r w:rsidRPr="00672DBE">
              <w:lastRenderedPageBreak/>
              <w:t>Gauci, 2022</w:t>
            </w:r>
            <w:r>
              <w:t>,</w:t>
            </w:r>
          </w:p>
          <w:p w14:paraId="6F15E8F3" w14:textId="77777777" w:rsidR="0045669D" w:rsidRDefault="0045669D" w:rsidP="0045669D">
            <w:r>
              <w:t>Australia</w:t>
            </w:r>
          </w:p>
          <w:p w14:paraId="7F926E4E" w14:textId="77777777" w:rsidR="0045669D" w:rsidRPr="00696B71" w:rsidRDefault="0045669D" w:rsidP="0045669D">
            <w:pPr>
              <w:rPr>
                <w:rFonts w:cstheme="minorHAnsi"/>
              </w:rPr>
            </w:pPr>
          </w:p>
        </w:tc>
        <w:tc>
          <w:tcPr>
            <w:tcW w:w="2552" w:type="dxa"/>
          </w:tcPr>
          <w:p w14:paraId="36969F86" w14:textId="77777777" w:rsidR="0045669D" w:rsidRDefault="0045669D" w:rsidP="0045669D">
            <w:r w:rsidRPr="00672DBE">
              <w:t xml:space="preserve">To explore contribution of sex </w:t>
            </w:r>
            <w:r>
              <w:t>&amp;</w:t>
            </w:r>
            <w:r w:rsidRPr="00672DBE">
              <w:t xml:space="preserve"> gender </w:t>
            </w:r>
            <w:r>
              <w:t>to cardiovascular disease</w:t>
            </w:r>
            <w:r w:rsidRPr="00672DBE">
              <w:t xml:space="preserve"> </w:t>
            </w:r>
            <w:r>
              <w:t>(</w:t>
            </w:r>
            <w:r w:rsidRPr="00672DBE">
              <w:t>CVD</w:t>
            </w:r>
            <w:r>
              <w:t xml:space="preserve">) </w:t>
            </w:r>
            <w:r w:rsidRPr="00672DBE">
              <w:t xml:space="preserve">outcomes in women </w:t>
            </w:r>
            <w:r>
              <w:t>&amp;</w:t>
            </w:r>
            <w:r w:rsidRPr="00672DBE">
              <w:t xml:space="preserve"> men </w:t>
            </w:r>
            <w:r>
              <w:t>&amp;</w:t>
            </w:r>
            <w:r w:rsidRPr="00672DBE">
              <w:t xml:space="preserve"> offer recommendations for researchers </w:t>
            </w:r>
            <w:r>
              <w:t>&amp;</w:t>
            </w:r>
            <w:r w:rsidRPr="00672DBE">
              <w:t xml:space="preserve"> clinicians</w:t>
            </w:r>
            <w:r>
              <w:t>.</w:t>
            </w:r>
          </w:p>
          <w:p w14:paraId="2F9E9CCD" w14:textId="4B72AB39" w:rsidR="0045669D" w:rsidRPr="00696B71" w:rsidRDefault="0045669D" w:rsidP="0045669D">
            <w:pPr>
              <w:rPr>
                <w:rFonts w:cstheme="minorHAnsi"/>
              </w:rPr>
            </w:pPr>
            <w:r w:rsidRPr="00672DBE">
              <w:t>Literature review (</w:t>
            </w:r>
            <w:r>
              <w:t>n</w:t>
            </w:r>
            <w:r w:rsidRPr="00672DBE">
              <w:t>o methods or search strategy reported)</w:t>
            </w:r>
            <w:r>
              <w:t>.</w:t>
            </w:r>
          </w:p>
        </w:tc>
        <w:tc>
          <w:tcPr>
            <w:tcW w:w="2673" w:type="dxa"/>
          </w:tcPr>
          <w:p w14:paraId="091F97DB" w14:textId="77777777" w:rsidR="0045669D" w:rsidRPr="00672DBE" w:rsidRDefault="0045669D" w:rsidP="0045669D">
            <w:r w:rsidRPr="00672DBE">
              <w:t>Sample size of individual studies not reported</w:t>
            </w:r>
            <w:r>
              <w:t>.</w:t>
            </w:r>
          </w:p>
          <w:p w14:paraId="1C11607D" w14:textId="77777777" w:rsidR="0045669D" w:rsidRPr="00672DBE" w:rsidRDefault="0045669D" w:rsidP="0045669D">
            <w:r>
              <w:t>Data m</w:t>
            </w:r>
            <w:r w:rsidRPr="00672DBE">
              <w:t xml:space="preserve">ostly </w:t>
            </w:r>
            <w:r>
              <w:t>from</w:t>
            </w:r>
            <w:r w:rsidRPr="00672DBE">
              <w:t xml:space="preserve"> hospital, emergency dept., clinic</w:t>
            </w:r>
            <w:r>
              <w:t>.</w:t>
            </w:r>
          </w:p>
          <w:p w14:paraId="72F21EB0" w14:textId="61AF4A2A" w:rsidR="0045669D" w:rsidRPr="00696B71" w:rsidRDefault="0045669D" w:rsidP="0045669D">
            <w:pPr>
              <w:rPr>
                <w:rFonts w:cstheme="minorHAnsi"/>
              </w:rPr>
            </w:pPr>
            <w:r>
              <w:t>F</w:t>
            </w:r>
            <w:r w:rsidRPr="00672DBE">
              <w:t xml:space="preserve">emale </w:t>
            </w:r>
            <w:r>
              <w:t>&amp;</w:t>
            </w:r>
            <w:r w:rsidRPr="00672DBE">
              <w:t xml:space="preserve"> male patients with CVD, no age limitations. </w:t>
            </w:r>
          </w:p>
        </w:tc>
        <w:tc>
          <w:tcPr>
            <w:tcW w:w="1579" w:type="dxa"/>
          </w:tcPr>
          <w:p w14:paraId="4D904B4F" w14:textId="1CBD1449" w:rsidR="0045669D" w:rsidRPr="00696B71" w:rsidRDefault="0045669D" w:rsidP="0045669D">
            <w:pPr>
              <w:rPr>
                <w:rFonts w:cstheme="minorHAnsi"/>
              </w:rPr>
            </w:pPr>
            <w:r w:rsidRPr="005A6797">
              <w:t>Yes</w:t>
            </w:r>
            <w:r>
              <w:t>, both</w:t>
            </w:r>
            <w:r w:rsidRPr="005A6797">
              <w:t xml:space="preserve">. </w:t>
            </w:r>
          </w:p>
        </w:tc>
        <w:tc>
          <w:tcPr>
            <w:tcW w:w="2552" w:type="dxa"/>
          </w:tcPr>
          <w:p w14:paraId="33A5FBD4" w14:textId="1CC004FF" w:rsidR="0045669D" w:rsidRPr="00696B71" w:rsidRDefault="0045669D" w:rsidP="0045669D">
            <w:pPr>
              <w:rPr>
                <w:rFonts w:cstheme="minorHAnsi"/>
              </w:rPr>
            </w:pPr>
            <w:r w:rsidRPr="00672DBE">
              <w:t xml:space="preserve">Contribution of sex </w:t>
            </w:r>
            <w:r>
              <w:t>&amp;</w:t>
            </w:r>
            <w:r w:rsidRPr="00672DBE">
              <w:t xml:space="preserve"> gender </w:t>
            </w:r>
            <w:r>
              <w:t>to</w:t>
            </w:r>
            <w:r w:rsidRPr="00672DBE">
              <w:t xml:space="preserve"> CVD outcomes in men and women </w:t>
            </w:r>
          </w:p>
        </w:tc>
        <w:tc>
          <w:tcPr>
            <w:tcW w:w="4761" w:type="dxa"/>
          </w:tcPr>
          <w:p w14:paraId="0D8C6143" w14:textId="77777777" w:rsidR="0045669D" w:rsidRPr="005A6797" w:rsidRDefault="0045669D" w:rsidP="0045669D">
            <w:pPr>
              <w:pStyle w:val="NormalWeb"/>
              <w:spacing w:before="0" w:beforeAutospacing="0" w:after="0" w:afterAutospacing="0"/>
              <w:rPr>
                <w:rFonts w:asciiTheme="minorHAnsi" w:hAnsiTheme="minorHAnsi" w:cstheme="minorHAnsi"/>
                <w:sz w:val="22"/>
                <w:szCs w:val="22"/>
              </w:rPr>
            </w:pPr>
            <w:r w:rsidRPr="005A6797">
              <w:rPr>
                <w:rFonts w:asciiTheme="minorHAnsi" w:hAnsiTheme="minorHAnsi" w:cstheme="minorHAnsi"/>
                <w:sz w:val="22"/>
                <w:szCs w:val="22"/>
              </w:rPr>
              <w:t xml:space="preserve">• </w:t>
            </w:r>
            <w:r>
              <w:rPr>
                <w:rFonts w:asciiTheme="minorHAnsi" w:hAnsiTheme="minorHAnsi" w:cstheme="minorHAnsi"/>
                <w:sz w:val="22"/>
                <w:szCs w:val="22"/>
              </w:rPr>
              <w:t>S</w:t>
            </w:r>
            <w:r w:rsidRPr="005A6797">
              <w:rPr>
                <w:rFonts w:asciiTheme="minorHAnsi" w:hAnsiTheme="minorHAnsi" w:cstheme="minorHAnsi"/>
                <w:sz w:val="22"/>
                <w:szCs w:val="22"/>
              </w:rPr>
              <w:t xml:space="preserve">ex </w:t>
            </w:r>
            <w:r>
              <w:rPr>
                <w:rFonts w:asciiTheme="minorHAnsi" w:hAnsiTheme="minorHAnsi" w:cstheme="minorHAnsi"/>
                <w:sz w:val="22"/>
                <w:szCs w:val="22"/>
              </w:rPr>
              <w:t>&amp;</w:t>
            </w:r>
            <w:r w:rsidRPr="005A6797">
              <w:rPr>
                <w:rFonts w:asciiTheme="minorHAnsi" w:hAnsiTheme="minorHAnsi" w:cstheme="minorHAnsi"/>
                <w:sz w:val="22"/>
                <w:szCs w:val="22"/>
              </w:rPr>
              <w:t xml:space="preserve"> gender differences in risk, presentation, treatment, research of CVD</w:t>
            </w:r>
            <w:r>
              <w:rPr>
                <w:rFonts w:asciiTheme="minorHAnsi" w:hAnsiTheme="minorHAnsi" w:cstheme="minorHAnsi"/>
                <w:sz w:val="22"/>
                <w:szCs w:val="22"/>
              </w:rPr>
              <w:t xml:space="preserve"> </w:t>
            </w:r>
            <w:proofErr w:type="gramStart"/>
            <w:r>
              <w:rPr>
                <w:rFonts w:asciiTheme="minorHAnsi" w:hAnsiTheme="minorHAnsi" w:cstheme="minorHAnsi"/>
                <w:sz w:val="22"/>
                <w:szCs w:val="22"/>
              </w:rPr>
              <w:t>have</w:t>
            </w:r>
            <w:proofErr w:type="gramEnd"/>
            <w:r w:rsidRPr="005A6797">
              <w:rPr>
                <w:rFonts w:asciiTheme="minorHAnsi" w:hAnsiTheme="minorHAnsi" w:cstheme="minorHAnsi"/>
                <w:sz w:val="22"/>
                <w:szCs w:val="22"/>
              </w:rPr>
              <w:t xml:space="preserve"> </w:t>
            </w:r>
            <w:r>
              <w:rPr>
                <w:rFonts w:asciiTheme="minorHAnsi" w:hAnsiTheme="minorHAnsi" w:cstheme="minorHAnsi"/>
                <w:sz w:val="22"/>
                <w:szCs w:val="22"/>
              </w:rPr>
              <w:t xml:space="preserve">disproportionate effects on </w:t>
            </w:r>
            <w:r w:rsidRPr="005A6797">
              <w:rPr>
                <w:rFonts w:asciiTheme="minorHAnsi" w:hAnsiTheme="minorHAnsi" w:cstheme="minorHAnsi"/>
                <w:sz w:val="22"/>
                <w:szCs w:val="22"/>
              </w:rPr>
              <w:t xml:space="preserve">women. </w:t>
            </w:r>
          </w:p>
          <w:p w14:paraId="5D7C0AC6" w14:textId="77777777" w:rsidR="0045669D" w:rsidRDefault="0045669D" w:rsidP="0045669D">
            <w:r w:rsidRPr="00702CBA">
              <w:t>•</w:t>
            </w:r>
            <w:r>
              <w:t xml:space="preserve"> </w:t>
            </w:r>
            <w:r w:rsidRPr="00672DBE">
              <w:t>In Australia, women are 18% less likely than men to receive urgent care allocation on admission to emergency department</w:t>
            </w:r>
            <w:r>
              <w:t xml:space="preserve"> (ED)</w:t>
            </w:r>
            <w:r w:rsidRPr="00672DBE">
              <w:t xml:space="preserve"> (OR 0.82 (95% CI 0.79 to 0.85), 16% less likely to be seen by emergency physician in </w:t>
            </w:r>
            <w:r>
              <w:t>1st</w:t>
            </w:r>
            <w:r w:rsidRPr="00672DBE">
              <w:t xml:space="preserve"> hour of arrival at </w:t>
            </w:r>
            <w:r>
              <w:t>ED</w:t>
            </w:r>
            <w:r w:rsidRPr="00672DBE">
              <w:t xml:space="preserve"> (mean difference 0.15 (95% CI 0.13 to 0.1), 20% less likely to have diagnostic troponin test (OR 0.80 (95% CI 0.77 to 0.83), </w:t>
            </w:r>
            <w:r>
              <w:t xml:space="preserve">&amp; </w:t>
            </w:r>
            <w:r w:rsidRPr="00672DBE">
              <w:t>36% less likely to be admitted to special care unit (OR 0.64 (95% CI 0.61 to 0.68)</w:t>
            </w:r>
            <w:r>
              <w:t>.</w:t>
            </w:r>
          </w:p>
          <w:p w14:paraId="01BABD99" w14:textId="7AB63A0C" w:rsidR="0045669D" w:rsidRPr="00696B71" w:rsidRDefault="0045669D" w:rsidP="0045669D">
            <w:pPr>
              <w:rPr>
                <w:rFonts w:cstheme="minorHAnsi"/>
              </w:rPr>
            </w:pPr>
            <w:r w:rsidRPr="00702CBA">
              <w:t>•</w:t>
            </w:r>
            <w:r>
              <w:t xml:space="preserve"> W</w:t>
            </w:r>
            <w:r w:rsidRPr="00672DBE">
              <w:t xml:space="preserve">omen more likely to die during hospital admission. </w:t>
            </w:r>
          </w:p>
        </w:tc>
      </w:tr>
      <w:tr w:rsidR="00954954" w:rsidRPr="00672DBE" w14:paraId="1196F101" w14:textId="77777777" w:rsidTr="005A6797">
        <w:trPr>
          <w:trHeight w:val="3584"/>
        </w:trPr>
        <w:tc>
          <w:tcPr>
            <w:tcW w:w="1271" w:type="dxa"/>
            <w:hideMark/>
          </w:tcPr>
          <w:p w14:paraId="1462464C" w14:textId="5216EF8A" w:rsidR="00EB2B55" w:rsidRDefault="00EB2B55" w:rsidP="003414BB">
            <w:r w:rsidRPr="00672DBE">
              <w:t>Hailemariam et al.</w:t>
            </w:r>
            <w:r w:rsidR="00DD4DC6">
              <w:t>,</w:t>
            </w:r>
            <w:r w:rsidRPr="00672DBE">
              <w:t xml:space="preserve"> 2021, Australia</w:t>
            </w:r>
          </w:p>
          <w:p w14:paraId="35AA83FF" w14:textId="3625BCA7" w:rsidR="00B92334" w:rsidRPr="00672DBE" w:rsidRDefault="00B92334" w:rsidP="003414BB"/>
        </w:tc>
        <w:tc>
          <w:tcPr>
            <w:tcW w:w="2552" w:type="dxa"/>
            <w:hideMark/>
          </w:tcPr>
          <w:p w14:paraId="3E7117F1" w14:textId="4278A356" w:rsidR="007A1298" w:rsidRDefault="00EB2B55" w:rsidP="003414BB">
            <w:r w:rsidRPr="00672DBE">
              <w:t xml:space="preserve">To </w:t>
            </w:r>
            <w:r w:rsidR="00D92D95">
              <w:t>determine</w:t>
            </w:r>
            <w:r w:rsidRPr="00672DBE">
              <w:t xml:space="preserve"> whether consumption of risky addictive goods (smoking, drinking</w:t>
            </w:r>
            <w:r w:rsidR="007A1298">
              <w:t>,</w:t>
            </w:r>
            <w:r w:rsidRPr="00672DBE">
              <w:t xml:space="preserve"> gambling) </w:t>
            </w:r>
            <w:r w:rsidR="007A1298" w:rsidRPr="00672DBE">
              <w:t>ha</w:t>
            </w:r>
            <w:r w:rsidR="007A1298">
              <w:t>s</w:t>
            </w:r>
            <w:r w:rsidR="007A1298" w:rsidRPr="00672DBE">
              <w:t xml:space="preserve"> </w:t>
            </w:r>
            <w:r w:rsidRPr="00672DBE">
              <w:t xml:space="preserve">implications </w:t>
            </w:r>
            <w:r w:rsidR="007A1298">
              <w:t>for</w:t>
            </w:r>
            <w:r w:rsidR="007A1298" w:rsidRPr="00672DBE">
              <w:t xml:space="preserve"> </w:t>
            </w:r>
            <w:r w:rsidRPr="00672DBE">
              <w:t xml:space="preserve">health outcomes </w:t>
            </w:r>
            <w:r w:rsidR="007A1298">
              <w:t>&amp;</w:t>
            </w:r>
            <w:r w:rsidR="007A1298" w:rsidRPr="00672DBE">
              <w:t xml:space="preserve"> </w:t>
            </w:r>
            <w:r w:rsidRPr="00672DBE">
              <w:t xml:space="preserve">gender differences in general </w:t>
            </w:r>
            <w:r w:rsidR="007A1298">
              <w:t>&amp;</w:t>
            </w:r>
            <w:r w:rsidRPr="00672DBE">
              <w:t xml:space="preserve"> mental health in </w:t>
            </w:r>
            <w:r w:rsidR="000262AD" w:rsidRPr="00672DBE">
              <w:t xml:space="preserve">Australia. </w:t>
            </w:r>
          </w:p>
          <w:p w14:paraId="6996A035" w14:textId="47AF77B8" w:rsidR="00EB2B55" w:rsidRPr="00672DBE" w:rsidRDefault="00EB2B55" w:rsidP="003414BB">
            <w:r w:rsidRPr="00672DBE">
              <w:t xml:space="preserve">Secondary </w:t>
            </w:r>
            <w:r w:rsidR="00C10F7F">
              <w:t xml:space="preserve">econometric </w:t>
            </w:r>
            <w:r w:rsidRPr="00672DBE">
              <w:t xml:space="preserve">analysis </w:t>
            </w:r>
            <w:r w:rsidR="00D47772">
              <w:t xml:space="preserve">of </w:t>
            </w:r>
            <w:r w:rsidR="00761513">
              <w:t>Household, Income &amp; Labour Dynamics in Australia (</w:t>
            </w:r>
            <w:r w:rsidR="00D47772">
              <w:t>HILDA</w:t>
            </w:r>
            <w:r w:rsidR="00761513">
              <w:t>)</w:t>
            </w:r>
            <w:r w:rsidR="00D47772">
              <w:t xml:space="preserve"> </w:t>
            </w:r>
            <w:r w:rsidRPr="00672DBE">
              <w:t>(longitudinal)</w:t>
            </w:r>
            <w:r w:rsidR="007A1298">
              <w:t>.</w:t>
            </w:r>
          </w:p>
        </w:tc>
        <w:tc>
          <w:tcPr>
            <w:tcW w:w="2673" w:type="dxa"/>
            <w:hideMark/>
          </w:tcPr>
          <w:p w14:paraId="7BA6D386" w14:textId="77777777" w:rsidR="00D92D95" w:rsidRDefault="00D92D95" w:rsidP="00D92D95">
            <w:r>
              <w:t>15 waves of HILDA data (</w:t>
            </w:r>
            <w:r w:rsidRPr="00672DBE">
              <w:t>2005-2019</w:t>
            </w:r>
            <w:r>
              <w:t>).</w:t>
            </w:r>
          </w:p>
          <w:p w14:paraId="7AB9A789" w14:textId="7E3A3768" w:rsidR="00B92334" w:rsidRDefault="00EB2B55" w:rsidP="00D92D95">
            <w:r w:rsidRPr="00672DBE">
              <w:t>13,969 individuals</w:t>
            </w:r>
            <w:r w:rsidR="00D92D95">
              <w:t xml:space="preserve"> at baseline (2001); </w:t>
            </w:r>
            <w:r w:rsidR="00D92D95" w:rsidRPr="00672DBE">
              <w:t>59% wave 1 female</w:t>
            </w:r>
            <w:r w:rsidRPr="00672DBE">
              <w:t xml:space="preserve"> </w:t>
            </w:r>
            <w:r w:rsidR="00B92334" w:rsidRPr="00672DBE">
              <w:t>respondents</w:t>
            </w:r>
            <w:r w:rsidR="00B92334">
              <w:t>,</w:t>
            </w:r>
            <w:r w:rsidR="00B92334" w:rsidRPr="00672DBE">
              <w:t xml:space="preserve"> 62% of wave 1 male respondents re-interviewed in wave 19.</w:t>
            </w:r>
          </w:p>
          <w:p w14:paraId="528CF189" w14:textId="67EAE62B" w:rsidR="00EB2B55" w:rsidRPr="00672DBE" w:rsidRDefault="00EB2B55" w:rsidP="003414BB">
            <w:r w:rsidRPr="00672DBE">
              <w:t>No sample size</w:t>
            </w:r>
            <w:r w:rsidR="00E519DF" w:rsidRPr="00672DBE">
              <w:t>s</w:t>
            </w:r>
            <w:r w:rsidRPr="00672DBE">
              <w:t xml:space="preserve"> reported </w:t>
            </w:r>
            <w:r w:rsidR="00B92334">
              <w:t>for</w:t>
            </w:r>
            <w:r w:rsidRPr="00672DBE">
              <w:t xml:space="preserve"> each wave</w:t>
            </w:r>
            <w:r w:rsidR="00E519DF" w:rsidRPr="00672DBE">
              <w:t xml:space="preserve">. </w:t>
            </w:r>
          </w:p>
        </w:tc>
        <w:tc>
          <w:tcPr>
            <w:tcW w:w="1579" w:type="dxa"/>
            <w:hideMark/>
          </w:tcPr>
          <w:p w14:paraId="041AFE46" w14:textId="53FAD894" w:rsidR="00EB2B55" w:rsidRPr="00672DBE" w:rsidRDefault="00EB2B55" w:rsidP="003414BB">
            <w:r w:rsidRPr="00672DBE">
              <w:t xml:space="preserve">No definition of sex/gender. Participants treated as binary sex. </w:t>
            </w:r>
            <w:r w:rsidR="00402BF0">
              <w:t>“Gender” used for sex, but also include socio-cultural matters.</w:t>
            </w:r>
          </w:p>
        </w:tc>
        <w:tc>
          <w:tcPr>
            <w:tcW w:w="2552" w:type="dxa"/>
            <w:hideMark/>
          </w:tcPr>
          <w:p w14:paraId="0C3D2988" w14:textId="20EB9C07" w:rsidR="00B92334" w:rsidRDefault="00EB2B55" w:rsidP="003414BB">
            <w:r w:rsidRPr="00672DBE">
              <w:t xml:space="preserve">General </w:t>
            </w:r>
            <w:r w:rsidR="00B92334">
              <w:t>&amp;</w:t>
            </w:r>
            <w:r w:rsidRPr="00672DBE">
              <w:t xml:space="preserve"> mental health. General health based on </w:t>
            </w:r>
            <w:r w:rsidR="00B92334">
              <w:t>5</w:t>
            </w:r>
            <w:r w:rsidRPr="00672DBE">
              <w:t>-item health survey</w:t>
            </w:r>
            <w:r w:rsidR="00B92334">
              <w:t>.</w:t>
            </w:r>
          </w:p>
          <w:p w14:paraId="1A996D51" w14:textId="22100D5C" w:rsidR="00EB2B55" w:rsidRPr="00672DBE" w:rsidRDefault="00B92334" w:rsidP="003414BB">
            <w:r>
              <w:t>M</w:t>
            </w:r>
            <w:r w:rsidR="00EB2B55" w:rsidRPr="00672DBE">
              <w:t>ental health us</w:t>
            </w:r>
            <w:r>
              <w:t>ed</w:t>
            </w:r>
            <w:r w:rsidR="00EB2B55" w:rsidRPr="00672DBE">
              <w:t xml:space="preserve"> transformed sub-scale of SF-36 based on the </w:t>
            </w:r>
            <w:r>
              <w:t>5</w:t>
            </w:r>
            <w:r w:rsidR="00EB2B55" w:rsidRPr="00672DBE">
              <w:t>-Item Mental Health Inventory</w:t>
            </w:r>
          </w:p>
        </w:tc>
        <w:tc>
          <w:tcPr>
            <w:tcW w:w="4761" w:type="dxa"/>
            <w:hideMark/>
          </w:tcPr>
          <w:p w14:paraId="7DDD3A12" w14:textId="612A496B" w:rsidR="003B191A" w:rsidRPr="005777FC" w:rsidRDefault="003B191A" w:rsidP="003414BB">
            <w:pPr>
              <w:rPr>
                <w:rFonts w:cstheme="minorHAnsi"/>
              </w:rPr>
            </w:pPr>
            <w:r w:rsidRPr="005777FC">
              <w:rPr>
                <w:rFonts w:cstheme="minorHAnsi"/>
              </w:rPr>
              <w:t xml:space="preserve">• Complex interaction </w:t>
            </w:r>
            <w:r w:rsidR="006A48A0">
              <w:rPr>
                <w:rFonts w:cstheme="minorHAnsi"/>
              </w:rPr>
              <w:t>among</w:t>
            </w:r>
            <w:r w:rsidRPr="005777FC">
              <w:rPr>
                <w:rFonts w:cstheme="minorHAnsi"/>
              </w:rPr>
              <w:t xml:space="preserve"> risky addictive behaviours, gender, &amp; health.</w:t>
            </w:r>
          </w:p>
          <w:p w14:paraId="4BA5F202" w14:textId="11081368" w:rsidR="00B92334" w:rsidRPr="005777FC" w:rsidRDefault="00A241FC" w:rsidP="003414BB">
            <w:pPr>
              <w:rPr>
                <w:rFonts w:cstheme="minorHAnsi"/>
              </w:rPr>
            </w:pPr>
            <w:r w:rsidRPr="005777FC">
              <w:rPr>
                <w:rFonts w:cstheme="minorHAnsi"/>
              </w:rPr>
              <w:t xml:space="preserve">• </w:t>
            </w:r>
            <w:r w:rsidR="00EB2B55" w:rsidRPr="005777FC">
              <w:rPr>
                <w:rFonts w:cstheme="minorHAnsi"/>
              </w:rPr>
              <w:t>In Australia, women tend to have better general health (p&lt;0.001) but worse mental health outcomes than men (p&lt;0.001)</w:t>
            </w:r>
            <w:r w:rsidR="00B92334" w:rsidRPr="005777FC">
              <w:rPr>
                <w:rFonts w:cstheme="minorHAnsi"/>
              </w:rPr>
              <w:t>.</w:t>
            </w:r>
          </w:p>
          <w:p w14:paraId="29E64E71" w14:textId="26EE6FEF" w:rsidR="00D17D82" w:rsidRPr="00167D74" w:rsidRDefault="00D17D82" w:rsidP="00D17D82">
            <w:pPr>
              <w:pStyle w:val="Default"/>
              <w:rPr>
                <w:rFonts w:asciiTheme="minorHAnsi" w:hAnsiTheme="minorHAnsi" w:cstheme="minorHAnsi"/>
                <w:sz w:val="22"/>
                <w:szCs w:val="22"/>
              </w:rPr>
            </w:pPr>
            <w:r w:rsidRPr="005777FC">
              <w:rPr>
                <w:rFonts w:asciiTheme="minorHAnsi" w:hAnsiTheme="minorHAnsi" w:cstheme="minorHAnsi"/>
                <w:sz w:val="22"/>
                <w:szCs w:val="22"/>
              </w:rPr>
              <w:t>• Smoking &amp; gambling</w:t>
            </w:r>
            <w:r w:rsidRPr="00167D74">
              <w:rPr>
                <w:rFonts w:asciiTheme="minorHAnsi" w:hAnsiTheme="minorHAnsi" w:cstheme="minorHAnsi"/>
                <w:sz w:val="22"/>
                <w:szCs w:val="22"/>
              </w:rPr>
              <w:t xml:space="preserve"> </w:t>
            </w:r>
            <w:r w:rsidR="003B191A" w:rsidRPr="005777FC">
              <w:rPr>
                <w:rFonts w:asciiTheme="minorHAnsi" w:hAnsiTheme="minorHAnsi" w:cstheme="minorHAnsi"/>
                <w:sz w:val="22"/>
                <w:szCs w:val="22"/>
              </w:rPr>
              <w:t>widen gender gap in general health</w:t>
            </w:r>
            <w:r w:rsidRPr="00167D74">
              <w:rPr>
                <w:rFonts w:asciiTheme="minorHAnsi" w:hAnsiTheme="minorHAnsi" w:cstheme="minorHAnsi"/>
                <w:sz w:val="22"/>
                <w:szCs w:val="22"/>
              </w:rPr>
              <w:t>;</w:t>
            </w:r>
            <w:r w:rsidR="003B191A" w:rsidRPr="005777FC">
              <w:rPr>
                <w:rFonts w:asciiTheme="minorHAnsi" w:hAnsiTheme="minorHAnsi" w:cstheme="minorHAnsi"/>
                <w:sz w:val="22"/>
                <w:szCs w:val="22"/>
              </w:rPr>
              <w:t xml:space="preserve"> alcohol consumption plays no role</w:t>
            </w:r>
            <w:r w:rsidRPr="00167D74">
              <w:rPr>
                <w:rFonts w:asciiTheme="minorHAnsi" w:hAnsiTheme="minorHAnsi" w:cstheme="minorHAnsi"/>
                <w:sz w:val="22"/>
                <w:szCs w:val="22"/>
              </w:rPr>
              <w:t>.</w:t>
            </w:r>
          </w:p>
          <w:p w14:paraId="2B69F4B7" w14:textId="064BAB65" w:rsidR="00167D74" w:rsidRPr="00167D74" w:rsidRDefault="00D17D82" w:rsidP="00D17D82">
            <w:pPr>
              <w:pStyle w:val="Default"/>
              <w:rPr>
                <w:rFonts w:asciiTheme="minorHAnsi" w:hAnsiTheme="minorHAnsi" w:cstheme="minorHAnsi"/>
                <w:sz w:val="22"/>
                <w:szCs w:val="22"/>
              </w:rPr>
            </w:pPr>
            <w:r w:rsidRPr="005777FC">
              <w:rPr>
                <w:rFonts w:asciiTheme="minorHAnsi" w:hAnsiTheme="minorHAnsi" w:cstheme="minorHAnsi"/>
                <w:sz w:val="22"/>
                <w:szCs w:val="22"/>
              </w:rPr>
              <w:t>• Smoking &amp;</w:t>
            </w:r>
            <w:r w:rsidR="00B52AFA">
              <w:rPr>
                <w:rFonts w:asciiTheme="minorHAnsi" w:hAnsiTheme="minorHAnsi" w:cstheme="minorHAnsi"/>
                <w:sz w:val="22"/>
                <w:szCs w:val="22"/>
              </w:rPr>
              <w:t xml:space="preserve"> </w:t>
            </w:r>
            <w:r w:rsidR="00C10F7F">
              <w:rPr>
                <w:rFonts w:asciiTheme="minorHAnsi" w:hAnsiTheme="minorHAnsi" w:cstheme="minorHAnsi"/>
                <w:sz w:val="22"/>
                <w:szCs w:val="22"/>
              </w:rPr>
              <w:t>gambling</w:t>
            </w:r>
            <w:r w:rsidR="003B191A" w:rsidRPr="005777FC">
              <w:rPr>
                <w:rFonts w:asciiTheme="minorHAnsi" w:hAnsiTheme="minorHAnsi" w:cstheme="minorHAnsi"/>
                <w:sz w:val="22"/>
                <w:szCs w:val="22"/>
              </w:rPr>
              <w:t xml:space="preserve"> reduce gender gap in mental health</w:t>
            </w:r>
            <w:r w:rsidR="00167D74" w:rsidRPr="00167D74">
              <w:rPr>
                <w:rFonts w:asciiTheme="minorHAnsi" w:hAnsiTheme="minorHAnsi" w:cstheme="minorHAnsi"/>
                <w:sz w:val="22"/>
                <w:szCs w:val="22"/>
              </w:rPr>
              <w:t xml:space="preserve">; </w:t>
            </w:r>
            <w:r w:rsidR="003B191A" w:rsidRPr="005777FC">
              <w:rPr>
                <w:rFonts w:asciiTheme="minorHAnsi" w:hAnsiTheme="minorHAnsi" w:cstheme="minorHAnsi"/>
                <w:sz w:val="22"/>
                <w:szCs w:val="22"/>
              </w:rPr>
              <w:t xml:space="preserve">alcohol consumption tends to increase gender gap in mental health. </w:t>
            </w:r>
          </w:p>
          <w:p w14:paraId="68384242" w14:textId="77777777" w:rsidR="00167D74" w:rsidRPr="00167D74" w:rsidRDefault="00167D74" w:rsidP="00D17D82">
            <w:pPr>
              <w:pStyle w:val="Default"/>
              <w:rPr>
                <w:rFonts w:asciiTheme="minorHAnsi" w:hAnsiTheme="minorHAnsi" w:cstheme="minorHAnsi"/>
                <w:sz w:val="22"/>
                <w:szCs w:val="22"/>
              </w:rPr>
            </w:pPr>
            <w:r w:rsidRPr="00167D74">
              <w:rPr>
                <w:rFonts w:asciiTheme="minorHAnsi" w:hAnsiTheme="minorHAnsi" w:cstheme="minorHAnsi"/>
                <w:sz w:val="22"/>
                <w:szCs w:val="22"/>
              </w:rPr>
              <w:t>• S</w:t>
            </w:r>
            <w:r w:rsidR="003B191A" w:rsidRPr="005777FC">
              <w:rPr>
                <w:rFonts w:asciiTheme="minorHAnsi" w:hAnsiTheme="minorHAnsi" w:cstheme="minorHAnsi"/>
                <w:sz w:val="22"/>
                <w:szCs w:val="22"/>
              </w:rPr>
              <w:t xml:space="preserve">ocial support, </w:t>
            </w:r>
            <w:r w:rsidRPr="00167D74">
              <w:rPr>
                <w:rFonts w:asciiTheme="minorHAnsi" w:hAnsiTheme="minorHAnsi" w:cstheme="minorHAnsi"/>
                <w:sz w:val="22"/>
                <w:szCs w:val="22"/>
              </w:rPr>
              <w:t>neighbourhood</w:t>
            </w:r>
            <w:r w:rsidR="003B191A" w:rsidRPr="005777FC">
              <w:rPr>
                <w:rFonts w:asciiTheme="minorHAnsi" w:hAnsiTheme="minorHAnsi" w:cstheme="minorHAnsi"/>
                <w:sz w:val="22"/>
                <w:szCs w:val="22"/>
              </w:rPr>
              <w:t xml:space="preserve"> trust, dietary choice</w:t>
            </w:r>
            <w:r w:rsidRPr="00167D74">
              <w:rPr>
                <w:rFonts w:asciiTheme="minorHAnsi" w:hAnsiTheme="minorHAnsi" w:cstheme="minorHAnsi"/>
                <w:sz w:val="22"/>
                <w:szCs w:val="22"/>
              </w:rPr>
              <w:t>, &amp;</w:t>
            </w:r>
            <w:r w:rsidR="003B191A" w:rsidRPr="005777FC">
              <w:rPr>
                <w:rFonts w:asciiTheme="minorHAnsi" w:hAnsiTheme="minorHAnsi" w:cstheme="minorHAnsi"/>
                <w:sz w:val="22"/>
                <w:szCs w:val="22"/>
              </w:rPr>
              <w:t xml:space="preserve"> life satisfaction </w:t>
            </w:r>
            <w:r w:rsidRPr="00167D74">
              <w:rPr>
                <w:rFonts w:asciiTheme="minorHAnsi" w:hAnsiTheme="minorHAnsi" w:cstheme="minorHAnsi"/>
                <w:sz w:val="22"/>
                <w:szCs w:val="22"/>
              </w:rPr>
              <w:t>contribute to general &amp; mental health outcomes.</w:t>
            </w:r>
          </w:p>
          <w:p w14:paraId="374FF5D6" w14:textId="77777777" w:rsidR="00EB2B55" w:rsidRPr="00672DBE" w:rsidRDefault="00EB2B55"/>
        </w:tc>
      </w:tr>
      <w:tr w:rsidR="00954954" w:rsidRPr="00672DBE" w14:paraId="6C17717A" w14:textId="77777777" w:rsidTr="00A60E99">
        <w:trPr>
          <w:cantSplit/>
        </w:trPr>
        <w:tc>
          <w:tcPr>
            <w:tcW w:w="1271" w:type="dxa"/>
            <w:hideMark/>
          </w:tcPr>
          <w:p w14:paraId="1FA4213B" w14:textId="77777777" w:rsidR="00EB2B55" w:rsidRDefault="00EB2B55" w:rsidP="003414BB">
            <w:r w:rsidRPr="00672DBE">
              <w:lastRenderedPageBreak/>
              <w:t>Hamilton et al., 2022, Australia</w:t>
            </w:r>
          </w:p>
          <w:p w14:paraId="66A87A2B" w14:textId="082014A4" w:rsidR="00B36CAD" w:rsidRPr="00672DBE" w:rsidRDefault="00B36CAD" w:rsidP="003414BB"/>
        </w:tc>
        <w:tc>
          <w:tcPr>
            <w:tcW w:w="2552" w:type="dxa"/>
            <w:hideMark/>
          </w:tcPr>
          <w:p w14:paraId="04B6EADF" w14:textId="2384AFC2" w:rsidR="00FA27F3" w:rsidRDefault="00EB2B55" w:rsidP="003414BB">
            <w:r w:rsidRPr="00672DBE">
              <w:t xml:space="preserve">To compare women with men presenting with </w:t>
            </w:r>
            <w:r w:rsidR="009B627F">
              <w:t>Human Immunodeficiency Virus (</w:t>
            </w:r>
            <w:r w:rsidRPr="00672DBE">
              <w:t>HIV</w:t>
            </w:r>
            <w:r w:rsidR="009B627F">
              <w:t>)</w:t>
            </w:r>
            <w:r w:rsidRPr="00672DBE">
              <w:t xml:space="preserve"> to a public health HIV clinic, to identify special characteristics </w:t>
            </w:r>
            <w:r w:rsidR="00D302A4">
              <w:t>&amp;</w:t>
            </w:r>
            <w:r w:rsidR="00D302A4" w:rsidRPr="00672DBE">
              <w:t xml:space="preserve"> </w:t>
            </w:r>
            <w:r w:rsidRPr="00672DBE">
              <w:t>health care needs of women living with HIV</w:t>
            </w:r>
            <w:r w:rsidR="00FA27F3">
              <w:t>.</w:t>
            </w:r>
          </w:p>
          <w:p w14:paraId="6863B669" w14:textId="634C6476" w:rsidR="00EB2B55" w:rsidRPr="00672DBE" w:rsidRDefault="00EB2B55" w:rsidP="003414BB">
            <w:r w:rsidRPr="00672DBE">
              <w:t xml:space="preserve">Retrospective cohort. </w:t>
            </w:r>
          </w:p>
        </w:tc>
        <w:tc>
          <w:tcPr>
            <w:tcW w:w="2673" w:type="dxa"/>
            <w:hideMark/>
          </w:tcPr>
          <w:p w14:paraId="5459BE79" w14:textId="0DC804AF" w:rsidR="00EB2B55" w:rsidRPr="00672DBE" w:rsidRDefault="00EB2B55" w:rsidP="003414BB">
            <w:r w:rsidRPr="00672DBE">
              <w:t>35 women</w:t>
            </w:r>
            <w:r w:rsidR="00B36CAD">
              <w:t>,</w:t>
            </w:r>
            <w:r w:rsidRPr="00672DBE">
              <w:t xml:space="preserve"> 135 men with HIV who attended </w:t>
            </w:r>
            <w:r w:rsidR="00B36CAD">
              <w:t>a</w:t>
            </w:r>
            <w:r w:rsidR="00B36CAD" w:rsidRPr="00672DBE">
              <w:t xml:space="preserve"> </w:t>
            </w:r>
            <w:r w:rsidRPr="00672DBE">
              <w:t xml:space="preserve">clinic in </w:t>
            </w:r>
            <w:r w:rsidR="00B36CAD">
              <w:t>Victoria’s</w:t>
            </w:r>
            <w:r w:rsidR="00B36CAD" w:rsidRPr="00672DBE">
              <w:t xml:space="preserve"> </w:t>
            </w:r>
            <w:r w:rsidRPr="00672DBE">
              <w:t xml:space="preserve">Barwon </w:t>
            </w:r>
            <w:proofErr w:type="gramStart"/>
            <w:r w:rsidRPr="00672DBE">
              <w:t>South West</w:t>
            </w:r>
            <w:proofErr w:type="gramEnd"/>
            <w:r w:rsidRPr="00672DBE">
              <w:t xml:space="preserve"> region 2009 </w:t>
            </w:r>
            <w:r w:rsidR="00B36CAD">
              <w:t>-</w:t>
            </w:r>
            <w:r w:rsidR="00B36CAD" w:rsidRPr="00672DBE">
              <w:t xml:space="preserve"> </w:t>
            </w:r>
            <w:r w:rsidRPr="00672DBE">
              <w:t>2020.</w:t>
            </w:r>
          </w:p>
        </w:tc>
        <w:tc>
          <w:tcPr>
            <w:tcW w:w="1579" w:type="dxa"/>
            <w:hideMark/>
          </w:tcPr>
          <w:p w14:paraId="11ED0A1E" w14:textId="189F57DC" w:rsidR="00EB2B55" w:rsidRPr="00672DBE" w:rsidRDefault="00EB2B55" w:rsidP="003414BB">
            <w:r w:rsidRPr="00672DBE">
              <w:t>No definition</w:t>
            </w:r>
            <w:r w:rsidR="00D302A4">
              <w:t>s</w:t>
            </w:r>
            <w:r w:rsidRPr="00672DBE">
              <w:t xml:space="preserve">. Participants treated as binary sex. </w:t>
            </w:r>
            <w:r w:rsidR="00D302A4">
              <w:t>“</w:t>
            </w:r>
            <w:r w:rsidR="00D302A4" w:rsidRPr="009B627F">
              <w:t>Gender” used for sex</w:t>
            </w:r>
            <w:r w:rsidR="008C2851" w:rsidRPr="009B627F">
              <w:t>, although socio-cultural aspects discussed</w:t>
            </w:r>
            <w:r w:rsidR="00D302A4" w:rsidRPr="009B627F">
              <w:t>.</w:t>
            </w:r>
          </w:p>
        </w:tc>
        <w:tc>
          <w:tcPr>
            <w:tcW w:w="2552" w:type="dxa"/>
            <w:hideMark/>
          </w:tcPr>
          <w:p w14:paraId="08694027" w14:textId="07325854" w:rsidR="00B36CAD" w:rsidRDefault="00EB2B55" w:rsidP="003414BB">
            <w:r w:rsidRPr="00672DBE">
              <w:t>HIV history</w:t>
            </w:r>
            <w:r w:rsidR="00B36CAD">
              <w:t xml:space="preserve">: </w:t>
            </w:r>
            <w:r w:rsidRPr="00672DBE">
              <w:t>how detected, CD4 cell count, HIV VL, year antiretroviral therapy (ART) commenced</w:t>
            </w:r>
            <w:r w:rsidR="00B36CAD">
              <w:t>.</w:t>
            </w:r>
          </w:p>
          <w:p w14:paraId="4DA9D26D" w14:textId="70ABFBDB" w:rsidR="00EB2B55" w:rsidRPr="00672DBE" w:rsidRDefault="00EB2B55" w:rsidP="003414BB">
            <w:r w:rsidRPr="00672DBE">
              <w:t xml:space="preserve">Physical </w:t>
            </w:r>
            <w:r w:rsidR="00B36CAD">
              <w:t>&amp;</w:t>
            </w:r>
            <w:r w:rsidR="00B36CAD" w:rsidRPr="00672DBE">
              <w:t xml:space="preserve"> </w:t>
            </w:r>
            <w:r w:rsidRPr="00672DBE">
              <w:t xml:space="preserve">mental health indicators: alcohol </w:t>
            </w:r>
            <w:r w:rsidR="00B36CAD">
              <w:t>&amp;</w:t>
            </w:r>
            <w:r w:rsidR="00B36CAD" w:rsidRPr="00672DBE">
              <w:t xml:space="preserve"> </w:t>
            </w:r>
            <w:r w:rsidRPr="00672DBE">
              <w:t xml:space="preserve">drug use, mental health diagnoses, </w:t>
            </w:r>
            <w:r w:rsidR="00B36CAD" w:rsidRPr="00672DBE">
              <w:t>AIDS</w:t>
            </w:r>
            <w:r w:rsidR="00B36CAD">
              <w:t>-</w:t>
            </w:r>
            <w:r w:rsidRPr="00672DBE">
              <w:t>defining illnesses, other illnesses.</w:t>
            </w:r>
          </w:p>
        </w:tc>
        <w:tc>
          <w:tcPr>
            <w:tcW w:w="4761" w:type="dxa"/>
            <w:hideMark/>
          </w:tcPr>
          <w:p w14:paraId="20B7F03E" w14:textId="45E24A44" w:rsidR="00AD0199" w:rsidRDefault="00A241FC" w:rsidP="003414BB">
            <w:r w:rsidRPr="00702CBA">
              <w:t>•</w:t>
            </w:r>
            <w:r>
              <w:t xml:space="preserve"> </w:t>
            </w:r>
            <w:r w:rsidR="00EB2B55" w:rsidRPr="00672DBE">
              <w:t xml:space="preserve">More women </w:t>
            </w:r>
            <w:r w:rsidR="00AD0199">
              <w:t>than men</w:t>
            </w:r>
            <w:r w:rsidR="00AD0199" w:rsidRPr="00672DBE">
              <w:t xml:space="preserve"> </w:t>
            </w:r>
            <w:r w:rsidR="00EB2B55" w:rsidRPr="00672DBE">
              <w:t xml:space="preserve">diagnosed </w:t>
            </w:r>
            <w:r w:rsidR="00043B05">
              <w:t>by</w:t>
            </w:r>
            <w:r w:rsidR="00EB2B55" w:rsidRPr="00672DBE">
              <w:t xml:space="preserve"> targeted screening initiated by health professional (F: 45.7% vs M: 3.0%)</w:t>
            </w:r>
            <w:r w:rsidR="00AD0199">
              <w:t>.</w:t>
            </w:r>
          </w:p>
          <w:p w14:paraId="2D96FBC5" w14:textId="484EA764" w:rsidR="00AD0199" w:rsidRDefault="00A241FC" w:rsidP="003414BB">
            <w:r w:rsidRPr="00702CBA">
              <w:t>•</w:t>
            </w:r>
            <w:r>
              <w:t xml:space="preserve"> </w:t>
            </w:r>
            <w:r w:rsidR="00AD0199">
              <w:t>M</w:t>
            </w:r>
            <w:r w:rsidR="00EB2B55" w:rsidRPr="00672DBE">
              <w:t xml:space="preserve">ore men diagnosed </w:t>
            </w:r>
            <w:r w:rsidR="00043B05">
              <w:t>by</w:t>
            </w:r>
            <w:r w:rsidR="00AD0199">
              <w:t xml:space="preserve"> </w:t>
            </w:r>
            <w:r w:rsidR="00EB2B55" w:rsidRPr="00672DBE">
              <w:t xml:space="preserve">routine sexual health-related screening (F:37% vs M: 17%). </w:t>
            </w:r>
          </w:p>
          <w:p w14:paraId="52706B17" w14:textId="3BD22239" w:rsidR="00EB2B55" w:rsidRPr="00672DBE" w:rsidRDefault="00A241FC" w:rsidP="003414BB">
            <w:r w:rsidRPr="00702CBA">
              <w:t>•</w:t>
            </w:r>
            <w:r>
              <w:t xml:space="preserve"> </w:t>
            </w:r>
            <w:r w:rsidR="00AD0199">
              <w:t>Ie m</w:t>
            </w:r>
            <w:r w:rsidR="00EB2B55" w:rsidRPr="00672DBE">
              <w:t xml:space="preserve">en more likely </w:t>
            </w:r>
            <w:r w:rsidR="00AD0199">
              <w:t>to receive</w:t>
            </w:r>
            <w:r w:rsidR="00EB2B55" w:rsidRPr="00672DBE">
              <w:t xml:space="preserve"> good practice in HIV prevention</w:t>
            </w:r>
            <w:r w:rsidR="00AD0199">
              <w:t>,</w:t>
            </w:r>
            <w:r w:rsidR="00EB2B55" w:rsidRPr="00672DBE">
              <w:t xml:space="preserve"> early diagnosis</w:t>
            </w:r>
            <w:r w:rsidR="00AD0199">
              <w:t>,</w:t>
            </w:r>
            <w:r w:rsidR="00EB2B55" w:rsidRPr="00672DBE">
              <w:t xml:space="preserve"> early initiation of treatment </w:t>
            </w:r>
            <w:r w:rsidR="00043B05">
              <w:t>&amp;</w:t>
            </w:r>
            <w:r w:rsidR="00EB2B55" w:rsidRPr="00672DBE">
              <w:t xml:space="preserve"> care</w:t>
            </w:r>
            <w:r w:rsidR="00AD0199">
              <w:t>.</w:t>
            </w:r>
          </w:p>
          <w:p w14:paraId="3DC93C34" w14:textId="23257560" w:rsidR="00EB2B55" w:rsidRPr="00672DBE" w:rsidRDefault="00A241FC" w:rsidP="003414BB">
            <w:r w:rsidRPr="00702CBA">
              <w:t>•</w:t>
            </w:r>
            <w:r>
              <w:t xml:space="preserve"> </w:t>
            </w:r>
            <w:r w:rsidR="00AD0199">
              <w:t>W</w:t>
            </w:r>
            <w:r w:rsidR="00EB2B55" w:rsidRPr="00672DBE">
              <w:t xml:space="preserve">omen </w:t>
            </w:r>
            <w:r w:rsidR="00AD0199">
              <w:t>younger when</w:t>
            </w:r>
            <w:r w:rsidR="00AD0199" w:rsidRPr="00672DBE">
              <w:t xml:space="preserve"> </w:t>
            </w:r>
            <w:r w:rsidR="00EB2B55" w:rsidRPr="00672DBE">
              <w:t xml:space="preserve">diagnosed than men (mean 29.5 years vs. 36.7 years) </w:t>
            </w:r>
            <w:r w:rsidR="00AD0199">
              <w:t>&amp;</w:t>
            </w:r>
            <w:r w:rsidR="00AD0199" w:rsidRPr="00672DBE">
              <w:t xml:space="preserve"> </w:t>
            </w:r>
            <w:r w:rsidR="00EB2B55" w:rsidRPr="00672DBE">
              <w:t xml:space="preserve">more </w:t>
            </w:r>
            <w:r w:rsidR="00AD0199">
              <w:t>likely to be</w:t>
            </w:r>
            <w:r w:rsidR="00AD0199" w:rsidRPr="00672DBE">
              <w:t xml:space="preserve"> </w:t>
            </w:r>
            <w:r w:rsidR="00EB2B55" w:rsidRPr="00672DBE">
              <w:t xml:space="preserve">born in Africa (28.6% vs. 5.2%).     </w:t>
            </w:r>
          </w:p>
        </w:tc>
      </w:tr>
      <w:tr w:rsidR="0089444A" w:rsidRPr="00672DBE" w14:paraId="7516C8DD" w14:textId="77777777" w:rsidTr="005A6797">
        <w:trPr>
          <w:trHeight w:val="3584"/>
        </w:trPr>
        <w:tc>
          <w:tcPr>
            <w:tcW w:w="1271" w:type="dxa"/>
          </w:tcPr>
          <w:p w14:paraId="6FB07645" w14:textId="06274D9C" w:rsidR="0089444A" w:rsidRPr="0089444A" w:rsidRDefault="0089444A" w:rsidP="0089444A">
            <w:r w:rsidRPr="008402F9">
              <w:t>Hammarberg et al.</w:t>
            </w:r>
            <w:r w:rsidR="00DD4DC6">
              <w:t>,</w:t>
            </w:r>
            <w:r w:rsidRPr="008402F9">
              <w:t xml:space="preserve"> 2020, Australia</w:t>
            </w:r>
          </w:p>
        </w:tc>
        <w:tc>
          <w:tcPr>
            <w:tcW w:w="2552" w:type="dxa"/>
          </w:tcPr>
          <w:p w14:paraId="75D637F5" w14:textId="2C4AA6E8" w:rsidR="0089444A" w:rsidRPr="008402F9" w:rsidRDefault="0089444A" w:rsidP="0089444A">
            <w:r w:rsidRPr="008402F9">
              <w:t xml:space="preserve">To identify sex </w:t>
            </w:r>
            <w:r w:rsidR="00FA27F3">
              <w:t>&amp;</w:t>
            </w:r>
            <w:r w:rsidRPr="008402F9">
              <w:t xml:space="preserve"> age differences in clinically</w:t>
            </w:r>
            <w:r w:rsidR="00195044">
              <w:t xml:space="preserve"> </w:t>
            </w:r>
            <w:r w:rsidRPr="008402F9">
              <w:t xml:space="preserve">significant symptoms of depression </w:t>
            </w:r>
            <w:r w:rsidR="00FA27F3">
              <w:t>&amp;</w:t>
            </w:r>
            <w:r w:rsidRPr="008402F9">
              <w:t xml:space="preserve"> anxiety</w:t>
            </w:r>
            <w:r w:rsidR="00FA27F3">
              <w:t>, &amp;</w:t>
            </w:r>
            <w:r w:rsidRPr="008402F9">
              <w:t xml:space="preserve"> factors associated with these differences </w:t>
            </w:r>
            <w:r w:rsidR="00F94520">
              <w:t>in</w:t>
            </w:r>
            <w:r w:rsidRPr="008402F9">
              <w:t xml:space="preserve"> adults</w:t>
            </w:r>
            <w:r w:rsidR="00195044">
              <w:t xml:space="preserve"> (aged 18+)</w:t>
            </w:r>
            <w:r w:rsidRPr="008402F9">
              <w:t xml:space="preserve"> in</w:t>
            </w:r>
            <w:r w:rsidR="00195044">
              <w:t xml:space="preserve"> </w:t>
            </w:r>
            <w:r w:rsidRPr="008402F9">
              <w:t>Australia during COVID-19-related</w:t>
            </w:r>
            <w:r w:rsidR="00195044">
              <w:t xml:space="preserve"> r</w:t>
            </w:r>
            <w:r w:rsidRPr="008402F9">
              <w:t>estrictions</w:t>
            </w:r>
            <w:r w:rsidR="00195044">
              <w:t>.</w:t>
            </w:r>
            <w:r w:rsidRPr="008402F9">
              <w:t xml:space="preserve"> </w:t>
            </w:r>
          </w:p>
          <w:p w14:paraId="5FB6327F" w14:textId="362DB86D" w:rsidR="0089444A" w:rsidRPr="0089444A" w:rsidRDefault="0089444A" w:rsidP="0089444A">
            <w:r w:rsidRPr="008402F9">
              <w:t>Cross sectional study</w:t>
            </w:r>
          </w:p>
        </w:tc>
        <w:tc>
          <w:tcPr>
            <w:tcW w:w="2673" w:type="dxa"/>
          </w:tcPr>
          <w:p w14:paraId="13090258" w14:textId="145B3B52" w:rsidR="0089444A" w:rsidRPr="008402F9" w:rsidRDefault="0089444A" w:rsidP="0089444A">
            <w:r w:rsidRPr="008402F9">
              <w:t>13,762 (female: 10,434, male:</w:t>
            </w:r>
            <w:r w:rsidR="00195044">
              <w:t xml:space="preserve"> </w:t>
            </w:r>
            <w:r w:rsidRPr="008402F9">
              <w:t>3328) analysed</w:t>
            </w:r>
            <w:r w:rsidR="00195044">
              <w:t>.</w:t>
            </w:r>
            <w:r w:rsidRPr="008402F9">
              <w:t xml:space="preserve"> </w:t>
            </w:r>
          </w:p>
          <w:p w14:paraId="5BABAE27" w14:textId="77777777" w:rsidR="0089444A" w:rsidRPr="008402F9" w:rsidRDefault="0089444A" w:rsidP="0089444A">
            <w:r w:rsidRPr="008402F9">
              <w:t>Anonymous online survey.</w:t>
            </w:r>
          </w:p>
          <w:p w14:paraId="6BBC0EAC" w14:textId="77777777" w:rsidR="0089444A" w:rsidRPr="0089444A" w:rsidRDefault="0089444A" w:rsidP="0089444A"/>
        </w:tc>
        <w:tc>
          <w:tcPr>
            <w:tcW w:w="1579" w:type="dxa"/>
          </w:tcPr>
          <w:p w14:paraId="243614F1" w14:textId="77777777" w:rsidR="007E03F6" w:rsidRDefault="0089444A" w:rsidP="0089444A">
            <w:r w:rsidRPr="008402F9">
              <w:t xml:space="preserve">No definition of sex and/or gender. </w:t>
            </w:r>
          </w:p>
          <w:p w14:paraId="665F393B" w14:textId="39D4E77A" w:rsidR="007E03F6" w:rsidRDefault="007E03F6" w:rsidP="0089444A">
            <w:r>
              <w:t>“Sex” used accurately throughout.</w:t>
            </w:r>
          </w:p>
          <w:p w14:paraId="288BC2D7" w14:textId="46F1DD5D" w:rsidR="0089444A" w:rsidRPr="0089444A" w:rsidRDefault="0089444A" w:rsidP="0089444A">
            <w:r w:rsidRPr="008402F9">
              <w:t xml:space="preserve">Participants </w:t>
            </w:r>
            <w:r w:rsidR="00F94520">
              <w:t>self-identified as female, male, other</w:t>
            </w:r>
            <w:r w:rsidRPr="008402F9">
              <w:t xml:space="preserve">. </w:t>
            </w:r>
            <w:r w:rsidR="00F94520">
              <w:t>(“Other” not included in analysis.)</w:t>
            </w:r>
          </w:p>
        </w:tc>
        <w:tc>
          <w:tcPr>
            <w:tcW w:w="2552" w:type="dxa"/>
          </w:tcPr>
          <w:p w14:paraId="14BE6A61" w14:textId="0FF1A55C" w:rsidR="0089444A" w:rsidRPr="0089444A" w:rsidDel="00B36CAD" w:rsidRDefault="0089444A" w:rsidP="00195044">
            <w:r w:rsidRPr="008402F9">
              <w:t>PHQ (Clinically significant symptoms</w:t>
            </w:r>
            <w:r w:rsidR="00195044">
              <w:t xml:space="preserve"> </w:t>
            </w:r>
            <w:r w:rsidRPr="008402F9">
              <w:t>of depression, ≥10) or</w:t>
            </w:r>
            <w:r w:rsidR="00195044">
              <w:t xml:space="preserve"> </w:t>
            </w:r>
            <w:r w:rsidRPr="008402F9">
              <w:t>GAD 7 (anxiety, ≥10) (GAD-7), and GAD- 7, item 6 (experiences of irritability).</w:t>
            </w:r>
          </w:p>
        </w:tc>
        <w:tc>
          <w:tcPr>
            <w:tcW w:w="4761" w:type="dxa"/>
          </w:tcPr>
          <w:p w14:paraId="6ACF6AD2" w14:textId="3A08A34F" w:rsidR="0089444A" w:rsidRPr="008402F9" w:rsidRDefault="0089444A" w:rsidP="0089444A">
            <w:r w:rsidRPr="008402F9">
              <w:t>•Women more likely than men to have</w:t>
            </w:r>
            <w:r w:rsidR="00195044" w:rsidRPr="008402F9">
              <w:t xml:space="preserve"> </w:t>
            </w:r>
            <w:r w:rsidRPr="008402F9">
              <w:t>clinically significant symptoms of</w:t>
            </w:r>
          </w:p>
          <w:p w14:paraId="3241E79C" w14:textId="77777777" w:rsidR="0089444A" w:rsidRPr="008402F9" w:rsidRDefault="0089444A" w:rsidP="00C26251">
            <w:pPr>
              <w:pStyle w:val="ListParagraph"/>
              <w:numPr>
                <w:ilvl w:val="0"/>
                <w:numId w:val="27"/>
              </w:numPr>
              <w:ind w:left="317" w:hanging="141"/>
            </w:pPr>
            <w:r w:rsidRPr="008402F9">
              <w:t>Depression (26.3% (95% CI 25.4 to 27.1) vs 20.1% (95% CI 18.7 to 21.5), p&lt;0.001)</w:t>
            </w:r>
          </w:p>
          <w:p w14:paraId="255F261D" w14:textId="77777777" w:rsidR="0089444A" w:rsidRPr="008402F9" w:rsidRDefault="0089444A" w:rsidP="00C26251">
            <w:pPr>
              <w:pStyle w:val="ListParagraph"/>
              <w:numPr>
                <w:ilvl w:val="0"/>
                <w:numId w:val="27"/>
              </w:numPr>
              <w:ind w:left="317" w:hanging="141"/>
            </w:pPr>
            <w:r w:rsidRPr="008402F9">
              <w:t>Anxiety (21.8% (95% CI 21.0 to 22.6) vs 14.2% (95% CI 13.0 to 15.4) p&lt;0.001</w:t>
            </w:r>
            <w:proofErr w:type="gramStart"/>
            <w:r w:rsidRPr="008402F9">
              <w:t>);</w:t>
            </w:r>
            <w:proofErr w:type="gramEnd"/>
          </w:p>
          <w:p w14:paraId="4E45E33A" w14:textId="40362A56" w:rsidR="0089444A" w:rsidRPr="008402F9" w:rsidRDefault="0089444A" w:rsidP="00C26251">
            <w:pPr>
              <w:pStyle w:val="ListParagraph"/>
              <w:numPr>
                <w:ilvl w:val="0"/>
                <w:numId w:val="27"/>
              </w:numPr>
              <w:ind w:left="317" w:hanging="141"/>
            </w:pPr>
            <w:r w:rsidRPr="008402F9">
              <w:t xml:space="preserve">Irritability in previous fortnight (63.1% (95% CI 62.1 to 64.0) vs 51.4% (95% CI 49.7 to 53.2), p&lt;0.001). </w:t>
            </w:r>
          </w:p>
          <w:p w14:paraId="6803CE86" w14:textId="1744DBC3" w:rsidR="0089444A" w:rsidRPr="00FA27F3" w:rsidDel="00AD0199" w:rsidRDefault="0089444A" w:rsidP="00195044">
            <w:r w:rsidRPr="008402F9">
              <w:t xml:space="preserve">• Women more likely to do unpaid work caring for children (22.8% (95% CI 22.0 to 23.6) vs 8.6% (95% CI 7.7 to 9.6), p&lt;0.001) </w:t>
            </w:r>
            <w:r w:rsidR="00195044" w:rsidRPr="008402F9">
              <w:t>&amp;</w:t>
            </w:r>
            <w:r w:rsidRPr="008402F9">
              <w:t xml:space="preserve"> dependent relatives (9.8% (95% CI 9.2 to 10.3) vs 5.7% (95% CI 4.9 to 6.5), p&lt;0.001)</w:t>
            </w:r>
            <w:r w:rsidR="005A3E50">
              <w:t>:</w:t>
            </w:r>
            <w:r w:rsidRPr="008402F9">
              <w:t xml:space="preserve"> made significant contributions to mental health outcomes. </w:t>
            </w:r>
          </w:p>
        </w:tc>
      </w:tr>
      <w:tr w:rsidR="00954954" w:rsidRPr="00672DBE" w14:paraId="798A6C01" w14:textId="77777777" w:rsidTr="00F34379">
        <w:trPr>
          <w:cantSplit/>
        </w:trPr>
        <w:tc>
          <w:tcPr>
            <w:tcW w:w="1271" w:type="dxa"/>
            <w:hideMark/>
          </w:tcPr>
          <w:p w14:paraId="65911E95" w14:textId="47C6036A" w:rsidR="00EB2B55" w:rsidRDefault="00EB2B55" w:rsidP="003414BB">
            <w:r w:rsidRPr="00672DBE">
              <w:lastRenderedPageBreak/>
              <w:t>Hashmi et al.</w:t>
            </w:r>
            <w:r w:rsidR="00DD4DC6">
              <w:t>,</w:t>
            </w:r>
            <w:r w:rsidRPr="00672DBE">
              <w:t xml:space="preserve"> 2023, Australia</w:t>
            </w:r>
          </w:p>
          <w:p w14:paraId="5A694650" w14:textId="1FCD0C0D" w:rsidR="00B54510" w:rsidRPr="00672DBE" w:rsidRDefault="00B54510" w:rsidP="003414BB"/>
        </w:tc>
        <w:tc>
          <w:tcPr>
            <w:tcW w:w="2552" w:type="dxa"/>
            <w:hideMark/>
          </w:tcPr>
          <w:p w14:paraId="13BB419C" w14:textId="37F4FF90" w:rsidR="00EB2B55" w:rsidRPr="00672DBE" w:rsidRDefault="00EB2B55" w:rsidP="003414BB">
            <w:r w:rsidRPr="00672DBE">
              <w:t>To present a novel method to measure inequity in delivery of psychiatric care</w:t>
            </w:r>
            <w:r w:rsidR="009602D2" w:rsidRPr="00672DBE">
              <w:t xml:space="preserve">. </w:t>
            </w:r>
            <w:r w:rsidRPr="00672DBE">
              <w:t>Secondary analysis</w:t>
            </w:r>
            <w:r w:rsidR="00A70881">
              <w:t xml:space="preserve"> of</w:t>
            </w:r>
            <w:r w:rsidR="00B54510">
              <w:t xml:space="preserve"> </w:t>
            </w:r>
            <w:r w:rsidR="00A70881">
              <w:t>Household, Income &amp; Labour Dynamics in Australia (HILDA)</w:t>
            </w:r>
            <w:r w:rsidRPr="00672DBE">
              <w:t>.</w:t>
            </w:r>
          </w:p>
        </w:tc>
        <w:tc>
          <w:tcPr>
            <w:tcW w:w="2673" w:type="dxa"/>
            <w:hideMark/>
          </w:tcPr>
          <w:p w14:paraId="11F71425" w14:textId="4CFD1B7E" w:rsidR="00B54510" w:rsidRDefault="00EB2B55" w:rsidP="003414BB">
            <w:r w:rsidRPr="00672DBE">
              <w:t>Wave</w:t>
            </w:r>
            <w:r w:rsidR="00113551" w:rsidRPr="00672DBE">
              <w:t xml:space="preserve"> </w:t>
            </w:r>
            <w:r w:rsidRPr="00672DBE">
              <w:t>1: 13,969 individuals (</w:t>
            </w:r>
            <w:r w:rsidR="00FA27F3">
              <w:t>f</w:t>
            </w:r>
            <w:r w:rsidRPr="00672DBE">
              <w:t>emale 59%)</w:t>
            </w:r>
            <w:r w:rsidR="00113551" w:rsidRPr="00672DBE">
              <w:t>.</w:t>
            </w:r>
            <w:r w:rsidRPr="00672DBE">
              <w:t xml:space="preserve"> </w:t>
            </w:r>
          </w:p>
          <w:p w14:paraId="09C8CD0A" w14:textId="314E560E" w:rsidR="00B54510" w:rsidRDefault="00EB2B55" w:rsidP="003414BB">
            <w:r w:rsidRPr="00672DBE">
              <w:t>Data from wave</w:t>
            </w:r>
            <w:r w:rsidR="00FD5593">
              <w:t>s</w:t>
            </w:r>
            <w:r w:rsidRPr="00672DBE">
              <w:t xml:space="preserve"> 9 (year 2009, n = 11,563) </w:t>
            </w:r>
            <w:r w:rsidR="00B54510">
              <w:t>&amp;</w:t>
            </w:r>
            <w:r w:rsidR="00B54510" w:rsidRPr="00672DBE">
              <w:t xml:space="preserve"> </w:t>
            </w:r>
            <w:r w:rsidRPr="00672DBE">
              <w:t>17 (2017, n = 16,194)</w:t>
            </w:r>
            <w:r w:rsidR="00B54510">
              <w:t>.</w:t>
            </w:r>
            <w:r w:rsidRPr="00672DBE">
              <w:t xml:space="preserve"> </w:t>
            </w:r>
          </w:p>
          <w:p w14:paraId="11D0A949" w14:textId="25481654" w:rsidR="00EB2B55" w:rsidRPr="00672DBE" w:rsidRDefault="00B54510" w:rsidP="003414BB">
            <w:r>
              <w:t>A</w:t>
            </w:r>
            <w:r w:rsidRPr="00672DBE">
              <w:t xml:space="preserve">ged </w:t>
            </w:r>
            <w:r w:rsidR="00113551" w:rsidRPr="00672DBE">
              <w:t xml:space="preserve">15+ </w:t>
            </w:r>
            <w:r w:rsidR="00EB2B55" w:rsidRPr="00672DBE">
              <w:t>years</w:t>
            </w:r>
            <w:r w:rsidR="00113551" w:rsidRPr="00672DBE">
              <w:t>.</w:t>
            </w:r>
          </w:p>
        </w:tc>
        <w:tc>
          <w:tcPr>
            <w:tcW w:w="1579" w:type="dxa"/>
            <w:hideMark/>
          </w:tcPr>
          <w:p w14:paraId="0CFAFE0F" w14:textId="1DD018C6" w:rsidR="00EB2B55" w:rsidRPr="00672DBE" w:rsidRDefault="00EB2B55" w:rsidP="003414BB">
            <w:r w:rsidRPr="00672DBE">
              <w:t xml:space="preserve">No definition of sex/gender. Participants treated as binary sex. </w:t>
            </w:r>
            <w:r w:rsidR="000D62C6">
              <w:t>“Gender” used for sex.</w:t>
            </w:r>
          </w:p>
        </w:tc>
        <w:tc>
          <w:tcPr>
            <w:tcW w:w="2552" w:type="dxa"/>
            <w:hideMark/>
          </w:tcPr>
          <w:p w14:paraId="13F14331" w14:textId="631B5393" w:rsidR="00EB2B55" w:rsidRPr="00672DBE" w:rsidRDefault="00EB2B55" w:rsidP="003414BB">
            <w:r w:rsidRPr="00672DBE">
              <w:t>General health using SF 36</w:t>
            </w:r>
            <w:r w:rsidR="0061101B" w:rsidRPr="00672DBE">
              <w:t>.</w:t>
            </w:r>
            <w:r w:rsidRPr="00672DBE">
              <w:t xml:space="preserve"> Mental health using K10, Inequality using </w:t>
            </w:r>
            <w:r w:rsidR="004262A5" w:rsidRPr="00672DBE">
              <w:t xml:space="preserve">Gini </w:t>
            </w:r>
            <w:r w:rsidRPr="00672DBE">
              <w:t>index</w:t>
            </w:r>
          </w:p>
        </w:tc>
        <w:tc>
          <w:tcPr>
            <w:tcW w:w="4761" w:type="dxa"/>
            <w:hideMark/>
          </w:tcPr>
          <w:p w14:paraId="284C6685" w14:textId="20DA1C3A" w:rsidR="00FD5593" w:rsidRPr="008402F9" w:rsidRDefault="00FD5593" w:rsidP="008402F9">
            <w:pPr>
              <w:pStyle w:val="NormalWeb"/>
              <w:spacing w:before="0" w:beforeAutospacing="0" w:after="0" w:afterAutospacing="0"/>
              <w:rPr>
                <w:rFonts w:asciiTheme="minorHAnsi" w:hAnsiTheme="minorHAnsi" w:cstheme="minorHAnsi"/>
                <w:sz w:val="22"/>
                <w:szCs w:val="22"/>
              </w:rPr>
            </w:pPr>
            <w:r w:rsidRPr="008402F9">
              <w:rPr>
                <w:rFonts w:asciiTheme="minorHAnsi" w:hAnsiTheme="minorHAnsi" w:cstheme="minorHAnsi"/>
                <w:sz w:val="22"/>
                <w:szCs w:val="22"/>
              </w:rPr>
              <w:t xml:space="preserve">• </w:t>
            </w:r>
            <w:r>
              <w:rPr>
                <w:rFonts w:asciiTheme="minorHAnsi" w:hAnsiTheme="minorHAnsi" w:cstheme="minorHAnsi"/>
                <w:sz w:val="22"/>
                <w:szCs w:val="22"/>
              </w:rPr>
              <w:t>M</w:t>
            </w:r>
            <w:r w:rsidRPr="008402F9">
              <w:rPr>
                <w:rFonts w:asciiTheme="minorHAnsi" w:hAnsiTheme="minorHAnsi" w:cstheme="minorHAnsi"/>
                <w:sz w:val="22"/>
                <w:szCs w:val="22"/>
              </w:rPr>
              <w:t>arked</w:t>
            </w:r>
            <w:r>
              <w:rPr>
                <w:rFonts w:asciiTheme="minorHAnsi" w:hAnsiTheme="minorHAnsi" w:cstheme="minorHAnsi"/>
                <w:sz w:val="22"/>
                <w:szCs w:val="22"/>
              </w:rPr>
              <w:t xml:space="preserve"> </w:t>
            </w:r>
            <w:r w:rsidRPr="008402F9">
              <w:rPr>
                <w:rFonts w:asciiTheme="minorHAnsi" w:hAnsiTheme="minorHAnsi" w:cstheme="minorHAnsi"/>
                <w:sz w:val="22"/>
                <w:szCs w:val="22"/>
              </w:rPr>
              <w:t>increase</w:t>
            </w:r>
            <w:r>
              <w:rPr>
                <w:rFonts w:asciiTheme="minorHAnsi" w:hAnsiTheme="minorHAnsi" w:cstheme="minorHAnsi"/>
                <w:sz w:val="22"/>
                <w:szCs w:val="22"/>
              </w:rPr>
              <w:t xml:space="preserve"> </w:t>
            </w:r>
            <w:r w:rsidRPr="008402F9">
              <w:rPr>
                <w:rFonts w:asciiTheme="minorHAnsi" w:hAnsiTheme="minorHAnsi" w:cstheme="minorHAnsi"/>
                <w:sz w:val="22"/>
                <w:szCs w:val="22"/>
              </w:rPr>
              <w:t>in</w:t>
            </w:r>
            <w:r>
              <w:rPr>
                <w:rFonts w:asciiTheme="minorHAnsi" w:hAnsiTheme="minorHAnsi" w:cstheme="minorHAnsi"/>
                <w:sz w:val="22"/>
                <w:szCs w:val="22"/>
              </w:rPr>
              <w:t xml:space="preserve"> </w:t>
            </w:r>
            <w:r w:rsidRPr="008402F9">
              <w:rPr>
                <w:rFonts w:asciiTheme="minorHAnsi" w:hAnsiTheme="minorHAnsi" w:cstheme="minorHAnsi"/>
                <w:sz w:val="22"/>
                <w:szCs w:val="22"/>
              </w:rPr>
              <w:t>unmet</w:t>
            </w:r>
            <w:r>
              <w:rPr>
                <w:rFonts w:asciiTheme="minorHAnsi" w:hAnsiTheme="minorHAnsi" w:cstheme="minorHAnsi"/>
                <w:sz w:val="22"/>
                <w:szCs w:val="22"/>
              </w:rPr>
              <w:t xml:space="preserve"> </w:t>
            </w:r>
            <w:r w:rsidRPr="008402F9">
              <w:rPr>
                <w:rFonts w:asciiTheme="minorHAnsi" w:hAnsiTheme="minorHAnsi" w:cstheme="minorHAnsi"/>
                <w:sz w:val="22"/>
                <w:szCs w:val="22"/>
              </w:rPr>
              <w:t>needs</w:t>
            </w:r>
            <w:r>
              <w:rPr>
                <w:rFonts w:asciiTheme="minorHAnsi" w:hAnsiTheme="minorHAnsi" w:cstheme="minorHAnsi"/>
                <w:sz w:val="22"/>
                <w:szCs w:val="22"/>
              </w:rPr>
              <w:t xml:space="preserve"> </w:t>
            </w:r>
            <w:r w:rsidRPr="008402F9">
              <w:rPr>
                <w:rFonts w:asciiTheme="minorHAnsi" w:hAnsiTheme="minorHAnsi" w:cstheme="minorHAnsi"/>
                <w:sz w:val="22"/>
                <w:szCs w:val="22"/>
              </w:rPr>
              <w:t>in</w:t>
            </w:r>
            <w:r>
              <w:rPr>
                <w:rFonts w:asciiTheme="minorHAnsi" w:hAnsiTheme="minorHAnsi" w:cstheme="minorHAnsi"/>
                <w:sz w:val="22"/>
                <w:szCs w:val="22"/>
              </w:rPr>
              <w:t xml:space="preserve"> psychiatric c</w:t>
            </w:r>
            <w:r w:rsidRPr="008402F9">
              <w:rPr>
                <w:rFonts w:asciiTheme="minorHAnsi" w:hAnsiTheme="minorHAnsi" w:cstheme="minorHAnsi"/>
                <w:sz w:val="22"/>
                <w:szCs w:val="22"/>
              </w:rPr>
              <w:t>are</w:t>
            </w:r>
            <w:r>
              <w:rPr>
                <w:rFonts w:asciiTheme="minorHAnsi" w:hAnsiTheme="minorHAnsi" w:cstheme="minorHAnsi"/>
                <w:sz w:val="22"/>
                <w:szCs w:val="22"/>
              </w:rPr>
              <w:t xml:space="preserve"> </w:t>
            </w:r>
            <w:r w:rsidRPr="008402F9">
              <w:rPr>
                <w:rFonts w:asciiTheme="minorHAnsi" w:hAnsiTheme="minorHAnsi" w:cstheme="minorHAnsi"/>
                <w:sz w:val="22"/>
                <w:szCs w:val="22"/>
              </w:rPr>
              <w:t>utilisation</w:t>
            </w:r>
            <w:r>
              <w:rPr>
                <w:rFonts w:asciiTheme="minorHAnsi" w:hAnsiTheme="minorHAnsi" w:cstheme="minorHAnsi"/>
                <w:sz w:val="22"/>
                <w:szCs w:val="22"/>
              </w:rPr>
              <w:t xml:space="preserve"> </w:t>
            </w:r>
            <w:r w:rsidRPr="008402F9">
              <w:rPr>
                <w:rFonts w:asciiTheme="minorHAnsi" w:hAnsiTheme="minorHAnsi" w:cstheme="minorHAnsi"/>
                <w:sz w:val="22"/>
                <w:szCs w:val="22"/>
              </w:rPr>
              <w:t>since</w:t>
            </w:r>
            <w:r>
              <w:rPr>
                <w:rFonts w:asciiTheme="minorHAnsi" w:hAnsiTheme="minorHAnsi" w:cstheme="minorHAnsi"/>
                <w:sz w:val="22"/>
                <w:szCs w:val="22"/>
              </w:rPr>
              <w:t xml:space="preserve"> </w:t>
            </w:r>
            <w:r w:rsidRPr="008402F9">
              <w:rPr>
                <w:rFonts w:asciiTheme="minorHAnsi" w:hAnsiTheme="minorHAnsi" w:cstheme="minorHAnsi"/>
                <w:sz w:val="22"/>
                <w:szCs w:val="22"/>
              </w:rPr>
              <w:t>2009</w:t>
            </w:r>
            <w:r>
              <w:rPr>
                <w:rFonts w:asciiTheme="minorHAnsi" w:hAnsiTheme="minorHAnsi" w:cstheme="minorHAnsi"/>
                <w:sz w:val="22"/>
                <w:szCs w:val="22"/>
              </w:rPr>
              <w:t xml:space="preserve"> in Australia.</w:t>
            </w:r>
            <w:r w:rsidRPr="008402F9">
              <w:rPr>
                <w:rFonts w:asciiTheme="minorHAnsi" w:hAnsiTheme="minorHAnsi" w:cstheme="minorHAnsi"/>
                <w:sz w:val="22"/>
                <w:szCs w:val="22"/>
              </w:rPr>
              <w:t xml:space="preserve"> </w:t>
            </w:r>
          </w:p>
          <w:p w14:paraId="29AB7C0E" w14:textId="04B88826" w:rsidR="00EB2B55" w:rsidRPr="00672DBE" w:rsidRDefault="00A241FC" w:rsidP="003414BB">
            <w:r w:rsidRPr="00702CBA">
              <w:t>•</w:t>
            </w:r>
            <w:r>
              <w:t xml:space="preserve"> </w:t>
            </w:r>
            <w:r w:rsidR="00EB2B55" w:rsidRPr="00672DBE">
              <w:t>Women experience higher level of inequity in psychiatric care utilisation than men</w:t>
            </w:r>
            <w:r w:rsidR="00B54510">
              <w:t>.</w:t>
            </w:r>
          </w:p>
          <w:p w14:paraId="32C2E2FA" w14:textId="54A3EA8D" w:rsidR="00EB2B55" w:rsidRPr="00672DBE" w:rsidRDefault="00A241FC" w:rsidP="003414BB">
            <w:r w:rsidRPr="00702CBA">
              <w:t>•</w:t>
            </w:r>
            <w:r>
              <w:t xml:space="preserve"> I</w:t>
            </w:r>
            <w:r w:rsidR="00EB2B55" w:rsidRPr="00672DBE">
              <w:t xml:space="preserve">nequity levels of psychiatric care utilisation in 2009 </w:t>
            </w:r>
            <w:r w:rsidR="00B54510">
              <w:t>&amp;</w:t>
            </w:r>
            <w:r w:rsidR="00B54510" w:rsidRPr="00672DBE">
              <w:t xml:space="preserve"> </w:t>
            </w:r>
            <w:r w:rsidR="00EB2B55" w:rsidRPr="00672DBE">
              <w:t>2017 for women</w:t>
            </w:r>
            <w:r w:rsidR="00FA27F3">
              <w:t>:</w:t>
            </w:r>
            <w:r w:rsidR="00EB2B55" w:rsidRPr="00672DBE">
              <w:t xml:space="preserve"> 0.078 </w:t>
            </w:r>
            <w:r w:rsidR="00B54510">
              <w:t>&amp;</w:t>
            </w:r>
            <w:r w:rsidR="00B54510" w:rsidRPr="00672DBE">
              <w:t xml:space="preserve"> </w:t>
            </w:r>
            <w:r w:rsidR="00EB2B55" w:rsidRPr="00672DBE">
              <w:t>0.109</w:t>
            </w:r>
            <w:r w:rsidR="00B54510">
              <w:t>;</w:t>
            </w:r>
            <w:r w:rsidR="00EB2B55" w:rsidRPr="00672DBE">
              <w:t xml:space="preserve"> men</w:t>
            </w:r>
            <w:r w:rsidR="00FA27F3">
              <w:t>:</w:t>
            </w:r>
            <w:r w:rsidR="00EB2B55" w:rsidRPr="00672DBE">
              <w:t xml:space="preserve"> 0.051 </w:t>
            </w:r>
            <w:r w:rsidR="00B54510">
              <w:t>&amp;</w:t>
            </w:r>
            <w:r w:rsidR="00B54510" w:rsidRPr="00672DBE">
              <w:t xml:space="preserve"> </w:t>
            </w:r>
            <w:r w:rsidR="00EB2B55" w:rsidRPr="00672DBE">
              <w:t xml:space="preserve">0.081.  </w:t>
            </w:r>
          </w:p>
        </w:tc>
      </w:tr>
      <w:tr w:rsidR="00954954" w:rsidRPr="00672DBE" w14:paraId="6A5F9911" w14:textId="77777777" w:rsidTr="005A6797">
        <w:trPr>
          <w:trHeight w:val="3852"/>
        </w:trPr>
        <w:tc>
          <w:tcPr>
            <w:tcW w:w="1271" w:type="dxa"/>
            <w:hideMark/>
          </w:tcPr>
          <w:p w14:paraId="0A51C202" w14:textId="502F1FFA" w:rsidR="00EB2B55" w:rsidRDefault="00EB2B55" w:rsidP="003414BB">
            <w:r w:rsidRPr="00672DBE">
              <w:t>Hyun et al.</w:t>
            </w:r>
            <w:r w:rsidR="00DD4DC6">
              <w:t>,</w:t>
            </w:r>
            <w:r w:rsidRPr="00672DBE">
              <w:t xml:space="preserve"> 2017, Australia</w:t>
            </w:r>
          </w:p>
          <w:p w14:paraId="4E5E64BD" w14:textId="03C756FE" w:rsidR="008B0101" w:rsidRPr="00672DBE" w:rsidRDefault="008B0101" w:rsidP="003414BB"/>
        </w:tc>
        <w:tc>
          <w:tcPr>
            <w:tcW w:w="2552" w:type="dxa"/>
            <w:hideMark/>
          </w:tcPr>
          <w:p w14:paraId="3DFF62E0" w14:textId="4BAF0843" w:rsidR="00F21FC2" w:rsidRDefault="00EB2B55" w:rsidP="003414BB">
            <w:r w:rsidRPr="00672DBE">
              <w:t xml:space="preserve">To determine </w:t>
            </w:r>
            <w:r w:rsidR="00FA27F3">
              <w:t>any</w:t>
            </w:r>
            <w:r w:rsidRPr="00672DBE">
              <w:t xml:space="preserve"> gap in </w:t>
            </w:r>
            <w:r w:rsidR="00FA27F3">
              <w:t>c</w:t>
            </w:r>
            <w:r w:rsidR="00FA27F3" w:rsidRPr="00672DBE">
              <w:t xml:space="preserve">ardiovascular </w:t>
            </w:r>
            <w:r w:rsidRPr="00672DBE">
              <w:t xml:space="preserve">disease (CVD) risk factor assessment </w:t>
            </w:r>
            <w:r w:rsidR="00F21FC2">
              <w:t>&amp;</w:t>
            </w:r>
            <w:r w:rsidR="00F21FC2" w:rsidRPr="00672DBE">
              <w:t xml:space="preserve"> </w:t>
            </w:r>
            <w:r w:rsidRPr="00672DBE">
              <w:t xml:space="preserve">management between women </w:t>
            </w:r>
            <w:r w:rsidR="000D62C6">
              <w:t>&amp;</w:t>
            </w:r>
            <w:r w:rsidR="000D62C6" w:rsidRPr="00672DBE">
              <w:t xml:space="preserve"> </w:t>
            </w:r>
            <w:r w:rsidRPr="00672DBE">
              <w:t>men in Australian primary health</w:t>
            </w:r>
            <w:r w:rsidR="00F21FC2">
              <w:t xml:space="preserve"> </w:t>
            </w:r>
            <w:r w:rsidRPr="00672DBE">
              <w:t>care</w:t>
            </w:r>
            <w:r w:rsidR="00B03C5A" w:rsidRPr="00672DBE">
              <w:t xml:space="preserve">. </w:t>
            </w:r>
          </w:p>
          <w:p w14:paraId="164B829A" w14:textId="232EE6EF" w:rsidR="00EB2B55" w:rsidRPr="00672DBE" w:rsidRDefault="00EB2B55" w:rsidP="003414BB">
            <w:r w:rsidRPr="00672DBE">
              <w:t>Secondary analysis</w:t>
            </w:r>
            <w:r w:rsidR="00F21FC2">
              <w:t>:</w:t>
            </w:r>
            <w:r w:rsidRPr="00672DBE">
              <w:t xml:space="preserve"> </w:t>
            </w:r>
            <w:r w:rsidR="00B03C5A" w:rsidRPr="00672DBE">
              <w:t xml:space="preserve">baseline </w:t>
            </w:r>
            <w:r w:rsidRPr="00672DBE">
              <w:t xml:space="preserve">data from Treatment of Cardiovascular Risk </w:t>
            </w:r>
            <w:r w:rsidR="000D62C6">
              <w:t>U</w:t>
            </w:r>
            <w:r w:rsidR="000D62C6" w:rsidRPr="00672DBE">
              <w:t xml:space="preserve">sing </w:t>
            </w:r>
            <w:r w:rsidRPr="00672DBE">
              <w:t>Electronic Decision Support (TORPEDO)</w:t>
            </w:r>
          </w:p>
        </w:tc>
        <w:tc>
          <w:tcPr>
            <w:tcW w:w="2673" w:type="dxa"/>
            <w:hideMark/>
          </w:tcPr>
          <w:p w14:paraId="69DDFC8C" w14:textId="70BE3C1B" w:rsidR="00EB2B55" w:rsidRPr="00672DBE" w:rsidRDefault="00EB2B55" w:rsidP="003414BB">
            <w:r w:rsidRPr="00672DBE">
              <w:t>53,085 (F 30.601</w:t>
            </w:r>
            <w:r w:rsidR="00F21FC2">
              <w:t>,</w:t>
            </w:r>
            <w:r w:rsidR="00F21FC2" w:rsidRPr="00672DBE">
              <w:t xml:space="preserve"> </w:t>
            </w:r>
            <w:r w:rsidRPr="00672DBE">
              <w:t xml:space="preserve">M 22,484) </w:t>
            </w:r>
            <w:proofErr w:type="gramStart"/>
            <w:r w:rsidR="000D62C6" w:rsidRPr="00672DBE">
              <w:t>routinely</w:t>
            </w:r>
            <w:r w:rsidR="000D62C6">
              <w:t>-</w:t>
            </w:r>
            <w:r w:rsidRPr="00672DBE">
              <w:t>attending</w:t>
            </w:r>
            <w:proofErr w:type="gramEnd"/>
            <w:r w:rsidRPr="00672DBE">
              <w:t xml:space="preserve"> patients with CVD</w:t>
            </w:r>
            <w:r w:rsidR="00FA27F3">
              <w:t>,</w:t>
            </w:r>
            <w:r w:rsidRPr="00672DBE">
              <w:t xml:space="preserve"> from 60 Australian primary healthcare services in 2012.</w:t>
            </w:r>
          </w:p>
        </w:tc>
        <w:tc>
          <w:tcPr>
            <w:tcW w:w="1579" w:type="dxa"/>
            <w:hideMark/>
          </w:tcPr>
          <w:p w14:paraId="042E8651" w14:textId="31441FE1" w:rsidR="00EB2B55" w:rsidRPr="00672DBE" w:rsidRDefault="00EB2B55" w:rsidP="003414BB">
            <w:r w:rsidRPr="00672DBE">
              <w:t xml:space="preserve">No definition. Participants treated as binary sex. </w:t>
            </w:r>
            <w:r w:rsidR="00D428A2">
              <w:t>“Gender” &amp; “sex” used interchangeably for sex.</w:t>
            </w:r>
          </w:p>
        </w:tc>
        <w:tc>
          <w:tcPr>
            <w:tcW w:w="2552" w:type="dxa"/>
            <w:hideMark/>
          </w:tcPr>
          <w:p w14:paraId="07E383C8" w14:textId="7B442DDA" w:rsidR="00EB2B55" w:rsidRPr="00672DBE" w:rsidRDefault="00EB2B55" w:rsidP="003414BB">
            <w:r w:rsidRPr="00672DBE">
              <w:t>Absolute CVD risk assessment</w:t>
            </w:r>
            <w:r w:rsidR="000D62C6">
              <w:t>,</w:t>
            </w:r>
            <w:r w:rsidR="000D62C6" w:rsidRPr="00672DBE">
              <w:t xml:space="preserve"> </w:t>
            </w:r>
            <w:r w:rsidRPr="00672DBE">
              <w:t>rate of optimal guideline-recommended preventive medication prescriptions based on Framingham risk score.</w:t>
            </w:r>
          </w:p>
        </w:tc>
        <w:tc>
          <w:tcPr>
            <w:tcW w:w="4761" w:type="dxa"/>
            <w:hideMark/>
          </w:tcPr>
          <w:p w14:paraId="3E434588" w14:textId="741D400E" w:rsidR="00EB2B55" w:rsidRPr="00672DBE" w:rsidRDefault="00A241FC" w:rsidP="003414BB">
            <w:r w:rsidRPr="00702CBA">
              <w:t>•</w:t>
            </w:r>
            <w:r>
              <w:t xml:space="preserve"> </w:t>
            </w:r>
            <w:r w:rsidR="00EB2B55" w:rsidRPr="00672DBE">
              <w:t>Women tended to be less intensively treated</w:t>
            </w:r>
            <w:r w:rsidR="00461463">
              <w:t>.</w:t>
            </w:r>
          </w:p>
          <w:p w14:paraId="69D5AFB6" w14:textId="790A4C7B" w:rsidR="00461463" w:rsidRDefault="00A241FC" w:rsidP="003414BB">
            <w:r w:rsidRPr="00702CBA">
              <w:t>•</w:t>
            </w:r>
            <w:r>
              <w:t xml:space="preserve"> </w:t>
            </w:r>
            <w:r w:rsidR="00EB2B55" w:rsidRPr="00672DBE">
              <w:t>Women less often measured for national guideline-recommended CVD risk factors (41% vs 46%, p&lt;0.001)</w:t>
            </w:r>
            <w:r w:rsidR="00461463">
              <w:t>.</w:t>
            </w:r>
          </w:p>
          <w:p w14:paraId="04E80090" w14:textId="4B3D53FC" w:rsidR="00461463" w:rsidRDefault="00A241FC" w:rsidP="003414BB">
            <w:r w:rsidRPr="00702CBA">
              <w:t>•</w:t>
            </w:r>
            <w:r>
              <w:t xml:space="preserve"> </w:t>
            </w:r>
            <w:r w:rsidR="00EB2B55" w:rsidRPr="00672DBE">
              <w:t xml:space="preserve">After adjusting for demographic </w:t>
            </w:r>
            <w:r w:rsidR="00461463">
              <w:t>&amp;</w:t>
            </w:r>
            <w:r w:rsidR="00461463" w:rsidRPr="00672DBE">
              <w:t xml:space="preserve"> </w:t>
            </w:r>
            <w:r w:rsidR="00EB2B55" w:rsidRPr="00672DBE">
              <w:t>clinical characteristics, women less likely to have CVD risk factors measured (OR:0.88, 95% CI, 0.81; 0.96)</w:t>
            </w:r>
            <w:r w:rsidR="00461463">
              <w:t>.</w:t>
            </w:r>
          </w:p>
          <w:p w14:paraId="3033CADB" w14:textId="7356C3B7" w:rsidR="00461463" w:rsidRDefault="00A241FC" w:rsidP="003414BB">
            <w:r w:rsidRPr="00702CBA">
              <w:t>•</w:t>
            </w:r>
            <w:r>
              <w:t xml:space="preserve"> </w:t>
            </w:r>
            <w:r w:rsidR="00461463">
              <w:t>Of</w:t>
            </w:r>
            <w:r w:rsidR="00EB2B55" w:rsidRPr="00672DBE">
              <w:t xml:space="preserve"> 13294 (47% female</w:t>
            </w:r>
            <w:r w:rsidR="00461463">
              <w:t>)</w:t>
            </w:r>
            <w:r w:rsidR="00EB2B55" w:rsidRPr="00672DBE">
              <w:t xml:space="preserve"> patients at high CVD risk, women prescribed guideline-recommended medications </w:t>
            </w:r>
            <w:r w:rsidR="005A3E50">
              <w:t>=</w:t>
            </w:r>
            <w:r w:rsidR="00EB2B55" w:rsidRPr="00672DBE">
              <w:t xml:space="preserve"> to men (47% vs. 48%, p=0.20). </w:t>
            </w:r>
          </w:p>
          <w:p w14:paraId="30B2CD72" w14:textId="7D013FE0" w:rsidR="00461463" w:rsidRDefault="00A241FC" w:rsidP="003414BB">
            <w:r w:rsidRPr="00702CBA">
              <w:t>•</w:t>
            </w:r>
            <w:r>
              <w:t xml:space="preserve"> </w:t>
            </w:r>
            <w:r w:rsidR="005A3E50">
              <w:t>A</w:t>
            </w:r>
            <w:r w:rsidR="00EB2B55" w:rsidRPr="00672DBE">
              <w:t>djusted odds of prescription were greater for women: 1.12 (1.01, 1.23)</w:t>
            </w:r>
            <w:r w:rsidR="00461463">
              <w:t>.</w:t>
            </w:r>
            <w:r w:rsidR="00EB2B55" w:rsidRPr="00672DBE">
              <w:t xml:space="preserve">  </w:t>
            </w:r>
          </w:p>
          <w:p w14:paraId="35CF3CE3" w14:textId="323B0335" w:rsidR="00461463" w:rsidRPr="00672DBE" w:rsidRDefault="00A241FC" w:rsidP="00A60E99">
            <w:r w:rsidRPr="00702CBA">
              <w:t>•</w:t>
            </w:r>
            <w:r>
              <w:t xml:space="preserve"> </w:t>
            </w:r>
            <w:r w:rsidR="00461463">
              <w:t>H</w:t>
            </w:r>
            <w:r w:rsidR="00EB2B55" w:rsidRPr="00672DBE">
              <w:t xml:space="preserve">igh risk women aged 35-54 had 37% lower odds of being appropriately treated </w:t>
            </w:r>
            <w:r w:rsidR="00461463">
              <w:t>than</w:t>
            </w:r>
            <w:r w:rsidR="00EB2B55" w:rsidRPr="00672DBE">
              <w:t xml:space="preserve"> men of same age: 0.63 (0.52, 0.77). </w:t>
            </w:r>
          </w:p>
        </w:tc>
      </w:tr>
      <w:tr w:rsidR="00954954" w:rsidRPr="00672DBE" w14:paraId="61CE1A7A" w14:textId="77777777" w:rsidTr="00F34379">
        <w:trPr>
          <w:cantSplit/>
        </w:trPr>
        <w:tc>
          <w:tcPr>
            <w:tcW w:w="1271" w:type="dxa"/>
            <w:hideMark/>
          </w:tcPr>
          <w:p w14:paraId="1ABA6D81" w14:textId="5A816A7F" w:rsidR="00EB2B55" w:rsidRDefault="00EB2B55" w:rsidP="003414BB">
            <w:r w:rsidRPr="00672DBE">
              <w:lastRenderedPageBreak/>
              <w:t>Jarallah &amp; Baxter, 2019, Australia</w:t>
            </w:r>
          </w:p>
          <w:p w14:paraId="708021C0" w14:textId="6B8039E5" w:rsidR="00F82931" w:rsidRPr="00672DBE" w:rsidRDefault="00F82931" w:rsidP="003414BB"/>
        </w:tc>
        <w:tc>
          <w:tcPr>
            <w:tcW w:w="2552" w:type="dxa"/>
            <w:hideMark/>
          </w:tcPr>
          <w:p w14:paraId="686AF8ED" w14:textId="4A72C09F" w:rsidR="003E31FE" w:rsidRDefault="00EB2B55" w:rsidP="003414BB">
            <w:r w:rsidRPr="00672DBE">
              <w:t xml:space="preserve">To assess relationship between gender </w:t>
            </w:r>
            <w:r w:rsidR="008B3ACD">
              <w:t>&amp;</w:t>
            </w:r>
            <w:r w:rsidR="008B3ACD" w:rsidRPr="00672DBE">
              <w:t xml:space="preserve"> </w:t>
            </w:r>
            <w:r w:rsidRPr="00672DBE">
              <w:t xml:space="preserve">psychological distress </w:t>
            </w:r>
            <w:r w:rsidR="008B3ACD">
              <w:t>in</w:t>
            </w:r>
            <w:r w:rsidR="008B3ACD" w:rsidRPr="00672DBE">
              <w:t xml:space="preserve"> </w:t>
            </w:r>
            <w:r w:rsidRPr="00672DBE">
              <w:t>humanitarian migrants in Australia</w:t>
            </w:r>
            <w:r w:rsidR="008B3ACD">
              <w:t>,</w:t>
            </w:r>
            <w:r w:rsidRPr="00672DBE">
              <w:t xml:space="preserve"> including potential moderating role of migration pathway</w:t>
            </w:r>
            <w:r w:rsidR="003E31FE">
              <w:t>.</w:t>
            </w:r>
          </w:p>
          <w:p w14:paraId="7E9BB743" w14:textId="2F547B8A" w:rsidR="00EB2B55" w:rsidRPr="00672DBE" w:rsidRDefault="00EB2B55" w:rsidP="003414BB">
            <w:r w:rsidRPr="00672DBE">
              <w:t xml:space="preserve">Secondary analysis, data from first wave of Building a New Life in Australia (BNLA). </w:t>
            </w:r>
          </w:p>
        </w:tc>
        <w:tc>
          <w:tcPr>
            <w:tcW w:w="2673" w:type="dxa"/>
            <w:hideMark/>
          </w:tcPr>
          <w:p w14:paraId="36D27090" w14:textId="4A1354BC" w:rsidR="00EB2B55" w:rsidRPr="00672DBE" w:rsidRDefault="00EB2B55" w:rsidP="003414BB">
            <w:r w:rsidRPr="00672DBE">
              <w:t>2,399 migrants (F:</w:t>
            </w:r>
            <w:r w:rsidR="00666531">
              <w:t xml:space="preserve"> </w:t>
            </w:r>
            <w:r w:rsidRPr="00672DBE">
              <w:t>1103, M:</w:t>
            </w:r>
            <w:r w:rsidR="00666531">
              <w:t xml:space="preserve"> </w:t>
            </w:r>
            <w:r w:rsidRPr="00672DBE">
              <w:t>1296</w:t>
            </w:r>
            <w:r w:rsidR="003D614D" w:rsidRPr="00672DBE">
              <w:t>)</w:t>
            </w:r>
            <w:r w:rsidRPr="00672DBE">
              <w:t xml:space="preserve"> who arrived in Australia or were granted permanent protection visa</w:t>
            </w:r>
            <w:r w:rsidR="003D614D" w:rsidRPr="00672DBE">
              <w:t>s</w:t>
            </w:r>
            <w:r w:rsidRPr="00672DBE">
              <w:t xml:space="preserve"> May</w:t>
            </w:r>
            <w:r w:rsidR="003D614D" w:rsidRPr="00672DBE">
              <w:t>-</w:t>
            </w:r>
            <w:r w:rsidRPr="00672DBE">
              <w:t>Dec 2013 from 35 countries</w:t>
            </w:r>
            <w:r w:rsidR="00666531">
              <w:t>; most</w:t>
            </w:r>
            <w:r w:rsidRPr="00672DBE">
              <w:t xml:space="preserve"> from Iraq, Afghanistan</w:t>
            </w:r>
            <w:r w:rsidR="003D614D" w:rsidRPr="00672DBE">
              <w:t>,</w:t>
            </w:r>
            <w:r w:rsidRPr="00672DBE">
              <w:t xml:space="preserve"> Iran</w:t>
            </w:r>
            <w:r w:rsidR="003D614D" w:rsidRPr="00672DBE">
              <w:t>. A</w:t>
            </w:r>
            <w:r w:rsidRPr="00672DBE">
              <w:t>bout 50 languages.</w:t>
            </w:r>
          </w:p>
        </w:tc>
        <w:tc>
          <w:tcPr>
            <w:tcW w:w="1579" w:type="dxa"/>
            <w:hideMark/>
          </w:tcPr>
          <w:p w14:paraId="42351B74" w14:textId="0F0C1825" w:rsidR="00EB2B55" w:rsidRPr="00672DBE" w:rsidRDefault="00EB2B55" w:rsidP="003414BB">
            <w:r w:rsidRPr="00A75AD4">
              <w:t>No definition</w:t>
            </w:r>
            <w:r w:rsidR="00B44B6C" w:rsidRPr="00A75AD4">
              <w:t>, but reference to socio-cultural matters associated with gender.</w:t>
            </w:r>
            <w:r w:rsidRPr="00A75AD4">
              <w:t xml:space="preserve"> </w:t>
            </w:r>
            <w:r w:rsidR="00B44B6C" w:rsidRPr="00A75AD4">
              <w:t>“Gender” also</w:t>
            </w:r>
            <w:r w:rsidR="00B44B6C">
              <w:t xml:space="preserve"> used for sex, </w:t>
            </w:r>
            <w:r w:rsidRPr="00672DBE">
              <w:t xml:space="preserve">treated as binary. </w:t>
            </w:r>
          </w:p>
        </w:tc>
        <w:tc>
          <w:tcPr>
            <w:tcW w:w="2552" w:type="dxa"/>
            <w:hideMark/>
          </w:tcPr>
          <w:p w14:paraId="0620824F" w14:textId="30D2E1C0" w:rsidR="003D614D" w:rsidRPr="00672DBE" w:rsidRDefault="00EB2B55" w:rsidP="003414BB">
            <w:r w:rsidRPr="00672DBE">
              <w:t>Psychological distress (K-6</w:t>
            </w:r>
            <w:r w:rsidR="003D614D" w:rsidRPr="00672DBE">
              <w:t xml:space="preserve">). </w:t>
            </w:r>
          </w:p>
          <w:p w14:paraId="0A6B1480" w14:textId="5466C857" w:rsidR="00EB2B55" w:rsidRPr="00672DBE" w:rsidRDefault="00EB2B55" w:rsidP="003414BB">
            <w:r w:rsidRPr="00672DBE">
              <w:t>Migration pathway.</w:t>
            </w:r>
          </w:p>
        </w:tc>
        <w:tc>
          <w:tcPr>
            <w:tcW w:w="4761" w:type="dxa"/>
            <w:hideMark/>
          </w:tcPr>
          <w:p w14:paraId="48FE206E" w14:textId="4FA25FDB" w:rsidR="00EB2B55" w:rsidRPr="00672DBE" w:rsidRDefault="00EB2B55" w:rsidP="003414BB">
            <w:r w:rsidRPr="00672DBE">
              <w:t>• Refugee/asylum seeker women are more likely than men to have psychological distress (p&lt;0.01</w:t>
            </w:r>
            <w:r w:rsidR="005E1C80" w:rsidRPr="00672DBE">
              <w:t>)</w:t>
            </w:r>
            <w:r w:rsidR="005E1C80">
              <w:t>.</w:t>
            </w:r>
          </w:p>
          <w:p w14:paraId="582F0310" w14:textId="23443F42" w:rsidR="00EB2B55" w:rsidRPr="00672DBE" w:rsidRDefault="00EB2B55" w:rsidP="003414BB">
            <w:r w:rsidRPr="00672DBE">
              <w:t xml:space="preserve">• Being an asylum seeker is associated with higher psychological distress than </w:t>
            </w:r>
            <w:r w:rsidR="00666531">
              <w:t xml:space="preserve">being </w:t>
            </w:r>
            <w:r w:rsidRPr="00672DBE">
              <w:t>a refugee</w:t>
            </w:r>
            <w:r w:rsidR="005E1C80">
              <w:t>.</w:t>
            </w:r>
          </w:p>
          <w:p w14:paraId="1E955442" w14:textId="36E65137" w:rsidR="00EB2B55" w:rsidRPr="00672DBE" w:rsidRDefault="00EB2B55" w:rsidP="003414BB">
            <w:r w:rsidRPr="00672DBE">
              <w:t xml:space="preserve">• </w:t>
            </w:r>
            <w:r w:rsidR="00666531">
              <w:t>S</w:t>
            </w:r>
            <w:r w:rsidRPr="00672DBE">
              <w:t>ignificant association between pre-migration trauma, settlement arrangements (finance, housing, getting used to life in Australia</w:t>
            </w:r>
            <w:r w:rsidR="00666531">
              <w:t>,</w:t>
            </w:r>
            <w:r w:rsidRPr="00672DBE">
              <w:t xml:space="preserve"> loneliness) </w:t>
            </w:r>
            <w:r w:rsidR="00666531">
              <w:t>&amp;</w:t>
            </w:r>
            <w:r w:rsidR="00666531" w:rsidRPr="00672DBE">
              <w:t xml:space="preserve"> </w:t>
            </w:r>
            <w:r w:rsidRPr="00672DBE">
              <w:t xml:space="preserve">psychological distress. </w:t>
            </w:r>
          </w:p>
        </w:tc>
      </w:tr>
      <w:tr w:rsidR="00954954" w:rsidRPr="00672DBE" w14:paraId="0AB5A364" w14:textId="77777777" w:rsidTr="007551E6">
        <w:trPr>
          <w:cantSplit/>
        </w:trPr>
        <w:tc>
          <w:tcPr>
            <w:tcW w:w="1271" w:type="dxa"/>
          </w:tcPr>
          <w:p w14:paraId="59861D13" w14:textId="109B2CF0" w:rsidR="0064487A" w:rsidRPr="00672DBE" w:rsidRDefault="00EB2B55" w:rsidP="00DD4DC6">
            <w:r w:rsidRPr="00672DBE">
              <w:t>Kim et al.</w:t>
            </w:r>
            <w:r w:rsidR="00DD4DC6">
              <w:t>,</w:t>
            </w:r>
            <w:r w:rsidRPr="00672DBE">
              <w:t xml:space="preserve"> 2023</w:t>
            </w:r>
            <w:r w:rsidR="00DD4DC6">
              <w:t xml:space="preserve">, </w:t>
            </w:r>
            <w:r w:rsidR="0064487A">
              <w:t>Australia &amp; New Zealand</w:t>
            </w:r>
          </w:p>
          <w:p w14:paraId="70E55E5F" w14:textId="77777777" w:rsidR="00EB2B55" w:rsidRPr="00672DBE" w:rsidRDefault="00EB2B55" w:rsidP="003414BB"/>
        </w:tc>
        <w:tc>
          <w:tcPr>
            <w:tcW w:w="2552" w:type="dxa"/>
          </w:tcPr>
          <w:p w14:paraId="2B3A84B9" w14:textId="6A6B9A19" w:rsidR="001C0F3B" w:rsidRPr="007C0D5C" w:rsidRDefault="00EB2B55" w:rsidP="007C0D5C">
            <w:pPr>
              <w:pStyle w:val="NormalWeb"/>
              <w:spacing w:before="0" w:beforeAutospacing="0" w:after="0" w:afterAutospacing="0"/>
              <w:rPr>
                <w:rFonts w:asciiTheme="minorHAnsi" w:hAnsiTheme="minorHAnsi" w:cstheme="minorHAnsi"/>
                <w:sz w:val="22"/>
                <w:szCs w:val="22"/>
              </w:rPr>
            </w:pPr>
            <w:r w:rsidRPr="007C0D5C">
              <w:rPr>
                <w:rFonts w:asciiTheme="minorHAnsi" w:hAnsiTheme="minorHAnsi" w:cstheme="minorHAnsi"/>
                <w:sz w:val="22"/>
                <w:szCs w:val="22"/>
              </w:rPr>
              <w:t>To define proportion of female to male donors for living donor kidney transplantation stratified by recipient gender</w:t>
            </w:r>
            <w:r w:rsidR="00C509BD" w:rsidRPr="007C0D5C">
              <w:rPr>
                <w:rFonts w:asciiTheme="minorHAnsi" w:hAnsiTheme="minorHAnsi" w:cstheme="minorHAnsi"/>
                <w:sz w:val="22"/>
                <w:szCs w:val="22"/>
              </w:rPr>
              <w:t xml:space="preserve">; </w:t>
            </w:r>
            <w:r w:rsidRPr="007C0D5C">
              <w:rPr>
                <w:rFonts w:asciiTheme="minorHAnsi" w:hAnsiTheme="minorHAnsi" w:cstheme="minorHAnsi"/>
                <w:sz w:val="22"/>
                <w:szCs w:val="22"/>
              </w:rPr>
              <w:t>factors associated with female kidney donation</w:t>
            </w:r>
            <w:r w:rsidR="008E3413" w:rsidRPr="007C0D5C">
              <w:rPr>
                <w:rFonts w:asciiTheme="minorHAnsi" w:hAnsiTheme="minorHAnsi" w:cstheme="minorHAnsi"/>
                <w:sz w:val="22"/>
                <w:szCs w:val="22"/>
              </w:rPr>
              <w:t xml:space="preserve">. </w:t>
            </w:r>
            <w:r w:rsidRPr="007C0D5C">
              <w:rPr>
                <w:rFonts w:asciiTheme="minorHAnsi" w:hAnsiTheme="minorHAnsi" w:cstheme="minorHAnsi"/>
                <w:sz w:val="22"/>
                <w:szCs w:val="22"/>
              </w:rPr>
              <w:t>Secondary analysis</w:t>
            </w:r>
            <w:r w:rsidR="00C509BD" w:rsidRPr="007C0D5C">
              <w:rPr>
                <w:rFonts w:asciiTheme="minorHAnsi" w:hAnsiTheme="minorHAnsi" w:cstheme="minorHAnsi"/>
                <w:sz w:val="22"/>
                <w:szCs w:val="22"/>
              </w:rPr>
              <w:t xml:space="preserve"> of</w:t>
            </w:r>
            <w:r w:rsidRPr="007C0D5C">
              <w:rPr>
                <w:rFonts w:asciiTheme="minorHAnsi" w:hAnsiTheme="minorHAnsi" w:cstheme="minorHAnsi"/>
                <w:sz w:val="22"/>
                <w:szCs w:val="22"/>
              </w:rPr>
              <w:t xml:space="preserve"> </w:t>
            </w:r>
            <w:r w:rsidR="001C0F3B" w:rsidRPr="007C0D5C">
              <w:rPr>
                <w:rFonts w:asciiTheme="minorHAnsi" w:hAnsiTheme="minorHAnsi" w:cstheme="minorHAnsi"/>
                <w:sz w:val="22"/>
                <w:szCs w:val="22"/>
              </w:rPr>
              <w:t xml:space="preserve">Australian </w:t>
            </w:r>
            <w:r w:rsidR="001C0F3B">
              <w:rPr>
                <w:rFonts w:asciiTheme="minorHAnsi" w:hAnsiTheme="minorHAnsi" w:cstheme="minorHAnsi"/>
                <w:sz w:val="22"/>
                <w:szCs w:val="22"/>
              </w:rPr>
              <w:t>&amp;</w:t>
            </w:r>
            <w:r w:rsidR="001C0F3B" w:rsidRPr="007C0D5C">
              <w:rPr>
                <w:rFonts w:asciiTheme="minorHAnsi" w:hAnsiTheme="minorHAnsi" w:cstheme="minorHAnsi"/>
                <w:sz w:val="22"/>
                <w:szCs w:val="22"/>
              </w:rPr>
              <w:t xml:space="preserve"> New Zealand Dialysis </w:t>
            </w:r>
            <w:r w:rsidR="001C0F3B">
              <w:rPr>
                <w:rFonts w:asciiTheme="minorHAnsi" w:hAnsiTheme="minorHAnsi" w:cstheme="minorHAnsi"/>
                <w:sz w:val="22"/>
                <w:szCs w:val="22"/>
              </w:rPr>
              <w:t>&amp;</w:t>
            </w:r>
            <w:r w:rsidR="001C0F3B" w:rsidRPr="007C0D5C">
              <w:rPr>
                <w:rFonts w:asciiTheme="minorHAnsi" w:hAnsiTheme="minorHAnsi" w:cstheme="minorHAnsi"/>
                <w:sz w:val="22"/>
                <w:szCs w:val="22"/>
              </w:rPr>
              <w:t xml:space="preserve"> Transplantation </w:t>
            </w:r>
          </w:p>
          <w:p w14:paraId="2A62523B" w14:textId="3D03A60C" w:rsidR="00EB2B55" w:rsidRPr="00672DBE" w:rsidRDefault="001C0F3B" w:rsidP="007C0D5C">
            <w:pPr>
              <w:pStyle w:val="NormalWeb"/>
              <w:spacing w:before="0" w:beforeAutospacing="0" w:after="0" w:afterAutospacing="0"/>
            </w:pPr>
            <w:r w:rsidRPr="007C0D5C">
              <w:rPr>
                <w:rFonts w:asciiTheme="minorHAnsi" w:hAnsiTheme="minorHAnsi" w:cstheme="minorHAnsi"/>
                <w:sz w:val="22"/>
                <w:szCs w:val="22"/>
              </w:rPr>
              <w:t>(</w:t>
            </w:r>
            <w:r w:rsidR="00EB2B55" w:rsidRPr="007C0D5C">
              <w:rPr>
                <w:rFonts w:asciiTheme="minorHAnsi" w:hAnsiTheme="minorHAnsi" w:cstheme="minorHAnsi"/>
                <w:sz w:val="22"/>
                <w:szCs w:val="22"/>
              </w:rPr>
              <w:t>ANZDATA</w:t>
            </w:r>
            <w:r w:rsidRPr="007C0D5C">
              <w:rPr>
                <w:rFonts w:asciiTheme="minorHAnsi" w:hAnsiTheme="minorHAnsi" w:cstheme="minorHAnsi"/>
                <w:sz w:val="22"/>
                <w:szCs w:val="22"/>
              </w:rPr>
              <w:t>)</w:t>
            </w:r>
            <w:r w:rsidR="00EB2B55" w:rsidRPr="007C0D5C">
              <w:rPr>
                <w:rFonts w:asciiTheme="minorHAnsi" w:hAnsiTheme="minorHAnsi" w:cstheme="minorHAnsi"/>
                <w:sz w:val="22"/>
                <w:szCs w:val="22"/>
              </w:rPr>
              <w:t xml:space="preserve"> </w:t>
            </w:r>
            <w:r w:rsidR="00C509BD" w:rsidRPr="007C0D5C">
              <w:rPr>
                <w:rFonts w:asciiTheme="minorHAnsi" w:hAnsiTheme="minorHAnsi" w:cstheme="minorHAnsi"/>
                <w:sz w:val="22"/>
                <w:szCs w:val="22"/>
              </w:rPr>
              <w:t xml:space="preserve">&amp; </w:t>
            </w:r>
            <w:r w:rsidRPr="007C0D5C">
              <w:rPr>
                <w:rFonts w:asciiTheme="minorHAnsi" w:hAnsiTheme="minorHAnsi" w:cstheme="minorHAnsi" w:hint="eastAsia"/>
                <w:sz w:val="22"/>
                <w:szCs w:val="22"/>
              </w:rPr>
              <w:t xml:space="preserve">Australian </w:t>
            </w:r>
            <w:r>
              <w:rPr>
                <w:rFonts w:asciiTheme="minorHAnsi" w:hAnsiTheme="minorHAnsi" w:cstheme="minorHAnsi"/>
                <w:sz w:val="22"/>
                <w:szCs w:val="22"/>
              </w:rPr>
              <w:t>&amp;</w:t>
            </w:r>
            <w:r w:rsidRPr="007C0D5C">
              <w:rPr>
                <w:rFonts w:asciiTheme="minorHAnsi" w:hAnsiTheme="minorHAnsi" w:cstheme="minorHAnsi" w:hint="eastAsia"/>
                <w:sz w:val="22"/>
                <w:szCs w:val="22"/>
              </w:rPr>
              <w:t xml:space="preserve"> New Zealand Organ Donor</w:t>
            </w:r>
            <w:r w:rsidRPr="007C0D5C">
              <w:rPr>
                <w:rFonts w:asciiTheme="minorHAnsi" w:hAnsiTheme="minorHAnsi" w:cstheme="minorHAnsi"/>
                <w:sz w:val="22"/>
                <w:szCs w:val="22"/>
              </w:rPr>
              <w:t xml:space="preserve"> (</w:t>
            </w:r>
            <w:r w:rsidR="00EB2B55" w:rsidRPr="007C0D5C">
              <w:rPr>
                <w:rFonts w:asciiTheme="minorHAnsi" w:hAnsiTheme="minorHAnsi" w:cstheme="minorHAnsi"/>
                <w:sz w:val="22"/>
                <w:szCs w:val="22"/>
              </w:rPr>
              <w:t>ANZOD</w:t>
            </w:r>
            <w:r w:rsidRPr="007C0D5C">
              <w:rPr>
                <w:rFonts w:asciiTheme="minorHAnsi" w:hAnsiTheme="minorHAnsi" w:cstheme="minorHAnsi"/>
                <w:sz w:val="22"/>
                <w:szCs w:val="22"/>
              </w:rPr>
              <w:t>) registries.</w:t>
            </w:r>
          </w:p>
        </w:tc>
        <w:tc>
          <w:tcPr>
            <w:tcW w:w="2673" w:type="dxa"/>
          </w:tcPr>
          <w:p w14:paraId="34FE097C" w14:textId="5943ECED" w:rsidR="00EB2B55" w:rsidRPr="00672DBE" w:rsidRDefault="00EB2B55" w:rsidP="00C509BD">
            <w:r w:rsidRPr="00672DBE">
              <w:t>3523 donor-recipient pairs</w:t>
            </w:r>
            <w:r w:rsidR="00C509BD">
              <w:t>.</w:t>
            </w:r>
            <w:r w:rsidR="00C509BD" w:rsidRPr="00672DBE">
              <w:t xml:space="preserve"> </w:t>
            </w:r>
            <w:r w:rsidR="001C0F3B" w:rsidRPr="00672DBE">
              <w:t>2012 (57%) donors female</w:t>
            </w:r>
            <w:r w:rsidR="001C0F3B">
              <w:t>,</w:t>
            </w:r>
            <w:r w:rsidR="001C0F3B" w:rsidRPr="00672DBE" w:rsidDel="00C509BD">
              <w:t xml:space="preserve"> </w:t>
            </w:r>
            <w:r w:rsidRPr="00672DBE">
              <w:t>2203 (63%) recipients male.</w:t>
            </w:r>
          </w:p>
        </w:tc>
        <w:tc>
          <w:tcPr>
            <w:tcW w:w="1579" w:type="dxa"/>
          </w:tcPr>
          <w:p w14:paraId="10BE9E76" w14:textId="6CB45577" w:rsidR="00EB2B55" w:rsidRPr="00672DBE" w:rsidRDefault="00C509BD" w:rsidP="003414BB">
            <w:r>
              <w:t>C</w:t>
            </w:r>
            <w:r w:rsidR="00EB2B55" w:rsidRPr="00672DBE">
              <w:t xml:space="preserve">lear </w:t>
            </w:r>
            <w:r w:rsidRPr="00672DBE">
              <w:t>defin</w:t>
            </w:r>
            <w:r>
              <w:t>itions</w:t>
            </w:r>
            <w:r w:rsidRPr="00672DBE">
              <w:t xml:space="preserve"> </w:t>
            </w:r>
            <w:r>
              <w:t>of</w:t>
            </w:r>
            <w:r w:rsidRPr="00672DBE">
              <w:t xml:space="preserve"> </w:t>
            </w:r>
            <w:r w:rsidR="00EB2B55" w:rsidRPr="00672DBE">
              <w:t xml:space="preserve">sex (biological) </w:t>
            </w:r>
            <w:r>
              <w:t>&amp;</w:t>
            </w:r>
            <w:r w:rsidRPr="00672DBE">
              <w:t xml:space="preserve"> </w:t>
            </w:r>
            <w:r w:rsidR="00EB2B55" w:rsidRPr="00672DBE">
              <w:t>gender (social construct</w:t>
            </w:r>
            <w:r>
              <w:t>ion)</w:t>
            </w:r>
            <w:r w:rsidR="00EB2B55" w:rsidRPr="00672DBE">
              <w:t xml:space="preserve">. </w:t>
            </w:r>
          </w:p>
          <w:p w14:paraId="7BD1C21F" w14:textId="5B23EDDA" w:rsidR="00EB2B55" w:rsidRPr="00672DBE" w:rsidRDefault="00C509BD" w:rsidP="003414BB">
            <w:r>
              <w:t xml:space="preserve">BUT: </w:t>
            </w:r>
            <w:r w:rsidR="00EB2B55" w:rsidRPr="00672DBE">
              <w:t>“</w:t>
            </w:r>
            <w:r>
              <w:t>G</w:t>
            </w:r>
            <w:r w:rsidRPr="00672DBE">
              <w:t>ender</w:t>
            </w:r>
            <w:r w:rsidR="00EB2B55" w:rsidRPr="00672DBE">
              <w:t>”</w:t>
            </w:r>
            <w:r>
              <w:t xml:space="preserve"> used</w:t>
            </w:r>
            <w:r w:rsidR="00EB2B55" w:rsidRPr="00672DBE">
              <w:t xml:space="preserve"> </w:t>
            </w:r>
            <w:r>
              <w:t>for</w:t>
            </w:r>
            <w:r w:rsidRPr="00672DBE">
              <w:t xml:space="preserve"> </w:t>
            </w:r>
            <w:r w:rsidR="00EB2B55" w:rsidRPr="00672DBE">
              <w:t xml:space="preserve">sex </w:t>
            </w:r>
            <w:r>
              <w:t>in</w:t>
            </w:r>
            <w:r w:rsidR="00EB2B55" w:rsidRPr="00672DBE">
              <w:t xml:space="preserve"> data collection form after 2016.</w:t>
            </w:r>
          </w:p>
        </w:tc>
        <w:tc>
          <w:tcPr>
            <w:tcW w:w="2552" w:type="dxa"/>
          </w:tcPr>
          <w:p w14:paraId="39111460" w14:textId="7BAF7BEE" w:rsidR="00EB2B55" w:rsidRPr="00672DBE" w:rsidRDefault="00EB2B55" w:rsidP="003414BB">
            <w:r w:rsidRPr="00672DBE">
              <w:t xml:space="preserve">Probability of receiving kidney from </w:t>
            </w:r>
            <w:r w:rsidR="00E66F64">
              <w:t>woman</w:t>
            </w:r>
            <w:r w:rsidR="00E66F64" w:rsidRPr="00672DBE">
              <w:t xml:space="preserve"> </w:t>
            </w:r>
            <w:r w:rsidRPr="00672DBE">
              <w:t>(</w:t>
            </w:r>
            <w:r w:rsidR="00E66F64">
              <w:t>not</w:t>
            </w:r>
            <w:r w:rsidRPr="00672DBE">
              <w:t xml:space="preserve"> </w:t>
            </w:r>
            <w:r w:rsidR="00E66F64" w:rsidRPr="00672DBE">
              <w:t>ma</w:t>
            </w:r>
            <w:r w:rsidR="00E66F64">
              <w:t>n</w:t>
            </w:r>
            <w:r w:rsidRPr="00672DBE">
              <w:t>)</w:t>
            </w:r>
            <w:r w:rsidR="001C0F3B">
              <w:t>.</w:t>
            </w:r>
          </w:p>
        </w:tc>
        <w:tc>
          <w:tcPr>
            <w:tcW w:w="4761" w:type="dxa"/>
          </w:tcPr>
          <w:p w14:paraId="5497C45C" w14:textId="785641C2" w:rsidR="00EB2B55" w:rsidRPr="00672DBE" w:rsidRDefault="00EB2B55" w:rsidP="003414BB">
            <w:r w:rsidRPr="00672DBE">
              <w:t xml:space="preserve">• In Australia, male recipients more likely to receive kidneys from female </w:t>
            </w:r>
            <w:r w:rsidR="00101E7C">
              <w:t xml:space="preserve">than male </w:t>
            </w:r>
            <w:r w:rsidRPr="00672DBE">
              <w:t>donors</w:t>
            </w:r>
            <w:r w:rsidR="00101E7C">
              <w:t>.</w:t>
            </w:r>
          </w:p>
          <w:p w14:paraId="3F0DF706" w14:textId="6037A347" w:rsidR="00101E7C" w:rsidRDefault="00EB2B55" w:rsidP="003414BB">
            <w:r w:rsidRPr="00672DBE">
              <w:t>• Of 3523 Australian living donor pairs, 2203 (63%) recipients male, 2012 (57%) donors female</w:t>
            </w:r>
            <w:r w:rsidR="007937F1">
              <w:t>.</w:t>
            </w:r>
            <w:r w:rsidRPr="00672DBE">
              <w:t xml:space="preserve">  </w:t>
            </w:r>
          </w:p>
          <w:p w14:paraId="5D54DCCE" w14:textId="2F67937A" w:rsidR="00EB2B55" w:rsidRPr="00672DBE" w:rsidRDefault="00EB2B55" w:rsidP="003414BB">
            <w:r w:rsidRPr="00672DBE">
              <w:t xml:space="preserve">• Female donation </w:t>
            </w:r>
            <w:r w:rsidR="007937F1">
              <w:t>associated with</w:t>
            </w:r>
            <w:r w:rsidRPr="00672DBE">
              <w:t xml:space="preserve"> recipient sex</w:t>
            </w:r>
            <w:r w:rsidR="007937F1">
              <w:t>;</w:t>
            </w:r>
            <w:r w:rsidRPr="00672DBE">
              <w:t xml:space="preserve"> spousal donors</w:t>
            </w:r>
            <w:r w:rsidR="007937F1">
              <w:t xml:space="preserve"> (wife to husband)</w:t>
            </w:r>
            <w:r w:rsidRPr="00672DBE">
              <w:t xml:space="preserve"> </w:t>
            </w:r>
            <w:r w:rsidR="007937F1" w:rsidRPr="00672DBE">
              <w:t>contribut</w:t>
            </w:r>
            <w:r w:rsidR="007937F1">
              <w:t>ed</w:t>
            </w:r>
            <w:r w:rsidR="007937F1" w:rsidRPr="00672DBE">
              <w:t xml:space="preserve"> </w:t>
            </w:r>
            <w:r w:rsidRPr="00672DBE">
              <w:t>to gender</w:t>
            </w:r>
            <w:r w:rsidR="007937F1">
              <w:t>ed</w:t>
            </w:r>
            <w:r w:rsidRPr="00672DBE">
              <w:t xml:space="preserve"> donor-recipient relationship</w:t>
            </w:r>
            <w:r w:rsidR="007937F1">
              <w:t>.</w:t>
            </w:r>
          </w:p>
          <w:p w14:paraId="1BA7AD72" w14:textId="5B3BB165" w:rsidR="00EB2B55" w:rsidRPr="00672DBE" w:rsidRDefault="00EB2B55" w:rsidP="003414BB">
            <w:r w:rsidRPr="00672DBE">
              <w:t xml:space="preserve">• Older recipients in regional or remote areas were more likely to receive kidneys from female donors </w:t>
            </w:r>
            <w:r w:rsidR="00D83898">
              <w:t>than</w:t>
            </w:r>
            <w:r w:rsidRPr="00672DBE">
              <w:t xml:space="preserve"> those from major cities (&gt;60 years: 0.67 [0.63; 0.71] vs. &lt;60 years: 0.57 [0.53; 0.60]).</w:t>
            </w:r>
          </w:p>
        </w:tc>
      </w:tr>
      <w:tr w:rsidR="00954954" w:rsidRPr="00C9329B" w14:paraId="7ECA2BAD" w14:textId="77777777" w:rsidTr="007551E6">
        <w:trPr>
          <w:cantSplit/>
        </w:trPr>
        <w:tc>
          <w:tcPr>
            <w:tcW w:w="1271" w:type="dxa"/>
            <w:hideMark/>
          </w:tcPr>
          <w:p w14:paraId="1C930410" w14:textId="34EBDF04" w:rsidR="00C9329B" w:rsidRDefault="00EB2B55" w:rsidP="003414BB">
            <w:r w:rsidRPr="00672DBE">
              <w:lastRenderedPageBreak/>
              <w:t>Ladhani et al. 2020</w:t>
            </w:r>
          </w:p>
          <w:p w14:paraId="272BBD9C" w14:textId="77777777" w:rsidR="00C9329B" w:rsidRDefault="00C9329B" w:rsidP="003414BB"/>
          <w:p w14:paraId="7549F6E9" w14:textId="6AB22E0A" w:rsidR="00EB2B55" w:rsidRPr="00672DBE" w:rsidRDefault="00EB2B55" w:rsidP="003414BB">
            <w:r w:rsidRPr="00672DBE">
              <w:t>Australia</w:t>
            </w:r>
          </w:p>
        </w:tc>
        <w:tc>
          <w:tcPr>
            <w:tcW w:w="2552" w:type="dxa"/>
            <w:hideMark/>
          </w:tcPr>
          <w:p w14:paraId="2510C45C" w14:textId="22676F45" w:rsidR="006A73AE" w:rsidRDefault="00EB2B55" w:rsidP="003414BB">
            <w:r w:rsidRPr="007C0D5C">
              <w:t xml:space="preserve">To determine association between obesity </w:t>
            </w:r>
            <w:r w:rsidR="006A73AE">
              <w:t>&amp;</w:t>
            </w:r>
            <w:r w:rsidR="006A73AE" w:rsidRPr="007C0D5C">
              <w:t xml:space="preserve"> </w:t>
            </w:r>
            <w:r w:rsidRPr="007C0D5C">
              <w:t>access to deceased donor transplantation</w:t>
            </w:r>
            <w:r w:rsidR="006A73AE">
              <w:t>, &amp;</w:t>
            </w:r>
            <w:r w:rsidRPr="007C0D5C">
              <w:t xml:space="preserve"> any association </w:t>
            </w:r>
            <w:r w:rsidR="006A73AE">
              <w:t>with being female/male</w:t>
            </w:r>
            <w:r w:rsidR="008A5B50" w:rsidRPr="007C0D5C">
              <w:t xml:space="preserve">. </w:t>
            </w:r>
            <w:r w:rsidRPr="007C0D5C">
              <w:t xml:space="preserve"> </w:t>
            </w:r>
          </w:p>
          <w:p w14:paraId="21693441" w14:textId="77777777" w:rsidR="006F0018" w:rsidRPr="00702CBA" w:rsidRDefault="006F0018" w:rsidP="006F0018">
            <w:pPr>
              <w:pStyle w:val="NormalWeb"/>
              <w:spacing w:before="0" w:beforeAutospacing="0" w:after="0" w:afterAutospacing="0"/>
              <w:rPr>
                <w:rFonts w:asciiTheme="minorHAnsi" w:hAnsiTheme="minorHAnsi" w:cstheme="minorHAnsi"/>
                <w:sz w:val="22"/>
                <w:szCs w:val="22"/>
              </w:rPr>
            </w:pPr>
            <w:r w:rsidRPr="00702CBA">
              <w:rPr>
                <w:rFonts w:asciiTheme="minorHAnsi" w:hAnsiTheme="minorHAnsi" w:cstheme="minorHAnsi"/>
                <w:sz w:val="22"/>
                <w:szCs w:val="22"/>
              </w:rPr>
              <w:t xml:space="preserve">Secondary analysis of Australian </w:t>
            </w:r>
            <w:r>
              <w:rPr>
                <w:rFonts w:asciiTheme="minorHAnsi" w:hAnsiTheme="minorHAnsi" w:cstheme="minorHAnsi"/>
                <w:sz w:val="22"/>
                <w:szCs w:val="22"/>
              </w:rPr>
              <w:t>&amp;</w:t>
            </w:r>
            <w:r w:rsidRPr="00702CBA">
              <w:rPr>
                <w:rFonts w:asciiTheme="minorHAnsi" w:hAnsiTheme="minorHAnsi" w:cstheme="minorHAnsi"/>
                <w:sz w:val="22"/>
                <w:szCs w:val="22"/>
              </w:rPr>
              <w:t xml:space="preserve"> New Zealand Dialysis </w:t>
            </w:r>
            <w:r>
              <w:rPr>
                <w:rFonts w:asciiTheme="minorHAnsi" w:hAnsiTheme="minorHAnsi" w:cstheme="minorHAnsi"/>
                <w:sz w:val="22"/>
                <w:szCs w:val="22"/>
              </w:rPr>
              <w:t>&amp;</w:t>
            </w:r>
            <w:r w:rsidRPr="00702CBA">
              <w:rPr>
                <w:rFonts w:asciiTheme="minorHAnsi" w:hAnsiTheme="minorHAnsi" w:cstheme="minorHAnsi"/>
                <w:sz w:val="22"/>
                <w:szCs w:val="22"/>
              </w:rPr>
              <w:t xml:space="preserve"> Transplantation </w:t>
            </w:r>
          </w:p>
          <w:p w14:paraId="319242B4" w14:textId="13CE5980" w:rsidR="00EB2B55" w:rsidRPr="007C0D5C" w:rsidRDefault="006F0018" w:rsidP="006F0018">
            <w:r w:rsidRPr="00702CBA">
              <w:rPr>
                <w:rFonts w:cstheme="minorHAnsi"/>
              </w:rPr>
              <w:t xml:space="preserve">(ANZDATA) </w:t>
            </w:r>
            <w:r w:rsidR="00EB2B55" w:rsidRPr="007C0D5C">
              <w:t>Registry</w:t>
            </w:r>
            <w:r w:rsidR="006A73AE">
              <w:t xml:space="preserve">, </w:t>
            </w:r>
            <w:r w:rsidR="00EB2B55" w:rsidRPr="007C0D5C">
              <w:t>National Organ Matching System)</w:t>
            </w:r>
            <w:r w:rsidR="008A5B50" w:rsidRPr="007C0D5C">
              <w:t>.</w:t>
            </w:r>
            <w:r w:rsidR="00EB2B55" w:rsidRPr="007C0D5C">
              <w:t xml:space="preserve"> </w:t>
            </w:r>
          </w:p>
        </w:tc>
        <w:tc>
          <w:tcPr>
            <w:tcW w:w="2673" w:type="dxa"/>
            <w:hideMark/>
          </w:tcPr>
          <w:p w14:paraId="5315C92F" w14:textId="108B2635" w:rsidR="00EB2B55" w:rsidRPr="00C9329B" w:rsidRDefault="00EB2B55" w:rsidP="003414BB">
            <w:r w:rsidRPr="00C9329B">
              <w:t xml:space="preserve">11,633 </w:t>
            </w:r>
            <w:r w:rsidR="00DC7FEB">
              <w:t xml:space="preserve">Australian </w:t>
            </w:r>
            <w:r w:rsidRPr="00C9329B">
              <w:t xml:space="preserve">patients </w:t>
            </w:r>
            <w:r w:rsidR="00DC7FEB">
              <w:t xml:space="preserve">aged 18+. </w:t>
            </w:r>
            <w:r w:rsidRPr="00C9329B">
              <w:t>(Women: 4,636, Men:</w:t>
            </w:r>
            <w:r w:rsidR="008A5B50" w:rsidRPr="00C9329B">
              <w:t xml:space="preserve"> </w:t>
            </w:r>
            <w:r w:rsidRPr="00C9329B">
              <w:t>6,997</w:t>
            </w:r>
            <w:r w:rsidR="008A5B50" w:rsidRPr="00C9329B">
              <w:t xml:space="preserve">. </w:t>
            </w:r>
            <w:r w:rsidR="00DC7FEB">
              <w:t>C</w:t>
            </w:r>
            <w:r w:rsidRPr="00C9329B">
              <w:t xml:space="preserve">ommenced renal replacement therapy, with peritoneal dialysis or </w:t>
            </w:r>
            <w:r w:rsidR="008A5B50" w:rsidRPr="00C9329B">
              <w:t>haemodialysis</w:t>
            </w:r>
            <w:r w:rsidRPr="00C9329B">
              <w:t xml:space="preserve">, 1 January 2007 </w:t>
            </w:r>
            <w:r w:rsidR="00DC7FEB">
              <w:t>-</w:t>
            </w:r>
            <w:r w:rsidR="00DC7FEB" w:rsidRPr="00C9329B">
              <w:t xml:space="preserve"> </w:t>
            </w:r>
            <w:r w:rsidRPr="00C9329B">
              <w:t>31 December 2014</w:t>
            </w:r>
          </w:p>
        </w:tc>
        <w:tc>
          <w:tcPr>
            <w:tcW w:w="1579" w:type="dxa"/>
            <w:hideMark/>
          </w:tcPr>
          <w:p w14:paraId="05D3E918" w14:textId="12DF522A" w:rsidR="00EB2B55" w:rsidRPr="00C9329B" w:rsidRDefault="00EB2B55" w:rsidP="003414BB">
            <w:r w:rsidRPr="00C9329B">
              <w:t xml:space="preserve">No definition of sex/gender. </w:t>
            </w:r>
            <w:r w:rsidR="00D4530C">
              <w:t xml:space="preserve">Terms used interchangeably for sex. </w:t>
            </w:r>
            <w:r w:rsidRPr="00C9329B">
              <w:t xml:space="preserve">Participants treated as binary sex. </w:t>
            </w:r>
          </w:p>
        </w:tc>
        <w:tc>
          <w:tcPr>
            <w:tcW w:w="2552" w:type="dxa"/>
            <w:hideMark/>
          </w:tcPr>
          <w:p w14:paraId="2DA1E91B" w14:textId="7AB17DB6" w:rsidR="00EB2B55" w:rsidRPr="00C9329B" w:rsidRDefault="00EB2B55" w:rsidP="006443DE">
            <w:r w:rsidRPr="00C9329B">
              <w:t xml:space="preserve">Association between obesity </w:t>
            </w:r>
            <w:r w:rsidR="00CF3BD7">
              <w:t>&amp;</w:t>
            </w:r>
            <w:r w:rsidR="00CF3BD7" w:rsidRPr="00C9329B">
              <w:t xml:space="preserve"> </w:t>
            </w:r>
            <w:r w:rsidRPr="00C9329B">
              <w:t>access to deceased donor transplantation</w:t>
            </w:r>
            <w:r w:rsidR="00CF3BD7">
              <w:t xml:space="preserve">: </w:t>
            </w:r>
            <w:r w:rsidRPr="00C9329B">
              <w:t xml:space="preserve">difference between women </w:t>
            </w:r>
            <w:r w:rsidR="00CF3BD7">
              <w:t>&amp;</w:t>
            </w:r>
            <w:r w:rsidR="00CF3BD7" w:rsidRPr="00C9329B">
              <w:t xml:space="preserve"> </w:t>
            </w:r>
            <w:r w:rsidRPr="00C9329B">
              <w:t>men</w:t>
            </w:r>
            <w:r w:rsidR="00744642">
              <w:t xml:space="preserve">. </w:t>
            </w:r>
            <w:r w:rsidRPr="00C9329B">
              <w:t xml:space="preserve">Likelihood of first activation on deceased donor transplant waiting </w:t>
            </w:r>
            <w:proofErr w:type="gramStart"/>
            <w:r w:rsidRPr="00C9329B">
              <w:t xml:space="preserve">list </w:t>
            </w:r>
            <w:r w:rsidR="00CF3BD7">
              <w:t>&amp;</w:t>
            </w:r>
            <w:r w:rsidR="00CF3BD7" w:rsidRPr="00C9329B">
              <w:t xml:space="preserve"> </w:t>
            </w:r>
            <w:r w:rsidRPr="00C9329B">
              <w:t>receiving</w:t>
            </w:r>
            <w:proofErr w:type="gramEnd"/>
            <w:r w:rsidRPr="00C9329B">
              <w:t xml:space="preserve"> a first deceased donor </w:t>
            </w:r>
            <w:r w:rsidR="006443DE">
              <w:t>organ</w:t>
            </w:r>
            <w:r w:rsidRPr="00C9329B">
              <w:t xml:space="preserve"> after listing</w:t>
            </w:r>
            <w:r w:rsidR="00744642">
              <w:t>.</w:t>
            </w:r>
            <w:r w:rsidR="006443DE">
              <w:t xml:space="preserve"> </w:t>
            </w:r>
            <w:r w:rsidRPr="00C9329B">
              <w:t xml:space="preserve">BMI </w:t>
            </w:r>
          </w:p>
        </w:tc>
        <w:tc>
          <w:tcPr>
            <w:tcW w:w="4761" w:type="dxa"/>
            <w:hideMark/>
          </w:tcPr>
          <w:p w14:paraId="7BE8C5B0" w14:textId="68B88B13" w:rsidR="00712EB7" w:rsidRPr="00127DF8" w:rsidRDefault="00712EB7" w:rsidP="00127DF8">
            <w:pPr>
              <w:pStyle w:val="NormalWeb"/>
              <w:shd w:val="clear" w:color="auto" w:fill="FFFFFF"/>
              <w:spacing w:before="0" w:beforeAutospacing="0" w:after="0" w:afterAutospacing="0"/>
              <w:rPr>
                <w:rFonts w:asciiTheme="minorHAnsi" w:hAnsiTheme="minorHAnsi" w:cstheme="minorHAnsi"/>
                <w:sz w:val="22"/>
                <w:szCs w:val="22"/>
              </w:rPr>
            </w:pPr>
            <w:r w:rsidRPr="00127DF8">
              <w:rPr>
                <w:rFonts w:asciiTheme="minorHAnsi" w:hAnsiTheme="minorHAnsi" w:cstheme="minorHAnsi"/>
                <w:sz w:val="22"/>
                <w:szCs w:val="22"/>
              </w:rPr>
              <w:t xml:space="preserve">• Obesity reduces likelihood of being listed for deceased donor transplantation, especially for women, but not transplantation once listed. </w:t>
            </w:r>
          </w:p>
          <w:p w14:paraId="6BD99D44" w14:textId="76D85782" w:rsidR="00EB2B55" w:rsidRPr="00127DF8" w:rsidRDefault="00EB2B55" w:rsidP="00127DF8">
            <w:pPr>
              <w:rPr>
                <w:rFonts w:cstheme="minorHAnsi"/>
              </w:rPr>
            </w:pPr>
            <w:r w:rsidRPr="00127DF8">
              <w:rPr>
                <w:rFonts w:cstheme="minorHAnsi"/>
              </w:rPr>
              <w:t>• Women who were obese were 34% less likely to be listed than no</w:t>
            </w:r>
            <w:r w:rsidR="009B5DF1">
              <w:rPr>
                <w:rFonts w:cstheme="minorHAnsi"/>
              </w:rPr>
              <w:t>n-obese</w:t>
            </w:r>
            <w:r w:rsidRPr="00127DF8">
              <w:rPr>
                <w:rFonts w:cstheme="minorHAnsi"/>
              </w:rPr>
              <w:t xml:space="preserve"> women [</w:t>
            </w:r>
            <w:proofErr w:type="spellStart"/>
            <w:r w:rsidRPr="00127DF8">
              <w:rPr>
                <w:rFonts w:cstheme="minorHAnsi"/>
              </w:rPr>
              <w:t>aHR</w:t>
            </w:r>
            <w:proofErr w:type="spellEnd"/>
            <w:r w:rsidRPr="00127DF8">
              <w:rPr>
                <w:rFonts w:cstheme="minorHAnsi"/>
              </w:rPr>
              <w:t xml:space="preserve"> 0.66 (95% CI 0.58–0.76)]</w:t>
            </w:r>
            <w:r w:rsidR="0044260D" w:rsidRPr="00127DF8">
              <w:rPr>
                <w:rFonts w:cstheme="minorHAnsi"/>
              </w:rPr>
              <w:t xml:space="preserve">; </w:t>
            </w:r>
            <w:r w:rsidRPr="00127DF8">
              <w:rPr>
                <w:rFonts w:cstheme="minorHAnsi"/>
              </w:rPr>
              <w:t>obese men 14% less likely</w:t>
            </w:r>
            <w:r w:rsidR="0044260D" w:rsidRPr="00127DF8">
              <w:rPr>
                <w:rFonts w:cstheme="minorHAnsi"/>
              </w:rPr>
              <w:t xml:space="preserve"> than </w:t>
            </w:r>
            <w:r w:rsidR="009B5DF1">
              <w:rPr>
                <w:rFonts w:cstheme="minorHAnsi"/>
              </w:rPr>
              <w:t>non-obese</w:t>
            </w:r>
            <w:r w:rsidR="0044260D" w:rsidRPr="00127DF8">
              <w:rPr>
                <w:rFonts w:cstheme="minorHAnsi"/>
              </w:rPr>
              <w:t xml:space="preserve"> men</w:t>
            </w:r>
            <w:r w:rsidRPr="00127DF8">
              <w:rPr>
                <w:rFonts w:cstheme="minorHAnsi"/>
              </w:rPr>
              <w:t xml:space="preserve"> [</w:t>
            </w:r>
            <w:proofErr w:type="spellStart"/>
            <w:r w:rsidRPr="00127DF8">
              <w:rPr>
                <w:rFonts w:cstheme="minorHAnsi"/>
              </w:rPr>
              <w:t>aHR</w:t>
            </w:r>
            <w:proofErr w:type="spellEnd"/>
            <w:r w:rsidRPr="00127DF8">
              <w:rPr>
                <w:rFonts w:cstheme="minorHAnsi"/>
              </w:rPr>
              <w:t xml:space="preserve"> 0.86 (95% CI 0.77–0.97)]. </w:t>
            </w:r>
          </w:p>
          <w:p w14:paraId="21A62AF1" w14:textId="2412C314" w:rsidR="00127DF8" w:rsidRPr="007551E6" w:rsidRDefault="00127DF8" w:rsidP="007551E6">
            <w:pPr>
              <w:pStyle w:val="NormalWeb"/>
              <w:spacing w:before="0" w:beforeAutospacing="0" w:after="0" w:afterAutospacing="0"/>
              <w:rPr>
                <w:rFonts w:asciiTheme="minorHAnsi" w:hAnsiTheme="minorHAnsi" w:cstheme="minorHAnsi"/>
                <w:sz w:val="22"/>
                <w:szCs w:val="22"/>
              </w:rPr>
            </w:pPr>
            <w:r w:rsidRPr="00127DF8">
              <w:rPr>
                <w:rFonts w:asciiTheme="minorHAnsi" w:hAnsiTheme="minorHAnsi" w:cstheme="minorHAnsi"/>
                <w:sz w:val="22"/>
                <w:szCs w:val="22"/>
              </w:rPr>
              <w:t xml:space="preserve">• Authors suggest differences between women &amp; men could arise from systemic barriers of gender &amp; power, e.g., women’s status as primary caregivers, &amp; less power in male-dominated medical decision making. </w:t>
            </w:r>
            <w:r w:rsidR="009B5DF1">
              <w:rPr>
                <w:rFonts w:asciiTheme="minorHAnsi" w:hAnsiTheme="minorHAnsi" w:cstheme="minorHAnsi"/>
                <w:sz w:val="22"/>
                <w:szCs w:val="22"/>
              </w:rPr>
              <w:t>Possible</w:t>
            </w:r>
            <w:r w:rsidRPr="00127DF8">
              <w:rPr>
                <w:rFonts w:asciiTheme="minorHAnsi" w:hAnsiTheme="minorHAnsi" w:cstheme="minorHAnsi"/>
                <w:sz w:val="22"/>
                <w:szCs w:val="22"/>
              </w:rPr>
              <w:t xml:space="preserve"> immunological considerations. </w:t>
            </w:r>
          </w:p>
        </w:tc>
      </w:tr>
      <w:tr w:rsidR="00954954" w:rsidRPr="00672DBE" w14:paraId="432100AC" w14:textId="77777777" w:rsidTr="007551E6">
        <w:trPr>
          <w:cantSplit/>
        </w:trPr>
        <w:tc>
          <w:tcPr>
            <w:tcW w:w="1271" w:type="dxa"/>
            <w:hideMark/>
          </w:tcPr>
          <w:p w14:paraId="2CFA7AAB" w14:textId="67E12791" w:rsidR="00EB2B55" w:rsidRPr="00672DBE" w:rsidRDefault="00EB2B55" w:rsidP="003414BB">
            <w:r w:rsidRPr="00672DBE">
              <w:t>Lee et al.</w:t>
            </w:r>
            <w:r w:rsidR="00DD4DC6">
              <w:t>,</w:t>
            </w:r>
            <w:r w:rsidRPr="00672DBE">
              <w:t xml:space="preserve"> 2019, Australia</w:t>
            </w:r>
          </w:p>
        </w:tc>
        <w:tc>
          <w:tcPr>
            <w:tcW w:w="2552" w:type="dxa"/>
            <w:hideMark/>
          </w:tcPr>
          <w:p w14:paraId="11A6F9A1" w14:textId="2D54CF4B" w:rsidR="008A5C2F" w:rsidRPr="00595A62" w:rsidRDefault="00EB2B55" w:rsidP="004D76B1">
            <w:pPr>
              <w:rPr>
                <w:rFonts w:cstheme="minorHAnsi"/>
              </w:rPr>
            </w:pPr>
            <w:r w:rsidRPr="00295724">
              <w:rPr>
                <w:rFonts w:cstheme="minorHAnsi"/>
              </w:rPr>
              <w:t xml:space="preserve">To determine </w:t>
            </w:r>
            <w:r w:rsidRPr="0017388B">
              <w:rPr>
                <w:rFonts w:cstheme="minorHAnsi"/>
              </w:rPr>
              <w:t xml:space="preserve">sex differences in </w:t>
            </w:r>
            <w:r w:rsidRPr="00595A62">
              <w:rPr>
                <w:rFonts w:cstheme="minorHAnsi"/>
              </w:rPr>
              <w:t>management of patients with history of coronary heart disease (CHD) in primary care</w:t>
            </w:r>
            <w:r w:rsidR="008A5C2F" w:rsidRPr="00595A62">
              <w:rPr>
                <w:rFonts w:cstheme="minorHAnsi"/>
              </w:rPr>
              <w:t>.</w:t>
            </w:r>
          </w:p>
          <w:p w14:paraId="2040BE7A" w14:textId="3526D409" w:rsidR="00EB2B55" w:rsidRPr="00295724" w:rsidRDefault="00EB2B55" w:rsidP="00595A62">
            <w:pPr>
              <w:pStyle w:val="NormalWeb"/>
              <w:spacing w:before="0" w:beforeAutospacing="0" w:after="0" w:afterAutospacing="0"/>
              <w:rPr>
                <w:rFonts w:cstheme="minorHAnsi"/>
              </w:rPr>
            </w:pPr>
            <w:r w:rsidRPr="00595A62">
              <w:rPr>
                <w:rFonts w:asciiTheme="minorHAnsi" w:hAnsiTheme="minorHAnsi" w:cstheme="minorHAnsi"/>
                <w:sz w:val="22"/>
                <w:szCs w:val="22"/>
              </w:rPr>
              <w:t xml:space="preserve">Secondary analysis </w:t>
            </w:r>
            <w:r w:rsidR="004D76B1" w:rsidRPr="00595A62">
              <w:rPr>
                <w:rFonts w:asciiTheme="minorHAnsi" w:hAnsiTheme="minorHAnsi" w:cstheme="minorHAnsi"/>
                <w:sz w:val="22"/>
                <w:szCs w:val="22"/>
              </w:rPr>
              <w:t>of</w:t>
            </w:r>
            <w:r w:rsidR="004D76B1">
              <w:rPr>
                <w:rFonts w:asciiTheme="minorHAnsi" w:hAnsiTheme="minorHAnsi" w:cstheme="minorHAnsi"/>
                <w:sz w:val="22"/>
                <w:szCs w:val="22"/>
              </w:rPr>
              <w:t xml:space="preserve"> </w:t>
            </w:r>
            <w:r w:rsidR="004D76B1" w:rsidRPr="00595A62">
              <w:rPr>
                <w:rFonts w:asciiTheme="minorHAnsi" w:hAnsiTheme="minorHAnsi" w:cstheme="minorHAnsi" w:hint="eastAsia"/>
                <w:sz w:val="22"/>
                <w:szCs w:val="22"/>
              </w:rPr>
              <w:t xml:space="preserve">large </w:t>
            </w:r>
            <w:r w:rsidR="004D76B1">
              <w:rPr>
                <w:rFonts w:asciiTheme="minorHAnsi" w:hAnsiTheme="minorHAnsi" w:cstheme="minorHAnsi"/>
                <w:sz w:val="22"/>
                <w:szCs w:val="22"/>
              </w:rPr>
              <w:t xml:space="preserve">Australian </w:t>
            </w:r>
            <w:r w:rsidR="004D76B1" w:rsidRPr="00595A62">
              <w:rPr>
                <w:rFonts w:asciiTheme="minorHAnsi" w:hAnsiTheme="minorHAnsi" w:cstheme="minorHAnsi" w:hint="eastAsia"/>
                <w:sz w:val="22"/>
                <w:szCs w:val="22"/>
              </w:rPr>
              <w:t xml:space="preserve">general practice dataset, </w:t>
            </w:r>
            <w:proofErr w:type="spellStart"/>
            <w:r w:rsidR="004D76B1" w:rsidRPr="00595A62">
              <w:rPr>
                <w:rFonts w:asciiTheme="minorHAnsi" w:hAnsiTheme="minorHAnsi" w:cstheme="minorHAnsi" w:hint="eastAsia"/>
                <w:sz w:val="22"/>
                <w:szCs w:val="22"/>
              </w:rPr>
              <w:t>Medicine</w:t>
            </w:r>
            <w:r w:rsidR="004D76B1">
              <w:rPr>
                <w:rFonts w:asciiTheme="minorHAnsi" w:hAnsiTheme="minorHAnsi" w:cstheme="minorHAnsi"/>
                <w:sz w:val="22"/>
                <w:szCs w:val="22"/>
              </w:rPr>
              <w:t>I</w:t>
            </w:r>
            <w:r w:rsidR="004D76B1" w:rsidRPr="00595A62">
              <w:rPr>
                <w:rFonts w:asciiTheme="minorHAnsi" w:hAnsiTheme="minorHAnsi" w:cstheme="minorHAnsi" w:hint="eastAsia"/>
                <w:sz w:val="22"/>
                <w:szCs w:val="22"/>
              </w:rPr>
              <w:t>nsight</w:t>
            </w:r>
            <w:proofErr w:type="spellEnd"/>
            <w:r w:rsidR="004D76B1">
              <w:rPr>
                <w:rFonts w:asciiTheme="minorHAnsi" w:hAnsiTheme="minorHAnsi" w:cstheme="minorHAnsi"/>
                <w:sz w:val="22"/>
                <w:szCs w:val="22"/>
              </w:rPr>
              <w:t>.</w:t>
            </w:r>
          </w:p>
        </w:tc>
        <w:tc>
          <w:tcPr>
            <w:tcW w:w="2673" w:type="dxa"/>
            <w:hideMark/>
          </w:tcPr>
          <w:p w14:paraId="7050DAB3" w14:textId="4491D838" w:rsidR="00EB2B55" w:rsidRDefault="00EB2B55" w:rsidP="008A5C2F">
            <w:r w:rsidRPr="00672DBE">
              <w:t>130,926 patients (47%</w:t>
            </w:r>
            <w:r w:rsidR="008A5C2F">
              <w:t xml:space="preserve"> female</w:t>
            </w:r>
            <w:r w:rsidRPr="00672DBE">
              <w:t>)</w:t>
            </w:r>
            <w:r w:rsidR="008A5C2F">
              <w:t xml:space="preserve">, </w:t>
            </w:r>
            <w:r w:rsidRPr="00672DBE">
              <w:t>aged ≥18 years at baseline</w:t>
            </w:r>
            <w:r w:rsidR="008A5C2F">
              <w:t>,</w:t>
            </w:r>
            <w:r w:rsidRPr="00672DBE">
              <w:t xml:space="preserve"> history of CHD</w:t>
            </w:r>
            <w:r w:rsidR="008A5C2F">
              <w:t>.</w:t>
            </w:r>
          </w:p>
          <w:p w14:paraId="6880F25C" w14:textId="3609DF0C" w:rsidR="008A5C2F" w:rsidRPr="00672DBE" w:rsidRDefault="008A5C2F" w:rsidP="003414BB">
            <w:r w:rsidRPr="00672DBE">
              <w:t>GP practice</w:t>
            </w:r>
            <w:r>
              <w:t>.</w:t>
            </w:r>
          </w:p>
          <w:p w14:paraId="68E302FB" w14:textId="77777777" w:rsidR="00EB2B55" w:rsidRPr="00672DBE" w:rsidRDefault="00EB2B55" w:rsidP="003414BB"/>
        </w:tc>
        <w:tc>
          <w:tcPr>
            <w:tcW w:w="1579" w:type="dxa"/>
            <w:hideMark/>
          </w:tcPr>
          <w:p w14:paraId="67F63E0F" w14:textId="41EED249" w:rsidR="00EB2B55" w:rsidRPr="00672DBE" w:rsidRDefault="00EB2B55" w:rsidP="003414BB">
            <w:r w:rsidRPr="00672DBE">
              <w:t xml:space="preserve">No definition of sex/gender. Participants treated as </w:t>
            </w:r>
            <w:r w:rsidRPr="00A75AD4">
              <w:t xml:space="preserve">binary sex. </w:t>
            </w:r>
            <w:r w:rsidR="00EE2336" w:rsidRPr="00A75AD4">
              <w:t xml:space="preserve"> “Sex” used consistently &amp; correctly.</w:t>
            </w:r>
          </w:p>
        </w:tc>
        <w:tc>
          <w:tcPr>
            <w:tcW w:w="2552" w:type="dxa"/>
            <w:hideMark/>
          </w:tcPr>
          <w:p w14:paraId="25302A00" w14:textId="3D5CD6EA" w:rsidR="008A5C2F" w:rsidRDefault="00EB2B55" w:rsidP="003414BB">
            <w:r w:rsidRPr="00672DBE">
              <w:t>Management (medication, treatment, risk factor monitoring) of patients with history of CHD)</w:t>
            </w:r>
            <w:r w:rsidR="008A5C2F">
              <w:t>.</w:t>
            </w:r>
          </w:p>
          <w:p w14:paraId="6CB7AE59" w14:textId="66A3ACB0" w:rsidR="00EB2B55" w:rsidRPr="00672DBE" w:rsidRDefault="00EB2B55" w:rsidP="003414BB"/>
        </w:tc>
        <w:tc>
          <w:tcPr>
            <w:tcW w:w="4761" w:type="dxa"/>
            <w:hideMark/>
          </w:tcPr>
          <w:p w14:paraId="5DA8718F" w14:textId="76AF2505" w:rsidR="00EB2B55" w:rsidRPr="00672DBE" w:rsidRDefault="00EB2B55" w:rsidP="003414BB">
            <w:r w:rsidRPr="00672DBE">
              <w:t xml:space="preserve">•Women with CVD are </w:t>
            </w:r>
            <w:r w:rsidR="008A5C2F">
              <w:t>less well</w:t>
            </w:r>
            <w:r w:rsidR="008A5C2F" w:rsidRPr="00672DBE">
              <w:t xml:space="preserve"> </w:t>
            </w:r>
            <w:r w:rsidRPr="00672DBE">
              <w:t xml:space="preserve">assessed </w:t>
            </w:r>
            <w:r w:rsidR="008A5C2F">
              <w:t>&amp;</w:t>
            </w:r>
            <w:r w:rsidR="008A5C2F" w:rsidRPr="00672DBE">
              <w:t xml:space="preserve"> </w:t>
            </w:r>
            <w:r w:rsidRPr="00672DBE">
              <w:t>prescribed than men</w:t>
            </w:r>
            <w:r w:rsidR="008A5C2F">
              <w:t>.</w:t>
            </w:r>
          </w:p>
          <w:p w14:paraId="29302B7B" w14:textId="21B1C9E2" w:rsidR="00933577" w:rsidRDefault="00EB2B55" w:rsidP="003414BB">
            <w:r w:rsidRPr="00672DBE">
              <w:t xml:space="preserve">• </w:t>
            </w:r>
            <w:r w:rsidR="00933577">
              <w:t>R</w:t>
            </w:r>
            <w:r w:rsidRPr="00672DBE">
              <w:t>ecommended prescri</w:t>
            </w:r>
            <w:r w:rsidR="00933577">
              <w:t>bing</w:t>
            </w:r>
            <w:r w:rsidR="00EE2336">
              <w:t xml:space="preserve"> of</w:t>
            </w:r>
            <w:r w:rsidR="00933577">
              <w:t xml:space="preserve"> </w:t>
            </w:r>
            <w:r w:rsidRPr="00672DBE">
              <w:t>&gt;=3 medications: women 44%, men 61%; p&lt;0.001</w:t>
            </w:r>
            <w:r w:rsidR="00EE2336" w:rsidRPr="00672DBE">
              <w:t>)</w:t>
            </w:r>
            <w:r w:rsidR="00EE2336">
              <w:t>.</w:t>
            </w:r>
            <w:r w:rsidR="00EE2336" w:rsidRPr="00672DBE">
              <w:t xml:space="preserve"> </w:t>
            </w:r>
          </w:p>
          <w:p w14:paraId="1FA49DEE" w14:textId="3C9AB61F" w:rsidR="00933577" w:rsidRDefault="00EB2B55" w:rsidP="003414BB">
            <w:r w:rsidRPr="00672DBE">
              <w:t>• Younger patients, especially women aged &lt;45 years, substantially under</w:t>
            </w:r>
            <w:r w:rsidR="00610399" w:rsidRPr="00672DBE">
              <w:t>-</w:t>
            </w:r>
            <w:r w:rsidRPr="00672DBE">
              <w:t>prescribed (aged &lt;45 years prescribed &gt;=3 medications: women 2%, men 8%; p&lt;0.001)</w:t>
            </w:r>
            <w:r w:rsidR="00933577">
              <w:t>.</w:t>
            </w:r>
          </w:p>
          <w:p w14:paraId="0951253B" w14:textId="22982F0C" w:rsidR="00933577" w:rsidRDefault="00EB2B55" w:rsidP="003414BB">
            <w:r w:rsidRPr="00672DBE">
              <w:t>• Women less likely to be assessed for cardiovascular risk factors (blood test for lipids: women 70%-76%, men 77%-81%; p&lt;0.001)</w:t>
            </w:r>
            <w:r w:rsidR="00933577">
              <w:t>.</w:t>
            </w:r>
          </w:p>
          <w:p w14:paraId="22196413" w14:textId="066D8DB2" w:rsidR="00EB2B55" w:rsidRPr="00672DBE" w:rsidRDefault="00EB2B55" w:rsidP="003414BB">
            <w:r w:rsidRPr="00672DBE">
              <w:t xml:space="preserve">• Higher proportion of women achieved targets for risk factors </w:t>
            </w:r>
            <w:proofErr w:type="gramStart"/>
            <w:r w:rsidRPr="00672DBE">
              <w:t>( &gt;</w:t>
            </w:r>
            <w:proofErr w:type="gramEnd"/>
            <w:r w:rsidRPr="00672DBE">
              <w:t>=4 targets in patients assessed for all risk factors: women 82%, men 76%).</w:t>
            </w:r>
          </w:p>
        </w:tc>
      </w:tr>
      <w:tr w:rsidR="00F34379" w:rsidRPr="00672DBE" w14:paraId="016B1D87" w14:textId="77777777" w:rsidTr="007551E6">
        <w:trPr>
          <w:cantSplit/>
        </w:trPr>
        <w:tc>
          <w:tcPr>
            <w:tcW w:w="1271" w:type="dxa"/>
          </w:tcPr>
          <w:p w14:paraId="6ED3306D" w14:textId="7FFF7ABE" w:rsidR="00F34379" w:rsidRPr="00F34379" w:rsidRDefault="00F34379" w:rsidP="00F34379">
            <w:r w:rsidRPr="00F34379">
              <w:lastRenderedPageBreak/>
              <w:t>McBride et al.</w:t>
            </w:r>
            <w:r>
              <w:t>,</w:t>
            </w:r>
            <w:r w:rsidRPr="00F34379">
              <w:t xml:space="preserve"> 2022, Australia</w:t>
            </w:r>
          </w:p>
        </w:tc>
        <w:tc>
          <w:tcPr>
            <w:tcW w:w="2552" w:type="dxa"/>
          </w:tcPr>
          <w:p w14:paraId="26505680" w14:textId="1FEDE75E" w:rsidR="00F34379" w:rsidRDefault="00F34379" w:rsidP="00F34379">
            <w:r w:rsidRPr="00F34379">
              <w:t>To examin</w:t>
            </w:r>
            <w:r>
              <w:t>e</w:t>
            </w:r>
            <w:r w:rsidRPr="00F34379">
              <w:t xml:space="preserve"> evidence on the provision of cardiovascular risk assessment and management for Aboriginal and Torres Strait Islander women, and the existence of gender differentials in receipt of guideline-recommended care.</w:t>
            </w:r>
          </w:p>
          <w:p w14:paraId="36F5B398" w14:textId="75A7233A" w:rsidR="00F34379" w:rsidRPr="00F34379" w:rsidRDefault="00F34379" w:rsidP="00F34379">
            <w:pPr>
              <w:rPr>
                <w:rFonts w:cstheme="minorHAnsi"/>
              </w:rPr>
            </w:pPr>
            <w:r>
              <w:t>Systematic review.</w:t>
            </w:r>
          </w:p>
        </w:tc>
        <w:tc>
          <w:tcPr>
            <w:tcW w:w="2673" w:type="dxa"/>
          </w:tcPr>
          <w:p w14:paraId="0AF79A93" w14:textId="69BA123E" w:rsidR="00F34379" w:rsidRPr="00F34379" w:rsidRDefault="00F34379" w:rsidP="00F34379">
            <w:r>
              <w:t>16</w:t>
            </w:r>
            <w:r w:rsidRPr="00F34379">
              <w:t xml:space="preserve"> included studies (</w:t>
            </w:r>
            <w:r>
              <w:t xml:space="preserve">via </w:t>
            </w:r>
            <w:r w:rsidRPr="00F34379">
              <w:t xml:space="preserve">PubMed, </w:t>
            </w:r>
            <w:proofErr w:type="spellStart"/>
            <w:r w:rsidRPr="00F34379">
              <w:t>Emcare</w:t>
            </w:r>
            <w:proofErr w:type="spellEnd"/>
            <w:r w:rsidRPr="00F34379">
              <w:t xml:space="preserve">, Embase, Scopus, </w:t>
            </w:r>
            <w:proofErr w:type="spellStart"/>
            <w:r w:rsidRPr="00F34379">
              <w:t>PsychInfo</w:t>
            </w:r>
            <w:proofErr w:type="spellEnd"/>
            <w:r w:rsidRPr="00F34379">
              <w:t xml:space="preserve">, ProQuest, </w:t>
            </w:r>
            <w:proofErr w:type="spellStart"/>
            <w:r w:rsidRPr="00F34379">
              <w:t>ATSIHealth</w:t>
            </w:r>
            <w:proofErr w:type="spellEnd"/>
            <w:r w:rsidRPr="00F34379">
              <w:t xml:space="preserve"> via </w:t>
            </w:r>
            <w:proofErr w:type="spellStart"/>
            <w:r w:rsidRPr="00F34379">
              <w:t>Informit</w:t>
            </w:r>
            <w:proofErr w:type="spellEnd"/>
            <w:r w:rsidRPr="00F34379">
              <w:t xml:space="preserve"> Online, Web of Science</w:t>
            </w:r>
            <w:r>
              <w:t>,</w:t>
            </w:r>
            <w:r w:rsidRPr="00F34379">
              <w:t xml:space="preserve"> Australian Indigenous Health Bulletin)</w:t>
            </w:r>
            <w:r>
              <w:t>.</w:t>
            </w:r>
          </w:p>
        </w:tc>
        <w:tc>
          <w:tcPr>
            <w:tcW w:w="1579" w:type="dxa"/>
          </w:tcPr>
          <w:p w14:paraId="284E8207" w14:textId="77777777" w:rsidR="00F34379" w:rsidRPr="00F34379" w:rsidRDefault="00F34379" w:rsidP="00F34379">
            <w:r w:rsidRPr="00F34379">
              <w:t xml:space="preserve">No definition of sex/gender. Participants treated as binary sex. </w:t>
            </w:r>
          </w:p>
          <w:p w14:paraId="66DF1D3C" w14:textId="77777777" w:rsidR="00F34379" w:rsidRPr="00F34379" w:rsidRDefault="00F34379" w:rsidP="00F34379">
            <w:r w:rsidRPr="00F34379">
              <w:t xml:space="preserve">Used “gender” for sex.  </w:t>
            </w:r>
          </w:p>
          <w:p w14:paraId="57F1B066" w14:textId="77777777" w:rsidR="00F34379" w:rsidRPr="00F34379" w:rsidRDefault="00F34379" w:rsidP="00F34379"/>
        </w:tc>
        <w:tc>
          <w:tcPr>
            <w:tcW w:w="2552" w:type="dxa"/>
          </w:tcPr>
          <w:p w14:paraId="187166B5" w14:textId="77777777" w:rsidR="00F34379" w:rsidRPr="00F34379" w:rsidRDefault="00F34379" w:rsidP="00F34379">
            <w:pPr>
              <w:rPr>
                <w:rFonts w:cstheme="minorHAnsi"/>
              </w:rPr>
            </w:pPr>
            <w:r w:rsidRPr="00F34379">
              <w:rPr>
                <w:rFonts w:cstheme="minorHAnsi"/>
              </w:rPr>
              <w:t xml:space="preserve">Cardiovascular risk assessment and management. </w:t>
            </w:r>
          </w:p>
          <w:p w14:paraId="517DF469" w14:textId="77777777" w:rsidR="00F34379" w:rsidRPr="00F34379" w:rsidRDefault="00F34379" w:rsidP="00F34379">
            <w:pPr>
              <w:rPr>
                <w:rFonts w:cstheme="minorHAnsi"/>
              </w:rPr>
            </w:pPr>
          </w:p>
          <w:p w14:paraId="6E091F54" w14:textId="77777777" w:rsidR="00F34379" w:rsidRPr="00F34379" w:rsidRDefault="00F34379" w:rsidP="00F34379"/>
        </w:tc>
        <w:tc>
          <w:tcPr>
            <w:tcW w:w="4761" w:type="dxa"/>
          </w:tcPr>
          <w:p w14:paraId="6A0E4551" w14:textId="06F841A7" w:rsidR="00F34379" w:rsidRPr="00F34379" w:rsidRDefault="00F34379" w:rsidP="00F34379">
            <w:pPr>
              <w:pStyle w:val="NormalWeb"/>
              <w:spacing w:before="0" w:beforeAutospacing="0" w:after="0" w:afterAutospacing="0"/>
              <w:rPr>
                <w:rFonts w:ascii="Calibri" w:hAnsi="Calibri" w:cs="Calibri"/>
                <w:sz w:val="22"/>
                <w:szCs w:val="22"/>
              </w:rPr>
            </w:pPr>
            <w:r w:rsidRPr="00F34379">
              <w:rPr>
                <w:rFonts w:ascii="Calibri" w:hAnsi="Calibri" w:cs="Calibri"/>
                <w:sz w:val="22"/>
                <w:szCs w:val="22"/>
              </w:rPr>
              <w:t xml:space="preserve">• </w:t>
            </w:r>
            <w:r>
              <w:rPr>
                <w:rFonts w:ascii="Calibri" w:hAnsi="Calibri" w:cs="Calibri"/>
                <w:sz w:val="22"/>
                <w:szCs w:val="22"/>
              </w:rPr>
              <w:t>N</w:t>
            </w:r>
            <w:r w:rsidRPr="00F34379">
              <w:rPr>
                <w:rFonts w:ascii="Calibri" w:hAnsi="Calibri" w:cs="Calibri"/>
                <w:sz w:val="22"/>
                <w:szCs w:val="22"/>
              </w:rPr>
              <w:t xml:space="preserve">o major variations by sex. </w:t>
            </w:r>
          </w:p>
          <w:p w14:paraId="6F03D765" w14:textId="07BD7615" w:rsidR="00F34379" w:rsidRPr="00F34379" w:rsidRDefault="00F34379" w:rsidP="00F34379">
            <w:pPr>
              <w:pStyle w:val="NormalWeb"/>
              <w:spacing w:before="0" w:beforeAutospacing="0" w:after="0" w:afterAutospacing="0"/>
              <w:rPr>
                <w:rFonts w:ascii="Calibri" w:hAnsi="Calibri" w:cs="Calibri"/>
                <w:sz w:val="22"/>
                <w:szCs w:val="22"/>
              </w:rPr>
            </w:pPr>
            <w:r w:rsidRPr="00F34379">
              <w:rPr>
                <w:rFonts w:ascii="Calibri" w:hAnsi="Calibri" w:cs="Calibri"/>
                <w:sz w:val="22"/>
                <w:szCs w:val="22"/>
              </w:rPr>
              <w:t xml:space="preserve">• </w:t>
            </w:r>
            <w:r>
              <w:rPr>
                <w:rFonts w:ascii="Calibri" w:hAnsi="Calibri" w:cs="Calibri"/>
                <w:sz w:val="22"/>
                <w:szCs w:val="22"/>
              </w:rPr>
              <w:t>M</w:t>
            </w:r>
            <w:r w:rsidRPr="00F34379">
              <w:rPr>
                <w:rFonts w:ascii="Calibri" w:hAnsi="Calibri" w:cs="Calibri"/>
                <w:sz w:val="22"/>
                <w:szCs w:val="22"/>
              </w:rPr>
              <w:t>ajor gaps in guideline-recommended preventive cardiovascular care for Aboriginal and Torres Strait Islander women and men.</w:t>
            </w:r>
          </w:p>
        </w:tc>
      </w:tr>
      <w:tr w:rsidR="00954954" w:rsidRPr="00672DBE" w14:paraId="5F5DBCF0" w14:textId="77777777" w:rsidTr="005A6797">
        <w:trPr>
          <w:trHeight w:val="2232"/>
        </w:trPr>
        <w:tc>
          <w:tcPr>
            <w:tcW w:w="1271" w:type="dxa"/>
            <w:hideMark/>
          </w:tcPr>
          <w:p w14:paraId="6423A32B" w14:textId="6862F806" w:rsidR="00EB2B55" w:rsidRPr="00672DBE" w:rsidRDefault="00EB2B55" w:rsidP="003414BB">
            <w:proofErr w:type="spellStart"/>
            <w:r w:rsidRPr="00672DBE">
              <w:t>Mnatzaganian</w:t>
            </w:r>
            <w:proofErr w:type="spellEnd"/>
            <w:r w:rsidRPr="00672DBE">
              <w:t xml:space="preserve"> et al.</w:t>
            </w:r>
            <w:r w:rsidR="00DD4DC6">
              <w:t>,</w:t>
            </w:r>
            <w:r w:rsidRPr="00672DBE">
              <w:t xml:space="preserve"> 2016, Australia</w:t>
            </w:r>
          </w:p>
        </w:tc>
        <w:tc>
          <w:tcPr>
            <w:tcW w:w="2552" w:type="dxa"/>
            <w:hideMark/>
          </w:tcPr>
          <w:p w14:paraId="3344C2C3" w14:textId="75DD942C" w:rsidR="006C3AC9" w:rsidRDefault="00EB2B55" w:rsidP="003414BB">
            <w:r w:rsidRPr="00672DBE">
              <w:t xml:space="preserve">To assess sex-specific age-adjusted risk of dying attributed to being admitted to </w:t>
            </w:r>
            <w:r w:rsidR="001F3F15">
              <w:t>coronary care unit (</w:t>
            </w:r>
            <w:r w:rsidRPr="00672DBE">
              <w:t>CCU</w:t>
            </w:r>
            <w:r w:rsidR="001F3F15">
              <w:t>)</w:t>
            </w:r>
            <w:r w:rsidRPr="00672DBE">
              <w:t xml:space="preserve">, </w:t>
            </w:r>
            <w:r w:rsidR="001F3F15">
              <w:t>intensive care unit (</w:t>
            </w:r>
            <w:r w:rsidRPr="00672DBE">
              <w:t>ICU</w:t>
            </w:r>
            <w:r w:rsidR="001F3F15">
              <w:t>),</w:t>
            </w:r>
            <w:r w:rsidRPr="00672DBE">
              <w:t xml:space="preserve"> or medical wards</w:t>
            </w:r>
            <w:r w:rsidR="006C3AC9">
              <w:t>.</w:t>
            </w:r>
          </w:p>
          <w:p w14:paraId="68473C93" w14:textId="62D4FF16" w:rsidR="00EB2B55" w:rsidRDefault="00617192" w:rsidP="003414BB">
            <w:r>
              <w:t>Secondary analysis of h</w:t>
            </w:r>
            <w:r w:rsidR="00C868B2">
              <w:t>ospital data</w:t>
            </w:r>
            <w:r>
              <w:t>base</w:t>
            </w:r>
            <w:r w:rsidR="00C868B2">
              <w:t>.</w:t>
            </w:r>
          </w:p>
          <w:p w14:paraId="46379CE9" w14:textId="2F774BC0" w:rsidR="00A73B2F" w:rsidRPr="00672DBE" w:rsidRDefault="00A73B2F" w:rsidP="003414BB">
            <w:r>
              <w:t xml:space="preserve">NB Study associated with </w:t>
            </w:r>
            <w:proofErr w:type="spellStart"/>
            <w:r w:rsidRPr="00672DBE">
              <w:t>Mnatzaganian</w:t>
            </w:r>
            <w:proofErr w:type="spellEnd"/>
            <w:r w:rsidRPr="00672DBE">
              <w:t xml:space="preserve"> et al. </w:t>
            </w:r>
            <w:r>
              <w:t>(</w:t>
            </w:r>
            <w:r w:rsidRPr="00672DBE">
              <w:t>2019</w:t>
            </w:r>
            <w:r>
              <w:t>)</w:t>
            </w:r>
            <w:r w:rsidR="00CF3A4F">
              <w:t>.</w:t>
            </w:r>
          </w:p>
        </w:tc>
        <w:tc>
          <w:tcPr>
            <w:tcW w:w="2673" w:type="dxa"/>
            <w:hideMark/>
          </w:tcPr>
          <w:p w14:paraId="457E5B87" w14:textId="3A1A8FA1" w:rsidR="00C868B2" w:rsidRDefault="00EB2B55" w:rsidP="00595A62">
            <w:r w:rsidRPr="00672DBE">
              <w:t>4,859 (1,566 women, 3293 men)</w:t>
            </w:r>
            <w:r w:rsidR="00C868B2">
              <w:t xml:space="preserve"> </w:t>
            </w:r>
            <w:r w:rsidRPr="00672DBE">
              <w:t xml:space="preserve">presenting to </w:t>
            </w:r>
            <w:r w:rsidR="00C868B2">
              <w:t>3</w:t>
            </w:r>
            <w:r w:rsidR="00C868B2" w:rsidRPr="00672DBE">
              <w:t xml:space="preserve"> </w:t>
            </w:r>
            <w:r w:rsidRPr="00672DBE">
              <w:t>emergency departments (ED) with acute myocardial infarction (AMI) at acute care Victorian teaching hospitals</w:t>
            </w:r>
            <w:r w:rsidR="00B52698">
              <w:t xml:space="preserve">, </w:t>
            </w:r>
            <w:r w:rsidR="00C868B2">
              <w:t>Dec 2008 – Feb 2014.</w:t>
            </w:r>
          </w:p>
          <w:p w14:paraId="25DD1CEE" w14:textId="1BB41B0F" w:rsidR="00C868B2" w:rsidRPr="00672DBE" w:rsidRDefault="00C868B2" w:rsidP="00C868B2"/>
        </w:tc>
        <w:tc>
          <w:tcPr>
            <w:tcW w:w="1579" w:type="dxa"/>
            <w:hideMark/>
          </w:tcPr>
          <w:p w14:paraId="5DE56160" w14:textId="77777777" w:rsidR="0078212D" w:rsidRDefault="00EB2B55" w:rsidP="003414BB">
            <w:r w:rsidRPr="00672DBE">
              <w:t xml:space="preserve">No definition of sex/gender. </w:t>
            </w:r>
            <w:r w:rsidR="0078212D">
              <w:t>“Sex” usually used, &amp; correctly, but also called gender.</w:t>
            </w:r>
          </w:p>
          <w:p w14:paraId="2EAB8F7C" w14:textId="60E6379E" w:rsidR="00EB2B55" w:rsidRPr="00672DBE" w:rsidRDefault="00EB2B55" w:rsidP="003414BB">
            <w:r w:rsidRPr="00672DBE">
              <w:t xml:space="preserve">Participants treated as binary sex. </w:t>
            </w:r>
          </w:p>
        </w:tc>
        <w:tc>
          <w:tcPr>
            <w:tcW w:w="2552" w:type="dxa"/>
            <w:hideMark/>
          </w:tcPr>
          <w:p w14:paraId="3E2E45C0" w14:textId="7AF083BC" w:rsidR="00C868B2" w:rsidRPr="00595A62" w:rsidRDefault="00EB2B55" w:rsidP="003414BB">
            <w:pPr>
              <w:rPr>
                <w:rFonts w:cstheme="minorHAnsi"/>
              </w:rPr>
            </w:pPr>
            <w:r w:rsidRPr="00595A62">
              <w:rPr>
                <w:rFonts w:cstheme="minorHAnsi"/>
              </w:rPr>
              <w:t>Sex differences in in-hospital mortality following first AMI</w:t>
            </w:r>
            <w:r w:rsidR="00C868B2" w:rsidRPr="00595A62">
              <w:rPr>
                <w:rFonts w:cstheme="minorHAnsi"/>
              </w:rPr>
              <w:t>.</w:t>
            </w:r>
          </w:p>
          <w:p w14:paraId="06AC444B" w14:textId="26BEF1AC" w:rsidR="00EB2B55" w:rsidRPr="00595A62" w:rsidRDefault="00EB2B55" w:rsidP="003414BB">
            <w:pPr>
              <w:rPr>
                <w:rFonts w:cstheme="minorHAnsi"/>
              </w:rPr>
            </w:pPr>
            <w:r w:rsidRPr="00595A62">
              <w:rPr>
                <w:rFonts w:cstheme="minorHAnsi"/>
              </w:rPr>
              <w:t xml:space="preserve">Time from onset of symptoms to arrival </w:t>
            </w:r>
            <w:r w:rsidR="00C868B2" w:rsidRPr="00595A62">
              <w:rPr>
                <w:rFonts w:cstheme="minorHAnsi"/>
              </w:rPr>
              <w:t xml:space="preserve">at </w:t>
            </w:r>
            <w:r w:rsidRPr="00595A62">
              <w:rPr>
                <w:rFonts w:cstheme="minorHAnsi"/>
              </w:rPr>
              <w:t>ED by ambulance</w:t>
            </w:r>
            <w:r w:rsidR="00C868B2" w:rsidRPr="00595A62">
              <w:rPr>
                <w:rFonts w:cstheme="minorHAnsi"/>
              </w:rPr>
              <w:t>,</w:t>
            </w:r>
            <w:r w:rsidRPr="00595A62">
              <w:rPr>
                <w:rFonts w:cstheme="minorHAnsi"/>
              </w:rPr>
              <w:t xml:space="preserve"> triage urgency score</w:t>
            </w:r>
            <w:r w:rsidR="005D5036">
              <w:rPr>
                <w:rFonts w:cstheme="minorHAnsi"/>
              </w:rPr>
              <w:t>,</w:t>
            </w:r>
            <w:r w:rsidRPr="00595A62">
              <w:rPr>
                <w:rFonts w:cstheme="minorHAnsi"/>
              </w:rPr>
              <w:t xml:space="preserve"> being seen by attending physician</w:t>
            </w:r>
            <w:r w:rsidR="00C868B2" w:rsidRPr="00595A62">
              <w:rPr>
                <w:rFonts w:cstheme="minorHAnsi"/>
              </w:rPr>
              <w:t xml:space="preserve">, </w:t>
            </w:r>
            <w:r w:rsidRPr="00595A62">
              <w:rPr>
                <w:rFonts w:cstheme="minorHAnsi"/>
              </w:rPr>
              <w:t>electrocardiograms in ED</w:t>
            </w:r>
            <w:r w:rsidR="00C868B2" w:rsidRPr="00595A62">
              <w:rPr>
                <w:rFonts w:cstheme="minorHAnsi"/>
              </w:rPr>
              <w:t xml:space="preserve">, </w:t>
            </w:r>
            <w:r w:rsidRPr="00595A62">
              <w:rPr>
                <w:rFonts w:cstheme="minorHAnsi"/>
              </w:rPr>
              <w:t>length of stay in ED</w:t>
            </w:r>
            <w:r w:rsidR="00C868B2" w:rsidRPr="00595A62">
              <w:rPr>
                <w:rFonts w:cstheme="minorHAnsi"/>
              </w:rPr>
              <w:t xml:space="preserve">, </w:t>
            </w:r>
            <w:r w:rsidRPr="00595A62">
              <w:rPr>
                <w:rFonts w:cstheme="minorHAnsi"/>
              </w:rPr>
              <w:t>hospital ward destination</w:t>
            </w:r>
            <w:r w:rsidR="00C868B2" w:rsidRPr="00595A62">
              <w:rPr>
                <w:rFonts w:cstheme="minorHAnsi"/>
              </w:rPr>
              <w:t xml:space="preserve">, </w:t>
            </w:r>
          </w:p>
          <w:p w14:paraId="19C4A639" w14:textId="77777777" w:rsidR="00EB2B55" w:rsidRPr="00672DBE" w:rsidRDefault="00EB2B55" w:rsidP="003414BB">
            <w:r w:rsidRPr="00595A62">
              <w:rPr>
                <w:rFonts w:cstheme="minorHAnsi"/>
              </w:rPr>
              <w:t>in-hospital mortality.</w:t>
            </w:r>
          </w:p>
        </w:tc>
        <w:tc>
          <w:tcPr>
            <w:tcW w:w="4761" w:type="dxa"/>
            <w:hideMark/>
          </w:tcPr>
          <w:p w14:paraId="0038168E" w14:textId="59ECDB20" w:rsidR="00C868B2" w:rsidRPr="00595A62" w:rsidRDefault="005D5036" w:rsidP="00595A62">
            <w:pPr>
              <w:pStyle w:val="NormalWeb"/>
              <w:spacing w:before="0" w:beforeAutospacing="0" w:after="0" w:afterAutospacing="0"/>
              <w:rPr>
                <w:rFonts w:asciiTheme="minorHAnsi" w:hAnsiTheme="minorHAnsi" w:cstheme="minorHAnsi"/>
                <w:sz w:val="22"/>
                <w:szCs w:val="22"/>
              </w:rPr>
            </w:pPr>
            <w:r w:rsidRPr="00672DBE">
              <w:t xml:space="preserve">• </w:t>
            </w:r>
            <w:r w:rsidR="00C868B2" w:rsidRPr="001F3F15">
              <w:rPr>
                <w:rFonts w:asciiTheme="minorHAnsi" w:hAnsiTheme="minorHAnsi" w:cstheme="minorHAnsi"/>
                <w:sz w:val="22"/>
                <w:szCs w:val="22"/>
              </w:rPr>
              <w:t>P</w:t>
            </w:r>
            <w:r w:rsidR="00C868B2" w:rsidRPr="00595A62">
              <w:rPr>
                <w:rFonts w:asciiTheme="minorHAnsi" w:hAnsiTheme="minorHAnsi" w:cstheme="minorHAnsi"/>
                <w:sz w:val="22"/>
                <w:szCs w:val="22"/>
              </w:rPr>
              <w:t xml:space="preserve">ossible sex-related bias in management of patients diagnosed with AMI. </w:t>
            </w:r>
          </w:p>
          <w:p w14:paraId="439F628E" w14:textId="42FD552F" w:rsidR="00C868B2" w:rsidRPr="00595A62" w:rsidRDefault="00EB2B55" w:rsidP="003414BB">
            <w:pPr>
              <w:rPr>
                <w:rFonts w:cstheme="minorHAnsi"/>
              </w:rPr>
            </w:pPr>
            <w:r w:rsidRPr="00295724">
              <w:rPr>
                <w:rFonts w:cstheme="minorHAnsi"/>
              </w:rPr>
              <w:t xml:space="preserve">• </w:t>
            </w:r>
            <w:r w:rsidR="00C868B2" w:rsidRPr="00595A62">
              <w:rPr>
                <w:rFonts w:cstheme="minorHAnsi"/>
              </w:rPr>
              <w:t xml:space="preserve">Women </w:t>
            </w:r>
            <w:r w:rsidRPr="00595A62">
              <w:rPr>
                <w:rFonts w:cstheme="minorHAnsi"/>
              </w:rPr>
              <w:t xml:space="preserve">waited longer than </w:t>
            </w:r>
            <w:r w:rsidR="00C868B2" w:rsidRPr="00595A62">
              <w:rPr>
                <w:rFonts w:cstheme="minorHAnsi"/>
              </w:rPr>
              <w:t xml:space="preserve">men </w:t>
            </w:r>
            <w:r w:rsidRPr="00595A62">
              <w:rPr>
                <w:rFonts w:cstheme="minorHAnsi"/>
              </w:rPr>
              <w:t>before seeking treatment, presented more often with atypical symptoms, less likely to be admitted to CCU or ICU</w:t>
            </w:r>
            <w:r w:rsidR="00C868B2" w:rsidRPr="00595A62">
              <w:rPr>
                <w:rFonts w:cstheme="minorHAnsi"/>
              </w:rPr>
              <w:t>.</w:t>
            </w:r>
          </w:p>
          <w:p w14:paraId="56E1A168" w14:textId="468F32AE" w:rsidR="00C868B2" w:rsidRPr="00595A62" w:rsidRDefault="00EB2B55" w:rsidP="003414BB">
            <w:pPr>
              <w:rPr>
                <w:rFonts w:cstheme="minorHAnsi"/>
              </w:rPr>
            </w:pPr>
            <w:r w:rsidRPr="00595A62">
              <w:rPr>
                <w:rFonts w:cstheme="minorHAnsi"/>
              </w:rPr>
              <w:t xml:space="preserve">• Age-adjusted mortality in CCU/ICU or medical wards was higher </w:t>
            </w:r>
            <w:r w:rsidR="00C868B2" w:rsidRPr="00595A62">
              <w:rPr>
                <w:rFonts w:cstheme="minorHAnsi"/>
              </w:rPr>
              <w:t xml:space="preserve">in women </w:t>
            </w:r>
            <w:r w:rsidRPr="00595A62">
              <w:rPr>
                <w:rFonts w:cstheme="minorHAnsi"/>
              </w:rPr>
              <w:t xml:space="preserve">(3.1 </w:t>
            </w:r>
            <w:r w:rsidR="00C868B2" w:rsidRPr="00595A62">
              <w:rPr>
                <w:rFonts w:cstheme="minorHAnsi"/>
              </w:rPr>
              <w:t xml:space="preserve">&amp; </w:t>
            </w:r>
            <w:r w:rsidRPr="00595A62">
              <w:rPr>
                <w:rFonts w:cstheme="minorHAnsi"/>
              </w:rPr>
              <w:t>4.9 % in CCU/ICU and medical wards</w:t>
            </w:r>
            <w:r w:rsidR="00C868B2" w:rsidRPr="00595A62">
              <w:rPr>
                <w:rFonts w:cstheme="minorHAnsi"/>
              </w:rPr>
              <w:t>; men:</w:t>
            </w:r>
            <w:r w:rsidRPr="00595A62">
              <w:rPr>
                <w:rFonts w:cstheme="minorHAnsi"/>
              </w:rPr>
              <w:t xml:space="preserve"> 2.6 </w:t>
            </w:r>
            <w:r w:rsidR="00C868B2" w:rsidRPr="00595A62">
              <w:rPr>
                <w:rFonts w:cstheme="minorHAnsi"/>
              </w:rPr>
              <w:t xml:space="preserve">&amp; </w:t>
            </w:r>
            <w:r w:rsidRPr="00595A62">
              <w:rPr>
                <w:rFonts w:cstheme="minorHAnsi"/>
              </w:rPr>
              <w:t>3.2 %).</w:t>
            </w:r>
          </w:p>
          <w:p w14:paraId="21CF399A" w14:textId="2D542CE7" w:rsidR="00C868B2" w:rsidRPr="00595A62" w:rsidRDefault="00EB2B55" w:rsidP="003414BB">
            <w:pPr>
              <w:rPr>
                <w:rFonts w:cstheme="minorHAnsi"/>
              </w:rPr>
            </w:pPr>
            <w:r w:rsidRPr="00595A62">
              <w:rPr>
                <w:rFonts w:cstheme="minorHAnsi"/>
              </w:rPr>
              <w:t xml:space="preserve">• </w:t>
            </w:r>
            <w:r w:rsidR="00C868B2" w:rsidRPr="00595A62">
              <w:rPr>
                <w:rFonts w:cstheme="minorHAnsi"/>
              </w:rPr>
              <w:t xml:space="preserve">Women </w:t>
            </w:r>
            <w:r w:rsidRPr="00595A62">
              <w:rPr>
                <w:rFonts w:cstheme="minorHAnsi"/>
              </w:rPr>
              <w:t>admitted to medical wards were 89 % more likely</w:t>
            </w:r>
            <w:r w:rsidR="00C868B2" w:rsidRPr="00595A62">
              <w:rPr>
                <w:rFonts w:cstheme="minorHAnsi"/>
              </w:rPr>
              <w:t xml:space="preserve"> than men</w:t>
            </w:r>
            <w:r w:rsidRPr="00595A62">
              <w:rPr>
                <w:rFonts w:cstheme="minorHAnsi"/>
              </w:rPr>
              <w:t xml:space="preserve"> to die</w:t>
            </w:r>
            <w:r w:rsidR="00C868B2" w:rsidRPr="00595A62">
              <w:rPr>
                <w:rFonts w:cstheme="minorHAnsi"/>
              </w:rPr>
              <w:t>.</w:t>
            </w:r>
          </w:p>
          <w:p w14:paraId="28299C4B" w14:textId="1FAC93B8" w:rsidR="00EB2B55" w:rsidRPr="00672DBE" w:rsidRDefault="00EB2B55" w:rsidP="003414BB">
            <w:r w:rsidRPr="00595A62">
              <w:rPr>
                <w:rFonts w:cstheme="minorHAnsi"/>
              </w:rPr>
              <w:t xml:space="preserve">• 2.2 % of in-hospital mortality </w:t>
            </w:r>
            <w:r w:rsidR="00C868B2" w:rsidRPr="00595A62">
              <w:rPr>
                <w:rFonts w:cstheme="minorHAnsi"/>
              </w:rPr>
              <w:t xml:space="preserve">for men </w:t>
            </w:r>
            <w:r w:rsidRPr="00595A62">
              <w:rPr>
                <w:rFonts w:cstheme="minorHAnsi"/>
              </w:rPr>
              <w:t>attribut</w:t>
            </w:r>
            <w:r w:rsidR="00C868B2" w:rsidRPr="00595A62">
              <w:rPr>
                <w:rFonts w:cstheme="minorHAnsi"/>
              </w:rPr>
              <w:t>able</w:t>
            </w:r>
            <w:r w:rsidRPr="00595A62">
              <w:rPr>
                <w:rFonts w:cstheme="minorHAnsi"/>
              </w:rPr>
              <w:t xml:space="preserve"> to admi</w:t>
            </w:r>
            <w:r w:rsidR="00C868B2" w:rsidRPr="00595A62">
              <w:rPr>
                <w:rFonts w:cstheme="minorHAnsi"/>
              </w:rPr>
              <w:t>ssion</w:t>
            </w:r>
            <w:r w:rsidRPr="00595A62">
              <w:rPr>
                <w:rFonts w:cstheme="minorHAnsi"/>
              </w:rPr>
              <w:t xml:space="preserve"> to medical wards rather than CCU</w:t>
            </w:r>
            <w:r w:rsidR="00C868B2" w:rsidRPr="00595A62">
              <w:rPr>
                <w:rFonts w:cstheme="minorHAnsi"/>
              </w:rPr>
              <w:t>/</w:t>
            </w:r>
            <w:r w:rsidRPr="00595A62">
              <w:rPr>
                <w:rFonts w:cstheme="minorHAnsi"/>
              </w:rPr>
              <w:t>ICU</w:t>
            </w:r>
            <w:r w:rsidR="00C868B2" w:rsidRPr="00595A62">
              <w:rPr>
                <w:rFonts w:cstheme="minorHAnsi"/>
              </w:rPr>
              <w:t>; for women</w:t>
            </w:r>
            <w:r w:rsidRPr="00595A62">
              <w:rPr>
                <w:rFonts w:cstheme="minorHAnsi"/>
              </w:rPr>
              <w:t>, this age-adjusted attributable risk was 4.1 %.</w:t>
            </w:r>
          </w:p>
        </w:tc>
      </w:tr>
      <w:tr w:rsidR="00954954" w:rsidRPr="00672DBE" w14:paraId="33817557" w14:textId="77777777" w:rsidTr="005A6797">
        <w:trPr>
          <w:trHeight w:val="3456"/>
        </w:trPr>
        <w:tc>
          <w:tcPr>
            <w:tcW w:w="1271" w:type="dxa"/>
            <w:hideMark/>
          </w:tcPr>
          <w:p w14:paraId="2A263F45" w14:textId="62CDBA34" w:rsidR="00EB2B55" w:rsidRPr="00672DBE" w:rsidRDefault="00EB2B55" w:rsidP="003414BB">
            <w:proofErr w:type="spellStart"/>
            <w:r w:rsidRPr="00672DBE">
              <w:lastRenderedPageBreak/>
              <w:t>Mnatzaganian</w:t>
            </w:r>
            <w:proofErr w:type="spellEnd"/>
            <w:r w:rsidRPr="00672DBE">
              <w:t xml:space="preserve"> et al.</w:t>
            </w:r>
            <w:r w:rsidR="00DD4DC6">
              <w:t>,</w:t>
            </w:r>
            <w:r w:rsidRPr="00672DBE">
              <w:t xml:space="preserve"> 2019, Australia</w:t>
            </w:r>
          </w:p>
        </w:tc>
        <w:tc>
          <w:tcPr>
            <w:tcW w:w="2552" w:type="dxa"/>
            <w:hideMark/>
          </w:tcPr>
          <w:p w14:paraId="79378C37" w14:textId="27989921" w:rsidR="00245F93" w:rsidRDefault="00EB2B55" w:rsidP="00370C2C">
            <w:r w:rsidRPr="00672DBE">
              <w:t>To determine sex differences in triage, management</w:t>
            </w:r>
            <w:r w:rsidR="00245F93">
              <w:t>, &amp;</w:t>
            </w:r>
            <w:r w:rsidRPr="00672DBE">
              <w:t xml:space="preserve"> outcomes associated with non-traumatic chest pain presentations in emergency department (ED)</w:t>
            </w:r>
            <w:r w:rsidR="00245F93">
              <w:t>.</w:t>
            </w:r>
            <w:r w:rsidR="00370C2C">
              <w:t xml:space="preserve"> </w:t>
            </w:r>
            <w:r w:rsidR="00617192">
              <w:t>Secondary analysis of hospital database.</w:t>
            </w:r>
          </w:p>
          <w:p w14:paraId="58C9286F" w14:textId="192BEC20" w:rsidR="00A73B2F" w:rsidRDefault="00A73B2F" w:rsidP="003414BB">
            <w:r>
              <w:t xml:space="preserve">NB Study associated with </w:t>
            </w:r>
            <w:proofErr w:type="spellStart"/>
            <w:r w:rsidRPr="00672DBE">
              <w:t>Mnatzaganian</w:t>
            </w:r>
            <w:proofErr w:type="spellEnd"/>
            <w:r w:rsidRPr="00672DBE">
              <w:t xml:space="preserve"> et al. </w:t>
            </w:r>
            <w:r>
              <w:t>(</w:t>
            </w:r>
            <w:r w:rsidRPr="00672DBE">
              <w:t>201</w:t>
            </w:r>
            <w:r>
              <w:t>6)</w:t>
            </w:r>
            <w:r w:rsidR="00CF3A4F">
              <w:t>.</w:t>
            </w:r>
          </w:p>
          <w:p w14:paraId="18560C1E" w14:textId="7184A352" w:rsidR="00EB2B55" w:rsidRPr="00672DBE" w:rsidRDefault="00EB2B55" w:rsidP="003414BB"/>
        </w:tc>
        <w:tc>
          <w:tcPr>
            <w:tcW w:w="2673" w:type="dxa"/>
            <w:hideMark/>
          </w:tcPr>
          <w:p w14:paraId="7B072B9F" w14:textId="59F6FDAC" w:rsidR="003C250C" w:rsidRDefault="00EB2B55" w:rsidP="003414BB">
            <w:r w:rsidRPr="00672DBE">
              <w:t xml:space="preserve">54,138 </w:t>
            </w:r>
            <w:r w:rsidR="003C250C">
              <w:t>patients</w:t>
            </w:r>
            <w:r w:rsidR="003C250C" w:rsidRPr="00672DBE">
              <w:t xml:space="preserve"> </w:t>
            </w:r>
            <w:r w:rsidRPr="00672DBE">
              <w:t>(</w:t>
            </w:r>
            <w:r w:rsidR="003C250C">
              <w:t>w</w:t>
            </w:r>
            <w:r w:rsidR="003C250C" w:rsidRPr="00672DBE">
              <w:t xml:space="preserve">omen </w:t>
            </w:r>
            <w:r w:rsidRPr="00672DBE">
              <w:t xml:space="preserve">48.7%, </w:t>
            </w:r>
            <w:r w:rsidR="003C250C">
              <w:t>m</w:t>
            </w:r>
            <w:r w:rsidR="003C250C" w:rsidRPr="00672DBE">
              <w:t xml:space="preserve">en </w:t>
            </w:r>
            <w:r w:rsidRPr="00672DBE">
              <w:t>51.3%)</w:t>
            </w:r>
            <w:r w:rsidR="003C250C">
              <w:t xml:space="preserve"> aged 18+ years with non-traumatic chest pain.</w:t>
            </w:r>
          </w:p>
          <w:p w14:paraId="38178F08" w14:textId="23B6CBDD" w:rsidR="003C250C" w:rsidRDefault="003C250C" w:rsidP="003414BB">
            <w:r>
              <w:t>Melbourne, Victoria ED.</w:t>
            </w:r>
          </w:p>
          <w:p w14:paraId="381B8A67" w14:textId="742F3475" w:rsidR="00EB2B55" w:rsidRPr="00672DBE" w:rsidRDefault="00EB2B55" w:rsidP="003414BB"/>
        </w:tc>
        <w:tc>
          <w:tcPr>
            <w:tcW w:w="1579" w:type="dxa"/>
            <w:hideMark/>
          </w:tcPr>
          <w:p w14:paraId="2E594F09" w14:textId="5FE2BF8F" w:rsidR="0058055F" w:rsidRPr="00065ECA" w:rsidRDefault="00EB2B55" w:rsidP="0058055F">
            <w:r w:rsidRPr="00065ECA">
              <w:t xml:space="preserve">No definition of sex/gender. </w:t>
            </w:r>
            <w:r w:rsidR="0058055F" w:rsidRPr="00065ECA">
              <w:t>“Sex” used correctly.</w:t>
            </w:r>
          </w:p>
          <w:p w14:paraId="13997167" w14:textId="5A5C3F16" w:rsidR="00EB2B55" w:rsidRPr="00672DBE" w:rsidRDefault="00EB2B55" w:rsidP="003414BB">
            <w:r w:rsidRPr="00065ECA">
              <w:t>Participants</w:t>
            </w:r>
            <w:r w:rsidRPr="00672DBE">
              <w:t xml:space="preserve"> treated as binary sex. </w:t>
            </w:r>
          </w:p>
        </w:tc>
        <w:tc>
          <w:tcPr>
            <w:tcW w:w="2552" w:type="dxa"/>
            <w:hideMark/>
          </w:tcPr>
          <w:p w14:paraId="06F07F59" w14:textId="061FC77E" w:rsidR="000A13DF" w:rsidRDefault="00EB2B55" w:rsidP="003414BB">
            <w:r w:rsidRPr="00672DBE">
              <w:t>Sex differences in triage</w:t>
            </w:r>
            <w:r w:rsidR="000A13DF">
              <w:t>,</w:t>
            </w:r>
            <w:r w:rsidR="000A13DF" w:rsidRPr="00672DBE">
              <w:t xml:space="preserve"> </w:t>
            </w:r>
            <w:r w:rsidRPr="00672DBE">
              <w:t>management</w:t>
            </w:r>
            <w:r w:rsidR="000A13DF">
              <w:t>, &amp;</w:t>
            </w:r>
            <w:r w:rsidRPr="00672DBE">
              <w:t xml:space="preserve"> outcomes</w:t>
            </w:r>
            <w:r w:rsidR="000A13DF">
              <w:t>.</w:t>
            </w:r>
          </w:p>
          <w:p w14:paraId="00A04A0C" w14:textId="234716BA" w:rsidR="00EB2B55" w:rsidRPr="00672DBE" w:rsidRDefault="00EB2B55" w:rsidP="003414BB">
            <w:r w:rsidRPr="00672DBE">
              <w:t>Symptoms</w:t>
            </w:r>
            <w:r w:rsidR="000A13DF">
              <w:t>,</w:t>
            </w:r>
            <w:r w:rsidR="000A13DF" w:rsidRPr="00672DBE">
              <w:t xml:space="preserve"> </w:t>
            </w:r>
            <w:r w:rsidRPr="00672DBE">
              <w:t>arrival mode</w:t>
            </w:r>
            <w:r w:rsidR="000A13DF">
              <w:t>,</w:t>
            </w:r>
            <w:r w:rsidR="000A13DF" w:rsidRPr="00672DBE">
              <w:t xml:space="preserve"> </w:t>
            </w:r>
            <w:r w:rsidRPr="00672DBE">
              <w:t xml:space="preserve">arrival time </w:t>
            </w:r>
            <w:r w:rsidR="000A13DF">
              <w:t>&amp;</w:t>
            </w:r>
            <w:r w:rsidR="000A13DF" w:rsidRPr="00672DBE">
              <w:t xml:space="preserve"> </w:t>
            </w:r>
            <w:r w:rsidRPr="00672DBE">
              <w:t>day of week</w:t>
            </w:r>
            <w:r w:rsidR="000A13DF">
              <w:t>,</w:t>
            </w:r>
            <w:r w:rsidR="000A13DF" w:rsidRPr="00672DBE">
              <w:t xml:space="preserve"> </w:t>
            </w:r>
            <w:r w:rsidRPr="00672DBE">
              <w:t xml:space="preserve">nursing </w:t>
            </w:r>
            <w:r w:rsidR="000A13DF">
              <w:t>&amp;</w:t>
            </w:r>
            <w:r w:rsidR="000A13DF" w:rsidRPr="00672DBE">
              <w:t xml:space="preserve"> </w:t>
            </w:r>
            <w:r w:rsidRPr="00672DBE">
              <w:t>medical management</w:t>
            </w:r>
            <w:r w:rsidR="000A13DF">
              <w:t>,</w:t>
            </w:r>
            <w:r w:rsidRPr="00672DBE">
              <w:t xml:space="preserve"> diagnoses, admission status</w:t>
            </w:r>
            <w:r w:rsidR="000A13DF">
              <w:t>,</w:t>
            </w:r>
            <w:r w:rsidR="000A13DF" w:rsidRPr="00672DBE">
              <w:t xml:space="preserve"> </w:t>
            </w:r>
            <w:r w:rsidRPr="00672DBE">
              <w:t>hospital admitting ward on departure from ED.</w:t>
            </w:r>
          </w:p>
        </w:tc>
        <w:tc>
          <w:tcPr>
            <w:tcW w:w="4761" w:type="dxa"/>
            <w:hideMark/>
          </w:tcPr>
          <w:p w14:paraId="204568BB" w14:textId="774516FB" w:rsidR="00EB2B55" w:rsidRPr="00672DBE" w:rsidRDefault="00EB2B55" w:rsidP="003414BB">
            <w:r w:rsidRPr="00672DBE">
              <w:t>• Women present</w:t>
            </w:r>
            <w:r w:rsidR="00AC66D8">
              <w:t>ing to ED</w:t>
            </w:r>
            <w:r w:rsidRPr="00672DBE">
              <w:t xml:space="preserve"> with chest pain treated less aggressively than men</w:t>
            </w:r>
            <w:r w:rsidR="0013377F">
              <w:t>.</w:t>
            </w:r>
          </w:p>
          <w:p w14:paraId="0241C779" w14:textId="0AC82764" w:rsidR="0013377F" w:rsidRDefault="00EB2B55" w:rsidP="003414BB">
            <w:r w:rsidRPr="00672DBE">
              <w:t>• Women 18% less likely to be allocated immediate</w:t>
            </w:r>
            <w:r w:rsidR="007551E6">
              <w:t>/</w:t>
            </w:r>
            <w:r w:rsidRPr="00672DBE">
              <w:t>within</w:t>
            </w:r>
            <w:r w:rsidR="0013377F">
              <w:t>-</w:t>
            </w:r>
            <w:r w:rsidR="0013377F" w:rsidRPr="00672DBE">
              <w:t>10</w:t>
            </w:r>
            <w:r w:rsidR="0013377F">
              <w:t>-</w:t>
            </w:r>
            <w:r w:rsidRPr="00672DBE">
              <w:t>min revie</w:t>
            </w:r>
            <w:r w:rsidR="00610399" w:rsidRPr="00672DBE">
              <w:t>w</w:t>
            </w:r>
            <w:r w:rsidRPr="00672DBE">
              <w:t xml:space="preserve"> (OR=0.82, 95% CI 0.79 to 0.85)</w:t>
            </w:r>
            <w:r w:rsidR="0013377F">
              <w:t>.</w:t>
            </w:r>
          </w:p>
          <w:p w14:paraId="74749737" w14:textId="49BF53F0" w:rsidR="0013377F" w:rsidRDefault="00EB2B55" w:rsidP="003414BB">
            <w:r w:rsidRPr="00672DBE">
              <w:t xml:space="preserve">• Women 16% less likely to be examined </w:t>
            </w:r>
            <w:r w:rsidR="0013377F">
              <w:t xml:space="preserve">by </w:t>
            </w:r>
            <w:r w:rsidR="00370C2C">
              <w:t>ED</w:t>
            </w:r>
            <w:r w:rsidR="0013377F">
              <w:t xml:space="preserve"> physician </w:t>
            </w:r>
            <w:r w:rsidRPr="00672DBE">
              <w:t xml:space="preserve">in </w:t>
            </w:r>
            <w:r w:rsidR="007551E6">
              <w:t xml:space="preserve">1st </w:t>
            </w:r>
            <w:r w:rsidRPr="00672DBE">
              <w:t xml:space="preserve">hour </w:t>
            </w:r>
            <w:r w:rsidR="007551E6">
              <w:t>at</w:t>
            </w:r>
            <w:r w:rsidRPr="00672DBE">
              <w:t xml:space="preserve"> </w:t>
            </w:r>
            <w:r w:rsidR="0013377F">
              <w:t>ED</w:t>
            </w:r>
            <w:r w:rsidRPr="00672DBE">
              <w:t xml:space="preserve"> (0.84, 0.81 to 0.87)</w:t>
            </w:r>
            <w:r w:rsidR="0013377F">
              <w:t>.</w:t>
            </w:r>
          </w:p>
          <w:p w14:paraId="471ED3A0" w14:textId="354804B7" w:rsidR="0013377F" w:rsidRDefault="00EB2B55" w:rsidP="003414BB">
            <w:r w:rsidRPr="00672DBE">
              <w:t xml:space="preserve">• </w:t>
            </w:r>
            <w:r w:rsidR="00A14215">
              <w:t>W</w:t>
            </w:r>
            <w:r w:rsidR="00A14215" w:rsidRPr="00672DBE">
              <w:t xml:space="preserve">omen </w:t>
            </w:r>
            <w:r w:rsidRPr="00672DBE">
              <w:t>20% less likely to have troponin test (0.80, 0.77 to 0.83)</w:t>
            </w:r>
            <w:r w:rsidR="0013377F">
              <w:t>.</w:t>
            </w:r>
          </w:p>
          <w:p w14:paraId="2540E185" w14:textId="74CC0E5E" w:rsidR="0013377F" w:rsidRDefault="00EB2B55" w:rsidP="003414BB">
            <w:r w:rsidRPr="00672DBE">
              <w:t>• Women 36% less likely to be admitted to specialised care unit (0.64, 0.61 to 0.68)</w:t>
            </w:r>
            <w:r w:rsidR="0013377F">
              <w:t>.</w:t>
            </w:r>
          </w:p>
          <w:p w14:paraId="21CF9485" w14:textId="4B0221D1" w:rsidR="00EB2B55" w:rsidRPr="00672DBE" w:rsidRDefault="00EB2B55" w:rsidP="003414BB">
            <w:r w:rsidRPr="00672DBE">
              <w:t xml:space="preserve"> • Women 35% (p=0.039) </w:t>
            </w:r>
            <w:r w:rsidR="0013377F">
              <w:t>&amp;</w:t>
            </w:r>
            <w:r w:rsidR="0013377F" w:rsidRPr="00672DBE">
              <w:t xml:space="preserve"> </w:t>
            </w:r>
            <w:r w:rsidRPr="00672DBE">
              <w:t xml:space="preserve">36% (p=0.002) more likely to die in ED </w:t>
            </w:r>
            <w:r w:rsidR="0013377F">
              <w:t>&amp;</w:t>
            </w:r>
            <w:r w:rsidR="0013377F" w:rsidRPr="00672DBE">
              <w:t xml:space="preserve"> </w:t>
            </w:r>
            <w:r w:rsidRPr="00672DBE">
              <w:t>in hospital, respectively.</w:t>
            </w:r>
          </w:p>
        </w:tc>
      </w:tr>
      <w:tr w:rsidR="00954954" w:rsidRPr="00672DBE" w14:paraId="38CF0AA0" w14:textId="77777777" w:rsidTr="00F34379">
        <w:trPr>
          <w:cantSplit/>
        </w:trPr>
        <w:tc>
          <w:tcPr>
            <w:tcW w:w="1271" w:type="dxa"/>
            <w:hideMark/>
          </w:tcPr>
          <w:p w14:paraId="087F6396" w14:textId="53769B8D" w:rsidR="00EB2B55" w:rsidRPr="00672DBE" w:rsidRDefault="00EB2B55" w:rsidP="003414BB">
            <w:r w:rsidRPr="00672DBE">
              <w:lastRenderedPageBreak/>
              <w:t>Murphy et al.</w:t>
            </w:r>
            <w:r w:rsidR="00DD4DC6">
              <w:t>,</w:t>
            </w:r>
            <w:r w:rsidRPr="00672DBE">
              <w:t xml:space="preserve"> 2019, Australia</w:t>
            </w:r>
          </w:p>
        </w:tc>
        <w:tc>
          <w:tcPr>
            <w:tcW w:w="2552" w:type="dxa"/>
            <w:hideMark/>
          </w:tcPr>
          <w:p w14:paraId="14BEA5DD" w14:textId="21476A02" w:rsidR="00120982" w:rsidRDefault="00EB2B55" w:rsidP="003414BB">
            <w:r w:rsidRPr="00672DBE">
              <w:t xml:space="preserve">To compare door-to-balloon times </w:t>
            </w:r>
            <w:r w:rsidR="00120982">
              <w:t>&amp;</w:t>
            </w:r>
            <w:r w:rsidR="00120982" w:rsidRPr="00672DBE">
              <w:t xml:space="preserve"> </w:t>
            </w:r>
            <w:r w:rsidRPr="00672DBE">
              <w:t>impact of timely reperfusion on clinical outcomes in women compared with men presenting with ST-elevation myocardial infarction (STEMI) undergoing primary percutaneous coronary intervention (PPCI)</w:t>
            </w:r>
            <w:r w:rsidR="00120982">
              <w:t>.</w:t>
            </w:r>
          </w:p>
          <w:p w14:paraId="1A1C2C93" w14:textId="7A89FC5D" w:rsidR="00EB2B55" w:rsidRPr="00672DBE" w:rsidRDefault="00EB2B55" w:rsidP="00120982">
            <w:r w:rsidRPr="00672DBE">
              <w:t xml:space="preserve">Secondary analysis of </w:t>
            </w:r>
            <w:r w:rsidR="00C344A2">
              <w:t>c</w:t>
            </w:r>
            <w:r w:rsidR="00C344A2" w:rsidRPr="00672DBE">
              <w:t xml:space="preserve">ohort </w:t>
            </w:r>
            <w:r w:rsidRPr="00672DBE">
              <w:t>study from Melbourne Interventional Group (MIG) registry</w:t>
            </w:r>
            <w:r w:rsidR="00120982">
              <w:t>.</w:t>
            </w:r>
          </w:p>
        </w:tc>
        <w:tc>
          <w:tcPr>
            <w:tcW w:w="2673" w:type="dxa"/>
            <w:hideMark/>
          </w:tcPr>
          <w:p w14:paraId="45E6D2A4" w14:textId="1C68F546" w:rsidR="00EB2B55" w:rsidRPr="00672DBE" w:rsidRDefault="00EB2B55" w:rsidP="003414BB">
            <w:r w:rsidRPr="00672DBE">
              <w:t>6,179 patients (</w:t>
            </w:r>
            <w:r w:rsidR="00120982">
              <w:t>1258 w</w:t>
            </w:r>
            <w:r w:rsidR="00120982" w:rsidRPr="00672DBE">
              <w:t>omen</w:t>
            </w:r>
            <w:r w:rsidRPr="00672DBE">
              <w:t>) who underwent PCI for STEMI</w:t>
            </w:r>
            <w:r w:rsidR="00120982">
              <w:t>,</w:t>
            </w:r>
            <w:r w:rsidRPr="00672DBE">
              <w:t xml:space="preserve"> Jan 2005 </w:t>
            </w:r>
            <w:r w:rsidR="00120982">
              <w:t>-</w:t>
            </w:r>
            <w:r w:rsidRPr="00672DBE">
              <w:t xml:space="preserve"> Jun 2017</w:t>
            </w:r>
            <w:r w:rsidR="00120982">
              <w:t>,</w:t>
            </w:r>
            <w:r w:rsidRPr="00672DBE">
              <w:t xml:space="preserve"> prospectively.</w:t>
            </w:r>
          </w:p>
        </w:tc>
        <w:tc>
          <w:tcPr>
            <w:tcW w:w="1579" w:type="dxa"/>
            <w:hideMark/>
          </w:tcPr>
          <w:p w14:paraId="1BDC82D0" w14:textId="1600320B" w:rsidR="00F8306C" w:rsidRDefault="00EB2B55" w:rsidP="003414BB">
            <w:r w:rsidRPr="00672DBE">
              <w:t xml:space="preserve">No definition of sex/gender. </w:t>
            </w:r>
            <w:r w:rsidR="00F8306C">
              <w:t>Both terms used to mean sex.</w:t>
            </w:r>
          </w:p>
          <w:p w14:paraId="432BA77F" w14:textId="744F372A" w:rsidR="00EB2B55" w:rsidRPr="00672DBE" w:rsidRDefault="00EB2B55" w:rsidP="003414BB">
            <w:r w:rsidRPr="00672DBE">
              <w:t xml:space="preserve">Participants treated as binary sex. </w:t>
            </w:r>
          </w:p>
        </w:tc>
        <w:tc>
          <w:tcPr>
            <w:tcW w:w="2552" w:type="dxa"/>
            <w:hideMark/>
          </w:tcPr>
          <w:p w14:paraId="4E2DF196" w14:textId="77777777" w:rsidR="00120982" w:rsidRDefault="00EB2B55" w:rsidP="003414BB">
            <w:r w:rsidRPr="00672DBE">
              <w:t>Long-term mortality</w:t>
            </w:r>
            <w:r w:rsidR="00120982">
              <w:t>.</w:t>
            </w:r>
          </w:p>
          <w:p w14:paraId="7CC5810F" w14:textId="524038CB" w:rsidR="00EB2B55" w:rsidRPr="00672DBE" w:rsidRDefault="00120982" w:rsidP="003414BB">
            <w:r>
              <w:t>D</w:t>
            </w:r>
            <w:r w:rsidR="00EB2B55" w:rsidRPr="00672DBE">
              <w:t>oor-to-balloon times</w:t>
            </w:r>
            <w:r>
              <w:t>,</w:t>
            </w:r>
            <w:r w:rsidR="00EB2B55" w:rsidRPr="00672DBE">
              <w:t xml:space="preserve"> impact of timely reperfusion.</w:t>
            </w:r>
          </w:p>
        </w:tc>
        <w:tc>
          <w:tcPr>
            <w:tcW w:w="4761" w:type="dxa"/>
            <w:hideMark/>
          </w:tcPr>
          <w:p w14:paraId="46F1DD5D" w14:textId="2787AF3A" w:rsidR="00F8306C" w:rsidRPr="006909C4" w:rsidRDefault="00F8306C" w:rsidP="006909C4">
            <w:pPr>
              <w:pStyle w:val="NormalWeb"/>
              <w:spacing w:before="0" w:beforeAutospacing="0" w:after="0" w:afterAutospacing="0"/>
              <w:rPr>
                <w:rFonts w:asciiTheme="minorHAnsi" w:hAnsiTheme="minorHAnsi" w:cstheme="minorHAnsi"/>
                <w:sz w:val="22"/>
                <w:szCs w:val="22"/>
              </w:rPr>
            </w:pPr>
            <w:r w:rsidRPr="006909C4">
              <w:rPr>
                <w:rFonts w:asciiTheme="minorHAnsi" w:hAnsiTheme="minorHAnsi" w:cstheme="minorHAnsi"/>
                <w:sz w:val="22"/>
                <w:szCs w:val="22"/>
              </w:rPr>
              <w:t>• Women had longer ischemic times, higher risk profiles, differ</w:t>
            </w:r>
            <w:r w:rsidR="007551E6">
              <w:rPr>
                <w:rFonts w:asciiTheme="minorHAnsi" w:hAnsiTheme="minorHAnsi" w:cstheme="minorHAnsi"/>
                <w:sz w:val="22"/>
                <w:szCs w:val="22"/>
              </w:rPr>
              <w:t>ent</w:t>
            </w:r>
            <w:r w:rsidRPr="006909C4">
              <w:rPr>
                <w:rFonts w:asciiTheme="minorHAnsi" w:hAnsiTheme="minorHAnsi" w:cstheme="minorHAnsi"/>
                <w:sz w:val="22"/>
                <w:szCs w:val="22"/>
              </w:rPr>
              <w:t xml:space="preserve"> treatment </w:t>
            </w:r>
            <w:r w:rsidR="007551E6">
              <w:rPr>
                <w:rFonts w:asciiTheme="minorHAnsi" w:hAnsiTheme="minorHAnsi" w:cstheme="minorHAnsi"/>
                <w:sz w:val="22"/>
                <w:szCs w:val="22"/>
              </w:rPr>
              <w:t>than</w:t>
            </w:r>
            <w:r w:rsidRPr="006909C4">
              <w:rPr>
                <w:rFonts w:asciiTheme="minorHAnsi" w:hAnsiTheme="minorHAnsi" w:cstheme="minorHAnsi"/>
                <w:sz w:val="22"/>
                <w:szCs w:val="22"/>
              </w:rPr>
              <w:t xml:space="preserve"> men</w:t>
            </w:r>
            <w:r>
              <w:rPr>
                <w:rFonts w:asciiTheme="minorHAnsi" w:hAnsiTheme="minorHAnsi" w:cstheme="minorHAnsi"/>
                <w:sz w:val="22"/>
                <w:szCs w:val="22"/>
              </w:rPr>
              <w:t>:</w:t>
            </w:r>
            <w:r w:rsidRPr="006909C4">
              <w:rPr>
                <w:rFonts w:asciiTheme="minorHAnsi" w:hAnsiTheme="minorHAnsi" w:cstheme="minorHAnsi"/>
                <w:sz w:val="22"/>
                <w:szCs w:val="22"/>
              </w:rPr>
              <w:t xml:space="preserve"> associated with worse outcome. </w:t>
            </w:r>
          </w:p>
          <w:p w14:paraId="02B4AAE0" w14:textId="2F866B01" w:rsidR="00834EE9" w:rsidRPr="006909C4" w:rsidRDefault="00EB2B55" w:rsidP="00F8306C">
            <w:pPr>
              <w:rPr>
                <w:rFonts w:cstheme="minorHAnsi"/>
              </w:rPr>
            </w:pPr>
            <w:r w:rsidRPr="00295724">
              <w:rPr>
                <w:rFonts w:cstheme="minorHAnsi"/>
              </w:rPr>
              <w:t xml:space="preserve">• </w:t>
            </w:r>
            <w:r w:rsidR="00834EE9" w:rsidRPr="0017388B">
              <w:rPr>
                <w:rFonts w:cstheme="minorHAnsi"/>
              </w:rPr>
              <w:t>Women</w:t>
            </w:r>
            <w:r w:rsidRPr="0017388B">
              <w:rPr>
                <w:rFonts w:cstheme="minorHAnsi"/>
              </w:rPr>
              <w:t xml:space="preserve"> who were older (F: 69, M:62)</w:t>
            </w:r>
            <w:r w:rsidRPr="006909C4">
              <w:rPr>
                <w:rFonts w:cstheme="minorHAnsi"/>
              </w:rPr>
              <w:t xml:space="preserve"> with more co-morbidities had longer median symptom-to-balloon times (204 [interquartile range {IQR} 154 to 294] vs 181 [IQR 139 to 258] minutes; p &lt; 0.001)</w:t>
            </w:r>
            <w:r w:rsidR="00834EE9" w:rsidRPr="006909C4">
              <w:rPr>
                <w:rFonts w:cstheme="minorHAnsi"/>
              </w:rPr>
              <w:t>.</w:t>
            </w:r>
          </w:p>
          <w:p w14:paraId="2A96651D" w14:textId="2BE31848" w:rsidR="00834EE9" w:rsidRDefault="00EB2B55" w:rsidP="003414BB">
            <w:r w:rsidRPr="00672DBE">
              <w:t xml:space="preserve">• </w:t>
            </w:r>
            <w:r w:rsidR="00834EE9">
              <w:t>Women</w:t>
            </w:r>
            <w:r w:rsidRPr="00672DBE">
              <w:t xml:space="preserve"> had longer median door-to-balloon times (81 [IQR 55 to 102] vs 75 [IQR 51 to 102)] minutes; p &lt; 0.001)</w:t>
            </w:r>
            <w:r w:rsidR="00834EE9">
              <w:t>,</w:t>
            </w:r>
            <w:r w:rsidRPr="00672DBE">
              <w:t xml:space="preserve"> </w:t>
            </w:r>
            <w:r w:rsidR="00834EE9" w:rsidRPr="00672DBE">
              <w:t>receiv</w:t>
            </w:r>
            <w:r w:rsidR="00834EE9">
              <w:t>ed</w:t>
            </w:r>
            <w:r w:rsidR="00834EE9" w:rsidRPr="00672DBE">
              <w:t xml:space="preserve"> </w:t>
            </w:r>
            <w:r w:rsidR="00834EE9">
              <w:t>fewer</w:t>
            </w:r>
            <w:r w:rsidR="00834EE9" w:rsidRPr="00672DBE">
              <w:t xml:space="preserve"> </w:t>
            </w:r>
            <w:r w:rsidRPr="00672DBE">
              <w:t xml:space="preserve">drug-eluting stents (39% vs 43%; p=0.01) </w:t>
            </w:r>
            <w:r w:rsidR="00834EE9">
              <w:t>&amp;</w:t>
            </w:r>
            <w:r w:rsidR="00834EE9" w:rsidRPr="00672DBE">
              <w:t xml:space="preserve"> </w:t>
            </w:r>
            <w:r w:rsidRPr="00672DBE">
              <w:t>less radial access for PPCI (15% vs 21%; p &lt; 0.001)</w:t>
            </w:r>
            <w:r w:rsidR="00834EE9">
              <w:t>.</w:t>
            </w:r>
          </w:p>
          <w:p w14:paraId="69D8DCE8" w14:textId="2E29C168" w:rsidR="00834EE9" w:rsidRDefault="00EB2B55" w:rsidP="003414BB">
            <w:r w:rsidRPr="00672DBE">
              <w:t xml:space="preserve">• </w:t>
            </w:r>
            <w:r w:rsidR="00834EE9">
              <w:t>Women</w:t>
            </w:r>
            <w:r w:rsidRPr="00672DBE">
              <w:t xml:space="preserve"> received less guideline-directed medical therapy</w:t>
            </w:r>
            <w:r w:rsidR="007551E6">
              <w:t>;</w:t>
            </w:r>
            <w:r w:rsidRPr="00672DBE">
              <w:t xml:space="preserve"> less </w:t>
            </w:r>
            <w:r w:rsidR="00834EE9">
              <w:t xml:space="preserve">aspirin </w:t>
            </w:r>
            <w:r w:rsidRPr="00672DBE">
              <w:t xml:space="preserve">prescription (93.4% vs 95.4%; p=0.02), statins (96.5% vs 97.6%; p &lt; 0.05), </w:t>
            </w:r>
            <w:r w:rsidR="00834EE9">
              <w:t>&amp;</w:t>
            </w:r>
            <w:r w:rsidR="00834EE9" w:rsidRPr="00672DBE">
              <w:t xml:space="preserve"> </w:t>
            </w:r>
            <w:r w:rsidRPr="00672DBE">
              <w:t>beta blockers (84.3% vs 89.4%; p &lt; 0.001)</w:t>
            </w:r>
            <w:r w:rsidR="00834EE9">
              <w:t>.</w:t>
            </w:r>
          </w:p>
          <w:p w14:paraId="3FF5190E" w14:textId="795B40ED" w:rsidR="00EB2B55" w:rsidRPr="00672DBE" w:rsidRDefault="00EB2B55" w:rsidP="00F8306C">
            <w:r w:rsidRPr="00672DBE">
              <w:t xml:space="preserve">• Unadjusted in-hospital </w:t>
            </w:r>
            <w:r w:rsidR="00834EE9">
              <w:t>&amp;</w:t>
            </w:r>
            <w:r w:rsidR="00834EE9" w:rsidRPr="00672DBE">
              <w:t xml:space="preserve"> </w:t>
            </w:r>
            <w:r w:rsidRPr="00672DBE">
              <w:t>30-day mortality rates were higher in women (8.8% vs 6.2%, 9.8% vs 6.9%; p &lt; 0.001)</w:t>
            </w:r>
            <w:r w:rsidR="00834EE9">
              <w:t>.</w:t>
            </w:r>
            <w:r w:rsidRPr="00672DBE">
              <w:t xml:space="preserve"> </w:t>
            </w:r>
          </w:p>
        </w:tc>
      </w:tr>
      <w:tr w:rsidR="00954954" w:rsidRPr="00672DBE" w14:paraId="00CA4C1C" w14:textId="77777777" w:rsidTr="005A6797">
        <w:trPr>
          <w:trHeight w:val="2592"/>
        </w:trPr>
        <w:tc>
          <w:tcPr>
            <w:tcW w:w="1271" w:type="dxa"/>
            <w:hideMark/>
          </w:tcPr>
          <w:p w14:paraId="79D75C1C" w14:textId="778D3A48" w:rsidR="00EB2B55" w:rsidRPr="00672DBE" w:rsidRDefault="00EB2B55" w:rsidP="003414BB">
            <w:r w:rsidRPr="00672DBE">
              <w:t>Page et al.</w:t>
            </w:r>
            <w:r w:rsidR="00DD4DC6">
              <w:t>,</w:t>
            </w:r>
            <w:r w:rsidRPr="00672DBE">
              <w:t xml:space="preserve"> 2019, Australia</w:t>
            </w:r>
          </w:p>
        </w:tc>
        <w:tc>
          <w:tcPr>
            <w:tcW w:w="2552" w:type="dxa"/>
            <w:hideMark/>
          </w:tcPr>
          <w:p w14:paraId="4ABB5FAF" w14:textId="48E285BC" w:rsidR="00990A88" w:rsidRDefault="00EB2B55" w:rsidP="003414BB">
            <w:r w:rsidRPr="00672DBE">
              <w:t xml:space="preserve">To estimate prevalence of polypharmacy </w:t>
            </w:r>
            <w:r w:rsidR="00446870">
              <w:t>in</w:t>
            </w:r>
            <w:r w:rsidR="00446870" w:rsidRPr="00672DBE">
              <w:t xml:space="preserve"> </w:t>
            </w:r>
            <w:r w:rsidRPr="00672DBE">
              <w:t>Australians aged 70</w:t>
            </w:r>
            <w:r w:rsidR="00990A88">
              <w:t>+</w:t>
            </w:r>
            <w:r w:rsidRPr="00672DBE">
              <w:t xml:space="preserve"> years</w:t>
            </w:r>
            <w:r w:rsidR="00990A88">
              <w:t>.</w:t>
            </w:r>
          </w:p>
          <w:p w14:paraId="4BE705E7" w14:textId="5E6BE579" w:rsidR="00990A88" w:rsidRDefault="00990A88" w:rsidP="003414BB">
            <w:r>
              <w:t xml:space="preserve">(Polypharmacy has </w:t>
            </w:r>
            <w:r w:rsidRPr="00672DBE">
              <w:t xml:space="preserve">risk of harm, </w:t>
            </w:r>
            <w:r>
              <w:t>e.g.,</w:t>
            </w:r>
            <w:r w:rsidRPr="00672DBE">
              <w:t xml:space="preserve"> adverse drug reactions</w:t>
            </w:r>
            <w:r>
              <w:t xml:space="preserve">; </w:t>
            </w:r>
            <w:r w:rsidRPr="00672DBE">
              <w:t>associated with poor clinical outcomes</w:t>
            </w:r>
            <w:r>
              <w:t>.)</w:t>
            </w:r>
          </w:p>
          <w:p w14:paraId="55F5A305" w14:textId="134C66C1" w:rsidR="00EB2B55" w:rsidRPr="00672DBE" w:rsidRDefault="00EB2B55" w:rsidP="003414BB">
            <w:r w:rsidRPr="00672DBE">
              <w:t>Secondary analysis</w:t>
            </w:r>
            <w:r w:rsidR="00446870">
              <w:t>;</w:t>
            </w:r>
            <w:r w:rsidR="00446870" w:rsidRPr="00672DBE">
              <w:t xml:space="preserve"> </w:t>
            </w:r>
            <w:r w:rsidRPr="00672DBE">
              <w:t>data from the Pharmaceutical Benefits Scheme (PBS)</w:t>
            </w:r>
            <w:r w:rsidR="00990A88">
              <w:t>.</w:t>
            </w:r>
          </w:p>
        </w:tc>
        <w:tc>
          <w:tcPr>
            <w:tcW w:w="2673" w:type="dxa"/>
            <w:hideMark/>
          </w:tcPr>
          <w:p w14:paraId="4B7BD29A" w14:textId="71576ED9" w:rsidR="00EB2B55" w:rsidRPr="00672DBE" w:rsidRDefault="00EB2B55" w:rsidP="00446870">
            <w:r w:rsidRPr="00672DBE">
              <w:t>2,593,514</w:t>
            </w:r>
            <w:r w:rsidR="00446870">
              <w:t xml:space="preserve"> people</w:t>
            </w:r>
            <w:r w:rsidRPr="00672DBE">
              <w:t xml:space="preserve"> (1,407,313</w:t>
            </w:r>
            <w:r w:rsidR="00990A88">
              <w:t xml:space="preserve"> women</w:t>
            </w:r>
            <w:r w:rsidRPr="00672DBE">
              <w:t>, 1,186,201</w:t>
            </w:r>
            <w:r w:rsidR="00990A88">
              <w:t xml:space="preserve"> men</w:t>
            </w:r>
            <w:r w:rsidRPr="00672DBE">
              <w:t>)</w:t>
            </w:r>
            <w:r w:rsidR="00990A88">
              <w:t xml:space="preserve"> </w:t>
            </w:r>
            <w:r w:rsidRPr="00672DBE">
              <w:t>aged 70</w:t>
            </w:r>
            <w:r w:rsidR="00610399" w:rsidRPr="00672DBE">
              <w:t>+</w:t>
            </w:r>
            <w:r w:rsidRPr="00672DBE">
              <w:t xml:space="preserve"> </w:t>
            </w:r>
            <w:r w:rsidR="00446870">
              <w:t xml:space="preserve">to </w:t>
            </w:r>
            <w:r w:rsidRPr="00672DBE">
              <w:t>who</w:t>
            </w:r>
            <w:r w:rsidR="00446870">
              <w:t>m</w:t>
            </w:r>
            <w:r w:rsidRPr="00672DBE">
              <w:t xml:space="preserve"> PBS-listed medicines</w:t>
            </w:r>
            <w:r w:rsidR="00446870">
              <w:t xml:space="preserve"> were </w:t>
            </w:r>
            <w:r w:rsidR="00446870" w:rsidRPr="00672DBE">
              <w:t>dispensed</w:t>
            </w:r>
            <w:r w:rsidRPr="00672DBE">
              <w:t xml:space="preserve"> 1 Jan 2006 </w:t>
            </w:r>
            <w:r w:rsidR="00610399" w:rsidRPr="00672DBE">
              <w:t xml:space="preserve">- </w:t>
            </w:r>
            <w:r w:rsidRPr="00672DBE">
              <w:t>31 Dec 2017</w:t>
            </w:r>
            <w:r w:rsidR="00990A88">
              <w:t>.</w:t>
            </w:r>
          </w:p>
        </w:tc>
        <w:tc>
          <w:tcPr>
            <w:tcW w:w="1579" w:type="dxa"/>
            <w:hideMark/>
          </w:tcPr>
          <w:p w14:paraId="684B4B57" w14:textId="42445DF6" w:rsidR="00EB2B55" w:rsidRPr="00672DBE" w:rsidRDefault="00EB2B55" w:rsidP="003414BB">
            <w:r w:rsidRPr="00065ECA">
              <w:t>No definition.</w:t>
            </w:r>
            <w:r w:rsidR="00AE6D89" w:rsidRPr="00065ECA">
              <w:t xml:space="preserve"> “Sex” used correctly.</w:t>
            </w:r>
            <w:r w:rsidRPr="00672DBE">
              <w:t xml:space="preserve"> Participants treated as binary sex. </w:t>
            </w:r>
          </w:p>
        </w:tc>
        <w:tc>
          <w:tcPr>
            <w:tcW w:w="2552" w:type="dxa"/>
            <w:hideMark/>
          </w:tcPr>
          <w:p w14:paraId="0E32620B" w14:textId="7CE34513" w:rsidR="00990A88" w:rsidRDefault="00EB2B55" w:rsidP="003414BB">
            <w:r w:rsidRPr="00672DBE">
              <w:t>Prevalence of continuous polypharmacy</w:t>
            </w:r>
            <w:r w:rsidR="00990A88">
              <w:t xml:space="preserve"> </w:t>
            </w:r>
            <w:r w:rsidRPr="00672DBE">
              <w:t>(</w:t>
            </w:r>
            <w:r w:rsidR="00990A88">
              <w:t>5</w:t>
            </w:r>
            <w:r w:rsidR="00990A88" w:rsidRPr="00672DBE">
              <w:t xml:space="preserve"> </w:t>
            </w:r>
            <w:r w:rsidRPr="00672DBE">
              <w:t xml:space="preserve">or </w:t>
            </w:r>
            <w:r w:rsidR="00AE6D89">
              <w:t>5+</w:t>
            </w:r>
            <w:r w:rsidR="00AE6D89" w:rsidRPr="00672DBE">
              <w:t xml:space="preserve"> </w:t>
            </w:r>
            <w:r w:rsidRPr="00672DBE">
              <w:t>unique medicines dispensed</w:t>
            </w:r>
            <w:r w:rsidR="00990A88">
              <w:t>).</w:t>
            </w:r>
          </w:p>
          <w:p w14:paraId="2B9629F0" w14:textId="42570300" w:rsidR="00EB2B55" w:rsidRPr="00672DBE" w:rsidRDefault="00EB2B55" w:rsidP="003414BB">
            <w:r w:rsidRPr="00672DBE">
              <w:t>Changes in prevalence of continuous polypharmacy</w:t>
            </w:r>
            <w:r w:rsidR="00990A88">
              <w:t>.</w:t>
            </w:r>
          </w:p>
        </w:tc>
        <w:tc>
          <w:tcPr>
            <w:tcW w:w="4761" w:type="dxa"/>
            <w:hideMark/>
          </w:tcPr>
          <w:p w14:paraId="10E31034" w14:textId="185B9602" w:rsidR="00990A88" w:rsidRPr="0032283F" w:rsidRDefault="00EB2B55" w:rsidP="00390549">
            <w:pPr>
              <w:rPr>
                <w:rFonts w:cstheme="minorHAnsi"/>
              </w:rPr>
            </w:pPr>
            <w:r w:rsidRPr="0017388B">
              <w:rPr>
                <w:rFonts w:cstheme="minorHAnsi"/>
              </w:rPr>
              <w:t xml:space="preserve">• In 2017, 36.1% of </w:t>
            </w:r>
            <w:r w:rsidRPr="0032283F">
              <w:rPr>
                <w:rFonts w:cstheme="minorHAnsi"/>
              </w:rPr>
              <w:t xml:space="preserve">Australians </w:t>
            </w:r>
            <w:r w:rsidR="00990A88" w:rsidRPr="0032283F">
              <w:rPr>
                <w:rFonts w:cstheme="minorHAnsi"/>
              </w:rPr>
              <w:t xml:space="preserve">aged 70+ (~935,240 people) </w:t>
            </w:r>
            <w:r w:rsidRPr="0032283F">
              <w:rPr>
                <w:rFonts w:cstheme="minorHAnsi"/>
              </w:rPr>
              <w:t>were affected by continuous polypharmacy</w:t>
            </w:r>
            <w:r w:rsidR="00990A88" w:rsidRPr="0032283F">
              <w:rPr>
                <w:rFonts w:cstheme="minorHAnsi"/>
              </w:rPr>
              <w:t>.</w:t>
            </w:r>
          </w:p>
          <w:p w14:paraId="30111BB1" w14:textId="06DC3916" w:rsidR="00990A88" w:rsidRPr="0032283F" w:rsidRDefault="00EB2B55" w:rsidP="00390549">
            <w:pPr>
              <w:rPr>
                <w:rFonts w:cstheme="minorHAnsi"/>
              </w:rPr>
            </w:pPr>
            <w:r w:rsidRPr="0032283F">
              <w:rPr>
                <w:rFonts w:cstheme="minorHAnsi"/>
              </w:rPr>
              <w:t xml:space="preserve">• Rates of polypharmacy higher </w:t>
            </w:r>
            <w:r w:rsidR="00990A88" w:rsidRPr="0032283F">
              <w:rPr>
                <w:rFonts w:cstheme="minorHAnsi"/>
              </w:rPr>
              <w:t xml:space="preserve">for </w:t>
            </w:r>
            <w:r w:rsidRPr="0032283F">
              <w:rPr>
                <w:rFonts w:cstheme="minorHAnsi"/>
              </w:rPr>
              <w:t xml:space="preserve">women than men (5 </w:t>
            </w:r>
            <w:r w:rsidR="00990A88" w:rsidRPr="0032283F">
              <w:rPr>
                <w:rFonts w:cstheme="minorHAnsi"/>
              </w:rPr>
              <w:t>&amp; 5+</w:t>
            </w:r>
            <w:r w:rsidRPr="0032283F">
              <w:rPr>
                <w:rFonts w:cstheme="minorHAnsi"/>
              </w:rPr>
              <w:t>: 36.6% v 35.4%, 10</w:t>
            </w:r>
            <w:r w:rsidR="00990A88" w:rsidRPr="0032283F">
              <w:rPr>
                <w:rFonts w:cstheme="minorHAnsi"/>
              </w:rPr>
              <w:t>+</w:t>
            </w:r>
            <w:r w:rsidRPr="0032283F">
              <w:rPr>
                <w:rFonts w:cstheme="minorHAnsi"/>
              </w:rPr>
              <w:t>: 6.0% vs 5.7%)</w:t>
            </w:r>
            <w:r w:rsidR="00990A88" w:rsidRPr="0032283F">
              <w:rPr>
                <w:rFonts w:cstheme="minorHAnsi"/>
              </w:rPr>
              <w:t>;</w:t>
            </w:r>
            <w:r w:rsidRPr="0032283F">
              <w:rPr>
                <w:rFonts w:cstheme="minorHAnsi"/>
              </w:rPr>
              <w:t xml:space="preserve"> highest those aged 80–84 (43.9%) </w:t>
            </w:r>
            <w:r w:rsidR="00990A88" w:rsidRPr="0032283F">
              <w:rPr>
                <w:rFonts w:cstheme="minorHAnsi"/>
              </w:rPr>
              <w:t xml:space="preserve">&amp; </w:t>
            </w:r>
            <w:r w:rsidRPr="0032283F">
              <w:rPr>
                <w:rFonts w:cstheme="minorHAnsi"/>
              </w:rPr>
              <w:t>85–89 (46.0%).</w:t>
            </w:r>
          </w:p>
          <w:p w14:paraId="084526A1" w14:textId="74F1BE7D" w:rsidR="00390549" w:rsidRPr="00295724" w:rsidRDefault="00390549" w:rsidP="0032283F">
            <w:pPr>
              <w:pStyle w:val="NormalWeb"/>
              <w:shd w:val="clear" w:color="auto" w:fill="FFFFFF"/>
              <w:spacing w:before="0" w:beforeAutospacing="0" w:after="0" w:afterAutospacing="0"/>
              <w:rPr>
                <w:rFonts w:cstheme="minorHAnsi"/>
              </w:rPr>
            </w:pPr>
            <w:r w:rsidRPr="0032283F">
              <w:rPr>
                <w:rFonts w:asciiTheme="minorHAnsi" w:hAnsiTheme="minorHAnsi" w:cstheme="minorHAnsi"/>
                <w:sz w:val="22"/>
                <w:szCs w:val="22"/>
              </w:rPr>
              <w:t xml:space="preserve">• </w:t>
            </w:r>
            <w:r w:rsidRPr="0032283F">
              <w:rPr>
                <w:rFonts w:asciiTheme="minorHAnsi" w:hAnsiTheme="minorHAnsi" w:cstheme="minorHAnsi" w:hint="eastAsia"/>
                <w:sz w:val="22"/>
                <w:szCs w:val="22"/>
              </w:rPr>
              <w:t>Despite awareness</w:t>
            </w:r>
            <w:r>
              <w:rPr>
                <w:rFonts w:asciiTheme="minorHAnsi" w:hAnsiTheme="minorHAnsi" w:cstheme="minorHAnsi"/>
                <w:sz w:val="22"/>
                <w:szCs w:val="22"/>
              </w:rPr>
              <w:t>-</w:t>
            </w:r>
            <w:r w:rsidRPr="0032283F">
              <w:rPr>
                <w:rFonts w:asciiTheme="minorHAnsi" w:hAnsiTheme="minorHAnsi" w:cstheme="minorHAnsi" w:hint="eastAsia"/>
                <w:sz w:val="22"/>
                <w:szCs w:val="22"/>
              </w:rPr>
              <w:t xml:space="preserve">raising </w:t>
            </w:r>
            <w:r>
              <w:rPr>
                <w:rFonts w:asciiTheme="minorHAnsi" w:hAnsiTheme="minorHAnsi" w:cstheme="minorHAnsi"/>
                <w:sz w:val="22"/>
                <w:szCs w:val="22"/>
              </w:rPr>
              <w:t>&amp;</w:t>
            </w:r>
            <w:r w:rsidRPr="0032283F">
              <w:rPr>
                <w:rFonts w:asciiTheme="minorHAnsi" w:hAnsiTheme="minorHAnsi" w:cstheme="minorHAnsi" w:hint="eastAsia"/>
                <w:sz w:val="22"/>
                <w:szCs w:val="22"/>
              </w:rPr>
              <w:t xml:space="preserve"> evidence that poor clinical outcomes are associated with polypharmacy in older people, prescribing behaviour appear</w:t>
            </w:r>
            <w:r>
              <w:rPr>
                <w:rFonts w:asciiTheme="minorHAnsi" w:hAnsiTheme="minorHAnsi" w:cstheme="minorHAnsi"/>
                <w:sz w:val="22"/>
                <w:szCs w:val="22"/>
              </w:rPr>
              <w:t>s un</w:t>
            </w:r>
            <w:r w:rsidRPr="0032283F">
              <w:rPr>
                <w:rFonts w:asciiTheme="minorHAnsi" w:hAnsiTheme="minorHAnsi" w:cstheme="minorHAnsi" w:hint="eastAsia"/>
                <w:sz w:val="22"/>
                <w:szCs w:val="22"/>
              </w:rPr>
              <w:t xml:space="preserve">changed during past decade. </w:t>
            </w:r>
          </w:p>
          <w:p w14:paraId="66B31F72" w14:textId="4986BD29" w:rsidR="00EB2B55" w:rsidRPr="00672DBE" w:rsidRDefault="00EB2B55" w:rsidP="003414BB"/>
        </w:tc>
      </w:tr>
      <w:tr w:rsidR="00954954" w:rsidRPr="00672DBE" w14:paraId="41EA2725" w14:textId="77777777" w:rsidTr="005A6797">
        <w:trPr>
          <w:trHeight w:val="2592"/>
        </w:trPr>
        <w:tc>
          <w:tcPr>
            <w:tcW w:w="1271" w:type="dxa"/>
            <w:hideMark/>
          </w:tcPr>
          <w:p w14:paraId="6BD66CAA" w14:textId="3423AE00" w:rsidR="00EB2B55" w:rsidRPr="00672DBE" w:rsidRDefault="00EB2B55" w:rsidP="003414BB">
            <w:r w:rsidRPr="00672DBE">
              <w:lastRenderedPageBreak/>
              <w:t>Perera et al.</w:t>
            </w:r>
            <w:r w:rsidR="00DD4DC6">
              <w:t>,</w:t>
            </w:r>
            <w:r w:rsidRPr="00672DBE">
              <w:t xml:space="preserve"> 2021, Australia</w:t>
            </w:r>
          </w:p>
        </w:tc>
        <w:tc>
          <w:tcPr>
            <w:tcW w:w="2552" w:type="dxa"/>
            <w:hideMark/>
          </w:tcPr>
          <w:p w14:paraId="1D35A12B" w14:textId="5113A243" w:rsidR="00572A58" w:rsidRDefault="00EB2B55" w:rsidP="003414BB">
            <w:r w:rsidRPr="00672DBE">
              <w:t xml:space="preserve">To identify gender differences in healthy lifestyle adherence in patients treated with percutaneous coronary intervention (PCI) for </w:t>
            </w:r>
            <w:r w:rsidR="00572A58">
              <w:t>c</w:t>
            </w:r>
            <w:r w:rsidR="00572A58" w:rsidRPr="00672DBE">
              <w:t xml:space="preserve">oronary </w:t>
            </w:r>
            <w:r w:rsidRPr="00672DBE">
              <w:t>artery disease (CAD)</w:t>
            </w:r>
            <w:r w:rsidR="00572A58">
              <w:t>.</w:t>
            </w:r>
          </w:p>
          <w:p w14:paraId="1C13B331" w14:textId="65CB8378" w:rsidR="00EB2B55" w:rsidRPr="00672DBE" w:rsidRDefault="00EB2B55" w:rsidP="00572A58">
            <w:r w:rsidRPr="00672DBE">
              <w:t>Secondary analysis from Victorian Cardiac Outcomes Registry</w:t>
            </w:r>
            <w:r w:rsidR="00CB7FF9">
              <w:t>.</w:t>
            </w:r>
          </w:p>
        </w:tc>
        <w:tc>
          <w:tcPr>
            <w:tcW w:w="2673" w:type="dxa"/>
            <w:hideMark/>
          </w:tcPr>
          <w:p w14:paraId="29DCE434" w14:textId="745B39E1" w:rsidR="005F698F" w:rsidRDefault="00EB2B55" w:rsidP="003414BB">
            <w:r w:rsidRPr="00672DBE">
              <w:t xml:space="preserve">729 </w:t>
            </w:r>
            <w:r w:rsidR="005F698F">
              <w:t>consecutive patients treated with PCI</w:t>
            </w:r>
            <w:r w:rsidR="005F698F" w:rsidRPr="00672DBE">
              <w:t xml:space="preserve"> </w:t>
            </w:r>
            <w:r w:rsidRPr="00672DBE">
              <w:t>(</w:t>
            </w:r>
            <w:r w:rsidR="005F698F">
              <w:t>w</w:t>
            </w:r>
            <w:r w:rsidR="005F698F" w:rsidRPr="00672DBE">
              <w:t xml:space="preserve">omen </w:t>
            </w:r>
            <w:r w:rsidRPr="00672DBE">
              <w:t>n=192, 26.3%)</w:t>
            </w:r>
            <w:r w:rsidR="005F698F">
              <w:t>.</w:t>
            </w:r>
          </w:p>
          <w:p w14:paraId="3ACE205D" w14:textId="23D7A471" w:rsidR="00EB2B55" w:rsidRPr="00672DBE" w:rsidRDefault="005F698F" w:rsidP="003414BB">
            <w:r>
              <w:t>3</w:t>
            </w:r>
            <w:r w:rsidR="00EB2B55" w:rsidRPr="00672DBE">
              <w:t xml:space="preserve"> tertiary institutions (Monash Health, Alfred Health</w:t>
            </w:r>
            <w:r>
              <w:t>,</w:t>
            </w:r>
            <w:r w:rsidR="00EB2B55" w:rsidRPr="00672DBE">
              <w:t xml:space="preserve"> Peninsula Health).</w:t>
            </w:r>
          </w:p>
        </w:tc>
        <w:tc>
          <w:tcPr>
            <w:tcW w:w="1579" w:type="dxa"/>
            <w:hideMark/>
          </w:tcPr>
          <w:p w14:paraId="10BC6728" w14:textId="14B86CA4" w:rsidR="00EB2B55" w:rsidRPr="00672DBE" w:rsidRDefault="00EB2B55" w:rsidP="003414BB">
            <w:r w:rsidRPr="00672DBE">
              <w:t xml:space="preserve">No definition of sex/gender. </w:t>
            </w:r>
            <w:r w:rsidR="00106AD0">
              <w:t xml:space="preserve">“Gender” used for sex. </w:t>
            </w:r>
            <w:r w:rsidRPr="00672DBE">
              <w:t xml:space="preserve">Participants treated as binary sex. </w:t>
            </w:r>
          </w:p>
        </w:tc>
        <w:tc>
          <w:tcPr>
            <w:tcW w:w="2552" w:type="dxa"/>
            <w:hideMark/>
          </w:tcPr>
          <w:p w14:paraId="6CD7E016" w14:textId="5CF0F508" w:rsidR="005F698F" w:rsidRDefault="00EB2B55" w:rsidP="003414BB">
            <w:r w:rsidRPr="00672DBE">
              <w:t>Gender</w:t>
            </w:r>
            <w:r w:rsidR="00106AD0">
              <w:t xml:space="preserve"> (=sex)</w:t>
            </w:r>
            <w:r w:rsidRPr="00672DBE">
              <w:t xml:space="preserve"> differences in adherence </w:t>
            </w:r>
            <w:r w:rsidR="005F698F">
              <w:t>to</w:t>
            </w:r>
            <w:r w:rsidRPr="00672DBE">
              <w:t xml:space="preserve"> heart-healthy diet, being physically active, not smoking, cardiac rehabilitation attendance, medication use at 12-months</w:t>
            </w:r>
            <w:r w:rsidR="005F698F">
              <w:t>.</w:t>
            </w:r>
          </w:p>
          <w:p w14:paraId="26CE1511" w14:textId="308F9FDC" w:rsidR="00EB2B55" w:rsidRPr="00672DBE" w:rsidRDefault="005F698F" w:rsidP="003414BB">
            <w:r>
              <w:t>L</w:t>
            </w:r>
            <w:r w:rsidR="00EB2B55" w:rsidRPr="00672DBE">
              <w:t>ipid levels</w:t>
            </w:r>
            <w:r>
              <w:t>.</w:t>
            </w:r>
          </w:p>
        </w:tc>
        <w:tc>
          <w:tcPr>
            <w:tcW w:w="4761" w:type="dxa"/>
            <w:hideMark/>
          </w:tcPr>
          <w:p w14:paraId="4B0AF51B" w14:textId="10F4966A" w:rsidR="00EB2B55" w:rsidRPr="00772AD3" w:rsidRDefault="00EB2B55" w:rsidP="00772AD3">
            <w:pPr>
              <w:rPr>
                <w:rFonts w:cstheme="minorHAnsi"/>
              </w:rPr>
            </w:pPr>
            <w:r w:rsidRPr="00672DBE">
              <w:t xml:space="preserve">• </w:t>
            </w:r>
            <w:r w:rsidRPr="00772AD3">
              <w:rPr>
                <w:rFonts w:cstheme="minorHAnsi"/>
              </w:rPr>
              <w:t>Women less likely to attend cardiac rehabilitation or achieve target lipid levels</w:t>
            </w:r>
            <w:r w:rsidR="001610A4" w:rsidRPr="00772AD3">
              <w:rPr>
                <w:rFonts w:cstheme="minorHAnsi"/>
              </w:rPr>
              <w:t>.</w:t>
            </w:r>
          </w:p>
          <w:p w14:paraId="3817F065" w14:textId="338EB904" w:rsidR="001610A4" w:rsidRPr="00772AD3" w:rsidRDefault="00EB2B55" w:rsidP="00772AD3">
            <w:pPr>
              <w:rPr>
                <w:rFonts w:cstheme="minorHAnsi"/>
              </w:rPr>
            </w:pPr>
            <w:r w:rsidRPr="00772AD3">
              <w:rPr>
                <w:rFonts w:cstheme="minorHAnsi"/>
              </w:rPr>
              <w:t>• 56% adhere</w:t>
            </w:r>
            <w:r w:rsidR="001610A4" w:rsidRPr="00772AD3">
              <w:rPr>
                <w:rFonts w:cstheme="minorHAnsi"/>
              </w:rPr>
              <w:t>d</w:t>
            </w:r>
            <w:r w:rsidRPr="00772AD3">
              <w:rPr>
                <w:rFonts w:cstheme="minorHAnsi"/>
              </w:rPr>
              <w:t xml:space="preserve"> to all </w:t>
            </w:r>
            <w:r w:rsidR="001610A4" w:rsidRPr="00772AD3">
              <w:rPr>
                <w:rFonts w:cstheme="minorHAnsi"/>
              </w:rPr>
              <w:t xml:space="preserve">3 </w:t>
            </w:r>
            <w:r w:rsidRPr="00772AD3">
              <w:rPr>
                <w:rFonts w:cstheme="minorHAnsi"/>
              </w:rPr>
              <w:t>lifestyle measures</w:t>
            </w:r>
            <w:r w:rsidR="001610A4" w:rsidRPr="00772AD3">
              <w:rPr>
                <w:rFonts w:cstheme="minorHAnsi"/>
              </w:rPr>
              <w:t>,</w:t>
            </w:r>
            <w:r w:rsidRPr="00772AD3">
              <w:rPr>
                <w:rFonts w:cstheme="minorHAnsi"/>
              </w:rPr>
              <w:t xml:space="preserve"> no gender difference</w:t>
            </w:r>
            <w:r w:rsidR="001610A4" w:rsidRPr="00772AD3">
              <w:rPr>
                <w:rFonts w:cstheme="minorHAnsi"/>
              </w:rPr>
              <w:t>.</w:t>
            </w:r>
          </w:p>
          <w:p w14:paraId="4B1DA641" w14:textId="2463525A" w:rsidR="001610A4" w:rsidRPr="00772AD3" w:rsidRDefault="00EB2B55" w:rsidP="00772AD3">
            <w:pPr>
              <w:rPr>
                <w:rFonts w:cstheme="minorHAnsi"/>
              </w:rPr>
            </w:pPr>
            <w:r w:rsidRPr="00772AD3">
              <w:rPr>
                <w:rFonts w:cstheme="minorHAnsi"/>
              </w:rPr>
              <w:t xml:space="preserve">• </w:t>
            </w:r>
            <w:r w:rsidR="001610A4" w:rsidRPr="00772AD3">
              <w:rPr>
                <w:rFonts w:cstheme="minorHAnsi"/>
              </w:rPr>
              <w:t xml:space="preserve">Women less likely than </w:t>
            </w:r>
            <w:r w:rsidRPr="00772AD3">
              <w:rPr>
                <w:rFonts w:cstheme="minorHAnsi"/>
              </w:rPr>
              <w:t>men to smoke (7.7% versus 12.2%, p,0.001)</w:t>
            </w:r>
            <w:r w:rsidR="001610A4" w:rsidRPr="00772AD3">
              <w:rPr>
                <w:rFonts w:cstheme="minorHAnsi"/>
              </w:rPr>
              <w:t>,</w:t>
            </w:r>
            <w:r w:rsidRPr="00772AD3">
              <w:rPr>
                <w:rFonts w:cstheme="minorHAnsi"/>
              </w:rPr>
              <w:t xml:space="preserve"> to be physically active (61.5% versus 78.2%; p,0.0001), attend cardiac rehabilitation (58.2% versus 66.4%; p,0.045), </w:t>
            </w:r>
            <w:r w:rsidR="001610A4" w:rsidRPr="00772AD3">
              <w:rPr>
                <w:rFonts w:cstheme="minorHAnsi"/>
              </w:rPr>
              <w:t xml:space="preserve">&amp; </w:t>
            </w:r>
            <w:r w:rsidRPr="00772AD3">
              <w:rPr>
                <w:rFonts w:cstheme="minorHAnsi"/>
              </w:rPr>
              <w:t>take statin therapy (85.4% versus 94.7%; p,0.0001)</w:t>
            </w:r>
            <w:r w:rsidR="001610A4" w:rsidRPr="00772AD3">
              <w:rPr>
                <w:rFonts w:cstheme="minorHAnsi"/>
              </w:rPr>
              <w:t>.</w:t>
            </w:r>
          </w:p>
          <w:p w14:paraId="2B1F51A0" w14:textId="77777777" w:rsidR="00EB2B55" w:rsidRPr="00772AD3" w:rsidRDefault="00EB2B55" w:rsidP="00772AD3">
            <w:pPr>
              <w:rPr>
                <w:rFonts w:cstheme="minorHAnsi"/>
              </w:rPr>
            </w:pPr>
            <w:r w:rsidRPr="00772AD3">
              <w:rPr>
                <w:rFonts w:cstheme="minorHAnsi"/>
              </w:rPr>
              <w:t xml:space="preserve">• </w:t>
            </w:r>
            <w:r w:rsidR="001610A4" w:rsidRPr="00772AD3">
              <w:rPr>
                <w:rFonts w:cstheme="minorHAnsi"/>
              </w:rPr>
              <w:t xml:space="preserve">Being female </w:t>
            </w:r>
            <w:r w:rsidRPr="00772AD3">
              <w:rPr>
                <w:rFonts w:cstheme="minorHAnsi"/>
              </w:rPr>
              <w:t>independently predicted physical inactivity (OR 2.41, 95% CI 1.57–3.68, p,0.001).</w:t>
            </w:r>
          </w:p>
          <w:p w14:paraId="7E69F508" w14:textId="07AD2565" w:rsidR="00772AD3" w:rsidRPr="001A192A" w:rsidRDefault="00772AD3" w:rsidP="001A192A">
            <w:pPr>
              <w:pStyle w:val="NormalWeb"/>
              <w:spacing w:before="0" w:beforeAutospacing="0" w:after="0" w:afterAutospacing="0"/>
              <w:rPr>
                <w:rFonts w:asciiTheme="minorHAnsi" w:hAnsiTheme="minorHAnsi" w:cstheme="minorHAnsi"/>
                <w:sz w:val="22"/>
                <w:szCs w:val="22"/>
              </w:rPr>
            </w:pPr>
            <w:r w:rsidRPr="00772AD3">
              <w:rPr>
                <w:rFonts w:asciiTheme="minorHAnsi" w:hAnsiTheme="minorHAnsi" w:cstheme="minorHAnsi"/>
                <w:sz w:val="22"/>
                <w:szCs w:val="22"/>
              </w:rPr>
              <w:t xml:space="preserve">• Authors offer gendered explanations, e.g., being self-conscious about appearance, discomfort in groups, limited time. </w:t>
            </w:r>
          </w:p>
        </w:tc>
      </w:tr>
      <w:tr w:rsidR="00954954" w:rsidRPr="00672DBE" w14:paraId="1F6138DC" w14:textId="77777777" w:rsidTr="005A6797">
        <w:trPr>
          <w:trHeight w:val="3456"/>
        </w:trPr>
        <w:tc>
          <w:tcPr>
            <w:tcW w:w="1271" w:type="dxa"/>
            <w:hideMark/>
          </w:tcPr>
          <w:p w14:paraId="4EEC9E5E" w14:textId="08C575E6" w:rsidR="00EB2B55" w:rsidRPr="00672DBE" w:rsidRDefault="00EB2B55" w:rsidP="003414BB">
            <w:r w:rsidRPr="00672DBE">
              <w:t>Riggs et al.</w:t>
            </w:r>
            <w:r w:rsidR="00DD4DC6">
              <w:t>,</w:t>
            </w:r>
            <w:r w:rsidRPr="00672DBE">
              <w:t xml:space="preserve"> 2014, Australia</w:t>
            </w:r>
          </w:p>
        </w:tc>
        <w:tc>
          <w:tcPr>
            <w:tcW w:w="2552" w:type="dxa"/>
            <w:hideMark/>
          </w:tcPr>
          <w:p w14:paraId="6F862F31" w14:textId="2382B51E" w:rsidR="001610A4" w:rsidRDefault="00EB2B55" w:rsidP="003414BB">
            <w:r w:rsidRPr="00672DBE">
              <w:t xml:space="preserve">To examine experiences of </w:t>
            </w:r>
            <w:r w:rsidR="001610A4" w:rsidRPr="00672DBE">
              <w:t>gender</w:t>
            </w:r>
            <w:r w:rsidR="001610A4">
              <w:t>-</w:t>
            </w:r>
            <w:r w:rsidRPr="00672DBE">
              <w:t>diverse Australians</w:t>
            </w:r>
            <w:r w:rsidR="001610A4">
              <w:t>.</w:t>
            </w:r>
          </w:p>
          <w:p w14:paraId="625F7269" w14:textId="7D60941A" w:rsidR="001610A4" w:rsidRDefault="001610A4" w:rsidP="003414BB">
            <w:r>
              <w:t>T</w:t>
            </w:r>
            <w:r w:rsidR="00EB2B55" w:rsidRPr="00672DBE">
              <w:t xml:space="preserve">o identify relationships between demographic </w:t>
            </w:r>
            <w:r>
              <w:t>&amp;</w:t>
            </w:r>
            <w:r w:rsidRPr="00672DBE">
              <w:t xml:space="preserve"> </w:t>
            </w:r>
            <w:r w:rsidR="00EB2B55" w:rsidRPr="00672DBE">
              <w:t xml:space="preserve">health variables </w:t>
            </w:r>
            <w:r>
              <w:t>&amp;</w:t>
            </w:r>
            <w:r w:rsidRPr="00672DBE">
              <w:t xml:space="preserve"> </w:t>
            </w:r>
            <w:r w:rsidR="00EB2B55" w:rsidRPr="00672DBE">
              <w:t>healthcare experiences</w:t>
            </w:r>
            <w:r>
              <w:t>.</w:t>
            </w:r>
          </w:p>
          <w:p w14:paraId="66845383" w14:textId="1C819581" w:rsidR="00EB2B55" w:rsidRPr="00672DBE" w:rsidRDefault="00EB2B55" w:rsidP="001610A4">
            <w:r w:rsidRPr="00672DBE">
              <w:t>Cross sectional</w:t>
            </w:r>
            <w:r w:rsidR="00DC75B2">
              <w:t xml:space="preserve"> online</w:t>
            </w:r>
            <w:r w:rsidRPr="00672DBE">
              <w:t xml:space="preserve"> </w:t>
            </w:r>
            <w:r w:rsidR="001610A4" w:rsidRPr="00672DBE">
              <w:t>s</w:t>
            </w:r>
            <w:r w:rsidR="001610A4">
              <w:t>urvey</w:t>
            </w:r>
            <w:r w:rsidR="00DC75B2">
              <w:t>s</w:t>
            </w:r>
            <w:r w:rsidR="001610A4">
              <w:t>.</w:t>
            </w:r>
          </w:p>
        </w:tc>
        <w:tc>
          <w:tcPr>
            <w:tcW w:w="2673" w:type="dxa"/>
            <w:hideMark/>
          </w:tcPr>
          <w:p w14:paraId="550DC8DE" w14:textId="757B6BBD" w:rsidR="00DC75B2" w:rsidRDefault="00DC75B2" w:rsidP="003414BB">
            <w:r>
              <w:t xml:space="preserve">Survey 1: </w:t>
            </w:r>
            <w:r w:rsidR="00EB2B55" w:rsidRPr="00672DBE">
              <w:t xml:space="preserve">110 people </w:t>
            </w:r>
            <w:proofErr w:type="gramStart"/>
            <w:r w:rsidR="00EB2B55" w:rsidRPr="00672DBE">
              <w:t>male</w:t>
            </w:r>
            <w:proofErr w:type="gramEnd"/>
            <w:r w:rsidR="00EB2B55" w:rsidRPr="00672DBE">
              <w:t xml:space="preserve"> assigned at birth (MAAB) but not identify</w:t>
            </w:r>
            <w:r>
              <w:t>ing</w:t>
            </w:r>
            <w:r w:rsidR="00EB2B55" w:rsidRPr="00672DBE">
              <w:t xml:space="preserve"> as male</w:t>
            </w:r>
            <w:r>
              <w:t>.</w:t>
            </w:r>
          </w:p>
          <w:p w14:paraId="7D84C0D9" w14:textId="5CEE653A" w:rsidR="00EB2B55" w:rsidRPr="00672DBE" w:rsidRDefault="00EB2B55" w:rsidP="003414BB">
            <w:r w:rsidRPr="00672DBE">
              <w:t>Survey</w:t>
            </w:r>
            <w:r w:rsidR="00DC75B2">
              <w:t xml:space="preserve"> 2:</w:t>
            </w:r>
            <w:r w:rsidRPr="00672DBE">
              <w:t xml:space="preserve"> 78 people </w:t>
            </w:r>
            <w:proofErr w:type="gramStart"/>
            <w:r w:rsidRPr="00672DBE">
              <w:t>female</w:t>
            </w:r>
            <w:proofErr w:type="gramEnd"/>
            <w:r w:rsidRPr="00672DBE">
              <w:t xml:space="preserve"> assigned at birth (FAAB) but not identify</w:t>
            </w:r>
            <w:r w:rsidR="00DC75B2">
              <w:t>ing</w:t>
            </w:r>
            <w:r w:rsidRPr="00672DBE">
              <w:t xml:space="preserve"> as female</w:t>
            </w:r>
            <w:r w:rsidR="00DC75B2">
              <w:t>.</w:t>
            </w:r>
          </w:p>
        </w:tc>
        <w:tc>
          <w:tcPr>
            <w:tcW w:w="1579" w:type="dxa"/>
            <w:hideMark/>
          </w:tcPr>
          <w:p w14:paraId="68E73320" w14:textId="40AE55AF" w:rsidR="00EB2B55" w:rsidRPr="00672DBE" w:rsidRDefault="00EB2B55" w:rsidP="00B63125">
            <w:r w:rsidRPr="00672DBE">
              <w:t>Gender</w:t>
            </w:r>
            <w:r w:rsidR="00B63125">
              <w:t>, sex, &amp; gender diversity clearly defined &amp; used consistently.</w:t>
            </w:r>
            <w:r w:rsidRPr="00672DBE">
              <w:t xml:space="preserve"> </w:t>
            </w:r>
          </w:p>
        </w:tc>
        <w:tc>
          <w:tcPr>
            <w:tcW w:w="2552" w:type="dxa"/>
            <w:hideMark/>
          </w:tcPr>
          <w:p w14:paraId="179A5001" w14:textId="2F51E634" w:rsidR="00B63125" w:rsidRDefault="00B63125" w:rsidP="003414BB">
            <w:r>
              <w:t>First-person accounts from</w:t>
            </w:r>
            <w:r w:rsidR="00EB2B55" w:rsidRPr="00672DBE">
              <w:t xml:space="preserve"> </w:t>
            </w:r>
            <w:r w:rsidRPr="00672DBE">
              <w:t>gender</w:t>
            </w:r>
            <w:r>
              <w:t>-</w:t>
            </w:r>
            <w:r w:rsidR="00EB2B55" w:rsidRPr="00672DBE">
              <w:t>diverse people</w:t>
            </w:r>
            <w:r>
              <w:t>.</w:t>
            </w:r>
          </w:p>
          <w:p w14:paraId="08A13ADB" w14:textId="40BFB756" w:rsidR="00EB2B55" w:rsidRPr="00672DBE" w:rsidRDefault="00EB2B55" w:rsidP="003414BB">
            <w:r w:rsidRPr="00672DBE">
              <w:t xml:space="preserve">Relationships between demographic </w:t>
            </w:r>
            <w:r w:rsidR="00B63125">
              <w:t>&amp;</w:t>
            </w:r>
            <w:r w:rsidR="00B63125" w:rsidRPr="00672DBE">
              <w:t xml:space="preserve"> </w:t>
            </w:r>
            <w:r w:rsidRPr="00672DBE">
              <w:t xml:space="preserve">health variables </w:t>
            </w:r>
            <w:r w:rsidR="00B63125">
              <w:t>&amp;</w:t>
            </w:r>
            <w:r w:rsidR="00B63125" w:rsidRPr="00672DBE">
              <w:t xml:space="preserve"> </w:t>
            </w:r>
            <w:r w:rsidRPr="00672DBE">
              <w:t>healthcare experiences.</w:t>
            </w:r>
          </w:p>
        </w:tc>
        <w:tc>
          <w:tcPr>
            <w:tcW w:w="4761" w:type="dxa"/>
            <w:hideMark/>
          </w:tcPr>
          <w:p w14:paraId="6D78E58A" w14:textId="43F67124" w:rsidR="005C7BE6" w:rsidRPr="001A192A" w:rsidRDefault="00106AD0" w:rsidP="00A2780B">
            <w:pPr>
              <w:pStyle w:val="NormalWeb"/>
              <w:spacing w:before="0" w:beforeAutospacing="0" w:after="0" w:afterAutospacing="0"/>
              <w:rPr>
                <w:rFonts w:asciiTheme="minorHAnsi" w:hAnsiTheme="minorHAnsi" w:cstheme="minorHAnsi"/>
                <w:sz w:val="22"/>
                <w:szCs w:val="22"/>
              </w:rPr>
            </w:pPr>
            <w:r w:rsidRPr="00295724">
              <w:rPr>
                <w:rFonts w:cstheme="minorHAnsi"/>
              </w:rPr>
              <w:t xml:space="preserve">• </w:t>
            </w:r>
            <w:r w:rsidR="005C7BE6" w:rsidRPr="001A192A">
              <w:rPr>
                <w:rFonts w:asciiTheme="minorHAnsi" w:hAnsiTheme="minorHAnsi" w:cstheme="minorHAnsi"/>
                <w:sz w:val="22"/>
                <w:szCs w:val="22"/>
              </w:rPr>
              <w:t>Clear</w:t>
            </w:r>
            <w:r w:rsidR="005C7BE6" w:rsidRPr="001A192A">
              <w:rPr>
                <w:rFonts w:cstheme="minorHAnsi"/>
                <w:sz w:val="22"/>
                <w:szCs w:val="22"/>
              </w:rPr>
              <w:t xml:space="preserve"> </w:t>
            </w:r>
            <w:r w:rsidR="005C7BE6" w:rsidRPr="001A192A">
              <w:rPr>
                <w:rFonts w:asciiTheme="minorHAnsi" w:hAnsiTheme="minorHAnsi" w:cstheme="minorHAnsi"/>
                <w:sz w:val="22"/>
                <w:szCs w:val="22"/>
              </w:rPr>
              <w:t xml:space="preserve">need for increased education of medical practitioners about gender-diverse clients. </w:t>
            </w:r>
          </w:p>
          <w:p w14:paraId="4938C1F3" w14:textId="437761F7" w:rsidR="00E24C11" w:rsidRPr="001A192A" w:rsidRDefault="00EB2B55" w:rsidP="003414BB">
            <w:pPr>
              <w:rPr>
                <w:rFonts w:cstheme="minorHAnsi"/>
              </w:rPr>
            </w:pPr>
            <w:r w:rsidRPr="001A192A">
              <w:rPr>
                <w:rFonts w:cstheme="minorHAnsi"/>
              </w:rPr>
              <w:t xml:space="preserve">• 70% had </w:t>
            </w:r>
            <w:r w:rsidR="00E24C11" w:rsidRPr="001A192A">
              <w:rPr>
                <w:rFonts w:cstheme="minorHAnsi"/>
              </w:rPr>
              <w:t xml:space="preserve">consulted </w:t>
            </w:r>
            <w:r w:rsidRPr="001A192A">
              <w:rPr>
                <w:rFonts w:cstheme="minorHAnsi"/>
              </w:rPr>
              <w:t>a psychiatrist</w:t>
            </w:r>
            <w:r w:rsidR="00E24C11" w:rsidRPr="001A192A">
              <w:rPr>
                <w:rFonts w:cstheme="minorHAnsi"/>
              </w:rPr>
              <w:t>.</w:t>
            </w:r>
          </w:p>
          <w:p w14:paraId="57E5E725" w14:textId="20D61A2B" w:rsidR="00E24C11" w:rsidRPr="001A192A" w:rsidRDefault="00EB2B55" w:rsidP="003414BB">
            <w:pPr>
              <w:rPr>
                <w:rFonts w:cstheme="minorHAnsi"/>
              </w:rPr>
            </w:pPr>
            <w:r w:rsidRPr="001A192A">
              <w:rPr>
                <w:rFonts w:cstheme="minorHAnsi"/>
              </w:rPr>
              <w:t xml:space="preserve">• MAAB </w:t>
            </w:r>
            <w:r w:rsidR="00E24C11" w:rsidRPr="001A192A">
              <w:rPr>
                <w:rFonts w:cstheme="minorHAnsi"/>
              </w:rPr>
              <w:t xml:space="preserve">participants </w:t>
            </w:r>
            <w:r w:rsidRPr="001A192A">
              <w:rPr>
                <w:rFonts w:cstheme="minorHAnsi"/>
              </w:rPr>
              <w:t xml:space="preserve">rated experiences with psychiatrists more highly than FAAB. </w:t>
            </w:r>
          </w:p>
          <w:p w14:paraId="178CCA1C" w14:textId="50B6A974" w:rsidR="00E24C11" w:rsidRPr="001A192A" w:rsidRDefault="00E24C11" w:rsidP="003414BB">
            <w:pPr>
              <w:rPr>
                <w:rFonts w:cstheme="minorHAnsi"/>
              </w:rPr>
            </w:pPr>
            <w:r w:rsidRPr="001A192A">
              <w:rPr>
                <w:rFonts w:cstheme="minorHAnsi"/>
              </w:rPr>
              <w:t xml:space="preserve">• </w:t>
            </w:r>
            <w:r w:rsidR="00EB2B55" w:rsidRPr="001A192A">
              <w:rPr>
                <w:rFonts w:cstheme="minorHAnsi"/>
              </w:rPr>
              <w:t xml:space="preserve">80% of participants had </w:t>
            </w:r>
            <w:r w:rsidRPr="001A192A">
              <w:rPr>
                <w:rFonts w:cstheme="minorHAnsi"/>
              </w:rPr>
              <w:t xml:space="preserve">consulted </w:t>
            </w:r>
            <w:r w:rsidR="00EB2B55" w:rsidRPr="001A192A">
              <w:rPr>
                <w:rFonts w:cstheme="minorHAnsi"/>
              </w:rPr>
              <w:t>a GP</w:t>
            </w:r>
            <w:r w:rsidRPr="001A192A">
              <w:rPr>
                <w:rFonts w:cstheme="minorHAnsi"/>
              </w:rPr>
              <w:t>.</w:t>
            </w:r>
          </w:p>
          <w:p w14:paraId="2CCFE437" w14:textId="1F44FF88" w:rsidR="00E24C11" w:rsidRPr="001A192A" w:rsidRDefault="00EB2B55" w:rsidP="003414BB">
            <w:pPr>
              <w:rPr>
                <w:rFonts w:cstheme="minorHAnsi"/>
              </w:rPr>
            </w:pPr>
            <w:r w:rsidRPr="001A192A">
              <w:rPr>
                <w:rFonts w:cstheme="minorHAnsi"/>
              </w:rPr>
              <w:t xml:space="preserve">• Comfort with </w:t>
            </w:r>
            <w:r w:rsidR="00E24C11" w:rsidRPr="001A192A">
              <w:rPr>
                <w:rFonts w:cstheme="minorHAnsi"/>
              </w:rPr>
              <w:t xml:space="preserve">&amp; </w:t>
            </w:r>
            <w:r w:rsidRPr="001A192A">
              <w:rPr>
                <w:rFonts w:cstheme="minorHAnsi"/>
              </w:rPr>
              <w:t xml:space="preserve">respect from GP were positively correlated with </w:t>
            </w:r>
            <w:r w:rsidR="00E24C11" w:rsidRPr="001A192A">
              <w:rPr>
                <w:rFonts w:cstheme="minorHAnsi"/>
              </w:rPr>
              <w:t xml:space="preserve">good </w:t>
            </w:r>
            <w:r w:rsidRPr="001A192A">
              <w:rPr>
                <w:rFonts w:cstheme="minorHAnsi"/>
              </w:rPr>
              <w:t>mental health</w:t>
            </w:r>
            <w:r w:rsidR="00E24C11" w:rsidRPr="001A192A">
              <w:rPr>
                <w:rFonts w:cstheme="minorHAnsi"/>
              </w:rPr>
              <w:t xml:space="preserve">; </w:t>
            </w:r>
            <w:r w:rsidRPr="001A192A">
              <w:rPr>
                <w:rFonts w:cstheme="minorHAnsi"/>
              </w:rPr>
              <w:t>discrimination was negatively correlated</w:t>
            </w:r>
            <w:r w:rsidR="00E24C11" w:rsidRPr="001A192A">
              <w:rPr>
                <w:rFonts w:cstheme="minorHAnsi"/>
              </w:rPr>
              <w:t>.</w:t>
            </w:r>
          </w:p>
          <w:p w14:paraId="030F16BF" w14:textId="130583E6" w:rsidR="00E24C11" w:rsidRPr="001A192A" w:rsidRDefault="00EB2B55" w:rsidP="00E24C11">
            <w:pPr>
              <w:rPr>
                <w:rFonts w:cstheme="minorHAnsi"/>
              </w:rPr>
            </w:pPr>
            <w:r w:rsidRPr="001A192A">
              <w:rPr>
                <w:rFonts w:cstheme="minorHAnsi"/>
              </w:rPr>
              <w:t xml:space="preserve">• 42.5% of participants had sex-affirming surgery; </w:t>
            </w:r>
            <w:r w:rsidR="00E24C11" w:rsidRPr="001A192A">
              <w:rPr>
                <w:rFonts w:cstheme="minorHAnsi"/>
              </w:rPr>
              <w:t xml:space="preserve">they </w:t>
            </w:r>
            <w:r w:rsidRPr="001A192A">
              <w:rPr>
                <w:rFonts w:cstheme="minorHAnsi"/>
              </w:rPr>
              <w:t xml:space="preserve">reported </w:t>
            </w:r>
            <w:r w:rsidR="00E24C11" w:rsidRPr="001A192A">
              <w:rPr>
                <w:rFonts w:cstheme="minorHAnsi"/>
              </w:rPr>
              <w:t>better</w:t>
            </w:r>
            <w:r w:rsidRPr="001A192A">
              <w:rPr>
                <w:rFonts w:cstheme="minorHAnsi"/>
              </w:rPr>
              <w:t xml:space="preserve"> physical </w:t>
            </w:r>
            <w:r w:rsidR="00E24C11" w:rsidRPr="001A192A">
              <w:rPr>
                <w:rFonts w:cstheme="minorHAnsi"/>
              </w:rPr>
              <w:t xml:space="preserve">&amp; </w:t>
            </w:r>
            <w:r w:rsidRPr="001A192A">
              <w:rPr>
                <w:rFonts w:cstheme="minorHAnsi"/>
              </w:rPr>
              <w:t xml:space="preserve">mental health than those who had not </w:t>
            </w:r>
            <w:r w:rsidR="00E24C11" w:rsidRPr="001A192A">
              <w:rPr>
                <w:rFonts w:cstheme="minorHAnsi"/>
              </w:rPr>
              <w:t>had</w:t>
            </w:r>
            <w:r w:rsidR="00B81520" w:rsidRPr="001A192A">
              <w:rPr>
                <w:rFonts w:cstheme="minorHAnsi"/>
              </w:rPr>
              <w:t xml:space="preserve"> </w:t>
            </w:r>
            <w:r w:rsidRPr="001A192A">
              <w:rPr>
                <w:rFonts w:cstheme="minorHAnsi"/>
              </w:rPr>
              <w:t>surgery</w:t>
            </w:r>
            <w:r w:rsidR="00E24C11" w:rsidRPr="001A192A">
              <w:rPr>
                <w:rFonts w:cstheme="minorHAnsi"/>
              </w:rPr>
              <w:t>.</w:t>
            </w:r>
          </w:p>
          <w:p w14:paraId="4ECCBC50" w14:textId="1593BD5C" w:rsidR="00EB2B55" w:rsidRPr="00A2780B" w:rsidRDefault="00EB2B55" w:rsidP="00E24C11">
            <w:pPr>
              <w:rPr>
                <w:rFonts w:cstheme="minorHAnsi"/>
              </w:rPr>
            </w:pPr>
            <w:r w:rsidRPr="001A192A">
              <w:rPr>
                <w:rFonts w:cstheme="minorHAnsi"/>
              </w:rPr>
              <w:t>• MAAB</w:t>
            </w:r>
            <w:r w:rsidR="00B81520" w:rsidRPr="001A192A">
              <w:rPr>
                <w:rFonts w:cstheme="minorHAnsi"/>
              </w:rPr>
              <w:t xml:space="preserve"> participants</w:t>
            </w:r>
            <w:r w:rsidRPr="001A192A">
              <w:rPr>
                <w:rFonts w:cstheme="minorHAnsi"/>
              </w:rPr>
              <w:t xml:space="preserve"> reported more positive experiences of surgery than FAAB.</w:t>
            </w:r>
          </w:p>
        </w:tc>
      </w:tr>
      <w:tr w:rsidR="00DD708C" w:rsidRPr="00672DBE" w14:paraId="4EFAC45F" w14:textId="77777777" w:rsidTr="00DD708C">
        <w:trPr>
          <w:cantSplit/>
        </w:trPr>
        <w:tc>
          <w:tcPr>
            <w:tcW w:w="1271" w:type="dxa"/>
          </w:tcPr>
          <w:p w14:paraId="7EBE8665" w14:textId="7F0846AC" w:rsidR="00DD708C" w:rsidRPr="00DD708C" w:rsidRDefault="00DD708C" w:rsidP="00DD708C">
            <w:pPr>
              <w:rPr>
                <w:rFonts w:cstheme="minorHAnsi"/>
              </w:rPr>
            </w:pPr>
            <w:r w:rsidRPr="00DD708C">
              <w:rPr>
                <w:rFonts w:cstheme="minorHAnsi"/>
              </w:rPr>
              <w:lastRenderedPageBreak/>
              <w:t>Wang et al., 2022, Australia</w:t>
            </w:r>
          </w:p>
        </w:tc>
        <w:tc>
          <w:tcPr>
            <w:tcW w:w="2552" w:type="dxa"/>
          </w:tcPr>
          <w:p w14:paraId="791782BA" w14:textId="77777777" w:rsidR="00DD708C" w:rsidRDefault="00DD708C" w:rsidP="00DD708C">
            <w:pPr>
              <w:rPr>
                <w:rFonts w:cstheme="minorHAnsi"/>
              </w:rPr>
            </w:pPr>
            <w:r w:rsidRPr="00DD708C">
              <w:rPr>
                <w:rFonts w:cstheme="minorHAnsi"/>
              </w:rPr>
              <w:t>To examine whether pre-hospital emergency medical service care differs for women and men subsequently admitted to hospital with stroke.</w:t>
            </w:r>
          </w:p>
          <w:p w14:paraId="6E36C44E" w14:textId="2EAF372B" w:rsidR="00DD708C" w:rsidRPr="00DD708C" w:rsidRDefault="00DD708C" w:rsidP="00DD708C">
            <w:pPr>
              <w:rPr>
                <w:rFonts w:cstheme="minorHAnsi"/>
              </w:rPr>
            </w:pPr>
            <w:r>
              <w:rPr>
                <w:rFonts w:cstheme="minorHAnsi"/>
              </w:rPr>
              <w:t>Population-based cohort study.</w:t>
            </w:r>
          </w:p>
        </w:tc>
        <w:tc>
          <w:tcPr>
            <w:tcW w:w="2673" w:type="dxa"/>
          </w:tcPr>
          <w:p w14:paraId="4615C8AA" w14:textId="3F83749C" w:rsidR="00DD708C" w:rsidRPr="00DD708C" w:rsidRDefault="00DD708C" w:rsidP="00DD708C">
            <w:pPr>
              <w:rPr>
                <w:rFonts w:cstheme="minorHAnsi"/>
              </w:rPr>
            </w:pPr>
            <w:r w:rsidRPr="00DD708C">
              <w:rPr>
                <w:rFonts w:cstheme="minorHAnsi"/>
              </w:rPr>
              <w:t xml:space="preserve">101,357 </w:t>
            </w:r>
            <w:r>
              <w:rPr>
                <w:rFonts w:cstheme="minorHAnsi"/>
              </w:rPr>
              <w:t xml:space="preserve">people </w:t>
            </w:r>
            <w:r w:rsidRPr="00DD708C">
              <w:rPr>
                <w:rFonts w:cstheme="minorHAnsi"/>
              </w:rPr>
              <w:t>(46,907</w:t>
            </w:r>
            <w:r>
              <w:rPr>
                <w:rFonts w:cstheme="minorHAnsi"/>
              </w:rPr>
              <w:t xml:space="preserve"> women</w:t>
            </w:r>
            <w:r w:rsidRPr="00DD708C">
              <w:rPr>
                <w:rFonts w:cstheme="minorHAnsi"/>
              </w:rPr>
              <w:t>, 53, 967</w:t>
            </w:r>
            <w:r>
              <w:rPr>
                <w:rFonts w:cstheme="minorHAnsi"/>
              </w:rPr>
              <w:t xml:space="preserve"> men</w:t>
            </w:r>
            <w:r w:rsidRPr="00DD708C">
              <w:rPr>
                <w:rFonts w:cstheme="minorHAnsi"/>
              </w:rPr>
              <w:t>) with stroke conveyed by ambulance</w:t>
            </w:r>
            <w:r>
              <w:rPr>
                <w:rFonts w:cstheme="minorHAnsi"/>
              </w:rPr>
              <w:t xml:space="preserve"> to New South Wales hospitals.</w:t>
            </w:r>
          </w:p>
        </w:tc>
        <w:tc>
          <w:tcPr>
            <w:tcW w:w="1579" w:type="dxa"/>
          </w:tcPr>
          <w:p w14:paraId="4CC003FD" w14:textId="44E3C4DD" w:rsidR="00DD708C" w:rsidRPr="00DD708C" w:rsidRDefault="00DD708C" w:rsidP="00DD708C">
            <w:pPr>
              <w:rPr>
                <w:rFonts w:cstheme="minorHAnsi"/>
              </w:rPr>
            </w:pPr>
            <w:r w:rsidRPr="00DD708C">
              <w:rPr>
                <w:rFonts w:cstheme="minorHAnsi"/>
              </w:rPr>
              <w:t>No definition. “Sex” used correctly. Participants treated as binary sex.</w:t>
            </w:r>
          </w:p>
        </w:tc>
        <w:tc>
          <w:tcPr>
            <w:tcW w:w="2552" w:type="dxa"/>
          </w:tcPr>
          <w:p w14:paraId="6BA8798F" w14:textId="251CCCDF" w:rsidR="00DD708C" w:rsidRPr="00DD708C" w:rsidRDefault="00DD708C" w:rsidP="00267BC9">
            <w:pPr>
              <w:rPr>
                <w:rFonts w:cstheme="minorHAnsi"/>
              </w:rPr>
            </w:pPr>
            <w:r w:rsidRPr="00DD708C">
              <w:rPr>
                <w:rFonts w:cstheme="minorHAnsi"/>
              </w:rPr>
              <w:t>Emergency medical service assessments,</w:t>
            </w:r>
            <w:r w:rsidR="00267BC9">
              <w:rPr>
                <w:rFonts w:cstheme="minorHAnsi"/>
              </w:rPr>
              <w:t xml:space="preserve"> </w:t>
            </w:r>
            <w:r w:rsidRPr="00DD708C">
              <w:rPr>
                <w:rFonts w:cstheme="minorHAnsi"/>
              </w:rPr>
              <w:t>protocols, and management for patients subsequently diagnosed</w:t>
            </w:r>
            <w:r w:rsidR="00267BC9">
              <w:rPr>
                <w:rFonts w:cstheme="minorHAnsi"/>
              </w:rPr>
              <w:t xml:space="preserve"> </w:t>
            </w:r>
            <w:r w:rsidRPr="00DD708C">
              <w:rPr>
                <w:rFonts w:cstheme="minorHAnsi"/>
              </w:rPr>
              <w:t>with stroke, by sex.</w:t>
            </w:r>
          </w:p>
          <w:p w14:paraId="7D65DFC4" w14:textId="77777777" w:rsidR="00DD708C" w:rsidRPr="00DD708C" w:rsidRDefault="00DD708C" w:rsidP="00DD708C">
            <w:pPr>
              <w:rPr>
                <w:rFonts w:cstheme="minorHAnsi"/>
              </w:rPr>
            </w:pPr>
          </w:p>
        </w:tc>
        <w:tc>
          <w:tcPr>
            <w:tcW w:w="4761" w:type="dxa"/>
          </w:tcPr>
          <w:p w14:paraId="4100924D" w14:textId="488D55E4" w:rsidR="00DD708C" w:rsidRPr="00DD708C" w:rsidRDefault="00DD708C" w:rsidP="00DD708C">
            <w:pPr>
              <w:rPr>
                <w:rFonts w:cstheme="minorHAnsi"/>
              </w:rPr>
            </w:pPr>
            <w:r w:rsidRPr="00DD708C">
              <w:rPr>
                <w:rFonts w:cstheme="minorHAnsi"/>
              </w:rPr>
              <w:t>• Women</w:t>
            </w:r>
            <w:r w:rsidR="00057AF9">
              <w:rPr>
                <w:rFonts w:cstheme="minorHAnsi"/>
              </w:rPr>
              <w:t xml:space="preserve"> </w:t>
            </w:r>
            <w:r w:rsidRPr="00DD708C">
              <w:rPr>
                <w:rFonts w:cstheme="minorHAnsi"/>
              </w:rPr>
              <w:t>less likely than men to be managed according to the NSW Ambulance pre-hospital stroke care protocol (AOR: 0.95, 95% CI: 0.92-0.97)</w:t>
            </w:r>
            <w:r w:rsidR="00057AF9">
              <w:rPr>
                <w:rFonts w:cstheme="minorHAnsi"/>
              </w:rPr>
              <w:t>. L</w:t>
            </w:r>
            <w:r w:rsidRPr="00DD708C">
              <w:rPr>
                <w:rFonts w:cstheme="minorHAnsi"/>
              </w:rPr>
              <w:t>ikelihood of basic pre-hospital care</w:t>
            </w:r>
            <w:r w:rsidR="00057AF9">
              <w:rPr>
                <w:rFonts w:cstheme="minorHAnsi"/>
              </w:rPr>
              <w:t>:</w:t>
            </w:r>
            <w:r w:rsidRPr="00DD708C">
              <w:rPr>
                <w:rFonts w:cstheme="minorHAnsi"/>
              </w:rPr>
              <w:t xml:space="preserve"> similar for both sexes (AOR, 1.01, 95% CI: 0.99-1.04).</w:t>
            </w:r>
          </w:p>
          <w:p w14:paraId="4DF95A41" w14:textId="4BB988BF" w:rsidR="00DD708C" w:rsidRPr="00DD708C" w:rsidRDefault="00DD708C" w:rsidP="00DD708C">
            <w:pPr>
              <w:rPr>
                <w:rFonts w:cstheme="minorHAnsi"/>
              </w:rPr>
            </w:pPr>
            <w:r w:rsidRPr="00DD708C">
              <w:rPr>
                <w:rFonts w:cstheme="minorHAnsi"/>
              </w:rPr>
              <w:t>• Women more likely than men to be taken by ambulance (52.4% v 47.9%; OR: 1.09; 95% CI:1.07-1.11).</w:t>
            </w:r>
          </w:p>
          <w:p w14:paraId="45245FB9" w14:textId="19051A2B" w:rsidR="00DD708C" w:rsidRPr="00DD708C" w:rsidRDefault="00DD708C" w:rsidP="00057AF9">
            <w:pPr>
              <w:rPr>
                <w:rFonts w:cstheme="minorHAnsi"/>
              </w:rPr>
            </w:pPr>
            <w:r w:rsidRPr="00DD708C">
              <w:rPr>
                <w:rFonts w:cstheme="minorHAnsi"/>
              </w:rPr>
              <w:t>• Time between the emergency call and</w:t>
            </w:r>
            <w:r w:rsidR="00057AF9">
              <w:rPr>
                <w:rFonts w:cstheme="minorHAnsi"/>
              </w:rPr>
              <w:t xml:space="preserve"> </w:t>
            </w:r>
            <w:r w:rsidRPr="00DD708C">
              <w:rPr>
                <w:rFonts w:cstheme="minorHAnsi"/>
              </w:rPr>
              <w:t>emergency admission</w:t>
            </w:r>
            <w:r w:rsidR="00057AF9">
              <w:rPr>
                <w:rFonts w:cstheme="minorHAnsi"/>
              </w:rPr>
              <w:t xml:space="preserve">: </w:t>
            </w:r>
            <w:r w:rsidRPr="00DD708C">
              <w:rPr>
                <w:rFonts w:cstheme="minorHAnsi"/>
              </w:rPr>
              <w:t>similar for both sexes.</w:t>
            </w:r>
          </w:p>
          <w:p w14:paraId="1F791BBE" w14:textId="74E486EA" w:rsidR="00DD708C" w:rsidRPr="00DD708C" w:rsidRDefault="00DD708C" w:rsidP="00DD708C">
            <w:pPr>
              <w:rPr>
                <w:rFonts w:cstheme="minorHAnsi"/>
              </w:rPr>
            </w:pPr>
            <w:r w:rsidRPr="00DD708C">
              <w:rPr>
                <w:rFonts w:cstheme="minorHAnsi"/>
              </w:rPr>
              <w:t xml:space="preserve">• Women and men similar </w:t>
            </w:r>
            <w:r w:rsidR="00057AF9">
              <w:rPr>
                <w:rFonts w:cstheme="minorHAnsi"/>
              </w:rPr>
              <w:t xml:space="preserve">in </w:t>
            </w:r>
            <w:r w:rsidRPr="00DD708C">
              <w:rPr>
                <w:rFonts w:cstheme="minorHAnsi"/>
              </w:rPr>
              <w:t>being assessed as having a stroke (AOR: 0.97, 95% CI: 0.93-1.01) or subarachnoid haemorrhage (AOR:1.22, 95% CI: 0.73-2.03).</w:t>
            </w:r>
          </w:p>
          <w:p w14:paraId="484660C2" w14:textId="1AC6DF54" w:rsidR="00DD708C" w:rsidRPr="00DD708C" w:rsidRDefault="00DD708C" w:rsidP="00DD708C">
            <w:pPr>
              <w:pStyle w:val="NormalWeb"/>
              <w:spacing w:before="0" w:beforeAutospacing="0" w:after="0" w:afterAutospacing="0"/>
              <w:rPr>
                <w:rFonts w:asciiTheme="minorHAnsi" w:hAnsiTheme="minorHAnsi" w:cstheme="minorHAnsi"/>
                <w:sz w:val="22"/>
                <w:szCs w:val="22"/>
              </w:rPr>
            </w:pPr>
            <w:r w:rsidRPr="00DD708C">
              <w:rPr>
                <w:rFonts w:asciiTheme="minorHAnsi" w:hAnsiTheme="minorHAnsi" w:cstheme="minorHAnsi"/>
                <w:sz w:val="22"/>
                <w:szCs w:val="22"/>
              </w:rPr>
              <w:t xml:space="preserve">• Women </w:t>
            </w:r>
            <w:r w:rsidR="00057AF9">
              <w:rPr>
                <w:rFonts w:asciiTheme="minorHAnsi" w:hAnsiTheme="minorHAnsi" w:cstheme="minorHAnsi"/>
                <w:sz w:val="22"/>
                <w:szCs w:val="22"/>
              </w:rPr>
              <w:t xml:space="preserve">aged </w:t>
            </w:r>
            <w:r w:rsidRPr="00DD708C">
              <w:rPr>
                <w:rFonts w:asciiTheme="minorHAnsi" w:hAnsiTheme="minorHAnsi" w:cstheme="minorHAnsi"/>
                <w:sz w:val="22"/>
                <w:szCs w:val="22"/>
              </w:rPr>
              <w:t xml:space="preserve">under 70 less likely than men to be assessed as having a stroke (AOR, 0.89, 95% CI: 0.82-0.97). </w:t>
            </w:r>
          </w:p>
        </w:tc>
      </w:tr>
      <w:tr w:rsidR="00954954" w:rsidRPr="00672DBE" w14:paraId="129351FC" w14:textId="77777777" w:rsidTr="005A6797">
        <w:trPr>
          <w:trHeight w:val="1299"/>
        </w:trPr>
        <w:tc>
          <w:tcPr>
            <w:tcW w:w="1271" w:type="dxa"/>
            <w:hideMark/>
          </w:tcPr>
          <w:p w14:paraId="6FCF03B2" w14:textId="234F30B7" w:rsidR="00EB2B55" w:rsidRPr="00672DBE" w:rsidRDefault="00EB2B55" w:rsidP="003414BB">
            <w:r w:rsidRPr="00672DBE">
              <w:t>Worrall-Carter et al.</w:t>
            </w:r>
            <w:r w:rsidR="00DD4DC6">
              <w:t>,</w:t>
            </w:r>
            <w:r w:rsidRPr="00672DBE">
              <w:t xml:space="preserve"> 2016, Australia</w:t>
            </w:r>
          </w:p>
        </w:tc>
        <w:tc>
          <w:tcPr>
            <w:tcW w:w="2552" w:type="dxa"/>
            <w:hideMark/>
          </w:tcPr>
          <w:p w14:paraId="29CC7928" w14:textId="67ADA683" w:rsidR="002518FF" w:rsidRDefault="00EB2B55" w:rsidP="003414BB">
            <w:r w:rsidRPr="00672DBE">
              <w:t xml:space="preserve">To describe gender differences in epidemiology, treatment, </w:t>
            </w:r>
            <w:r w:rsidR="002518FF">
              <w:t>&amp;</w:t>
            </w:r>
            <w:r w:rsidR="002518FF" w:rsidRPr="00672DBE">
              <w:t xml:space="preserve"> </w:t>
            </w:r>
            <w:r w:rsidRPr="00672DBE">
              <w:t>outcomes of all admissions for acute coronary syndrome (ACS) in Victoria</w:t>
            </w:r>
            <w:r w:rsidR="002518FF">
              <w:t>.</w:t>
            </w:r>
          </w:p>
          <w:p w14:paraId="73CDB135" w14:textId="3E2DE5D4" w:rsidR="00EB2B55" w:rsidRPr="00672DBE" w:rsidRDefault="00EB2B55" w:rsidP="003414BB">
            <w:r w:rsidRPr="00672DBE">
              <w:t>Retrospective cohort study</w:t>
            </w:r>
            <w:r w:rsidR="002518FF">
              <w:t>.</w:t>
            </w:r>
          </w:p>
        </w:tc>
        <w:tc>
          <w:tcPr>
            <w:tcW w:w="2673" w:type="dxa"/>
            <w:hideMark/>
          </w:tcPr>
          <w:p w14:paraId="35142DAC" w14:textId="32204D09" w:rsidR="00EB2B55" w:rsidRPr="00672DBE" w:rsidRDefault="00EB2B55" w:rsidP="003414BB">
            <w:r w:rsidRPr="00672DBE">
              <w:t xml:space="preserve">28,985 </w:t>
            </w:r>
            <w:r w:rsidR="002518FF">
              <w:t xml:space="preserve">ACS </w:t>
            </w:r>
            <w:r w:rsidRPr="00672DBE">
              <w:t xml:space="preserve">patients (10,455 </w:t>
            </w:r>
            <w:r w:rsidR="002518FF">
              <w:t xml:space="preserve">- </w:t>
            </w:r>
            <w:r w:rsidRPr="00672DBE">
              <w:t>36</w:t>
            </w:r>
            <w:r w:rsidR="002518FF" w:rsidRPr="00672DBE">
              <w:t>%</w:t>
            </w:r>
            <w:r w:rsidR="002518FF">
              <w:t xml:space="preserve"> - women).</w:t>
            </w:r>
          </w:p>
          <w:p w14:paraId="6228FD38" w14:textId="325FDB94" w:rsidR="00EB2B55" w:rsidRPr="00672DBE" w:rsidRDefault="00EB2B55" w:rsidP="003414BB">
            <w:r w:rsidRPr="00672DBE">
              <w:t>Clinical service</w:t>
            </w:r>
            <w:r w:rsidR="002518FF">
              <w:t>s</w:t>
            </w:r>
            <w:r w:rsidRPr="00672DBE">
              <w:t xml:space="preserve"> (Victorian hospitals).</w:t>
            </w:r>
          </w:p>
        </w:tc>
        <w:tc>
          <w:tcPr>
            <w:tcW w:w="1579" w:type="dxa"/>
            <w:hideMark/>
          </w:tcPr>
          <w:p w14:paraId="59873019" w14:textId="5DA64ED6" w:rsidR="00EB2B55" w:rsidRPr="00672DBE" w:rsidRDefault="00EB2B55" w:rsidP="003414BB">
            <w:r w:rsidRPr="00672DBE">
              <w:t xml:space="preserve">No definition </w:t>
            </w:r>
            <w:r w:rsidRPr="00A00D5C">
              <w:t xml:space="preserve">of sex/gender. </w:t>
            </w:r>
            <w:r w:rsidR="0081282D" w:rsidRPr="00A00D5C">
              <w:t xml:space="preserve">“Gender” typically used to mean sex. </w:t>
            </w:r>
            <w:r w:rsidRPr="00A00D5C">
              <w:t>Participants treated as</w:t>
            </w:r>
            <w:r w:rsidRPr="00672DBE">
              <w:t xml:space="preserve"> binary sex. </w:t>
            </w:r>
          </w:p>
        </w:tc>
        <w:tc>
          <w:tcPr>
            <w:tcW w:w="2552" w:type="dxa"/>
            <w:hideMark/>
          </w:tcPr>
          <w:p w14:paraId="324D185C" w14:textId="502B58BC" w:rsidR="00EB2B55" w:rsidRPr="00672DBE" w:rsidRDefault="00EB2B55" w:rsidP="003414BB">
            <w:r w:rsidRPr="00672DBE">
              <w:t xml:space="preserve">In-hospital death </w:t>
            </w:r>
            <w:r w:rsidR="002518FF">
              <w:t>&amp;</w:t>
            </w:r>
            <w:r w:rsidR="002518FF" w:rsidRPr="00672DBE">
              <w:t xml:space="preserve"> </w:t>
            </w:r>
            <w:r w:rsidRPr="00672DBE">
              <w:t>unplanned second ACS admission</w:t>
            </w:r>
            <w:r w:rsidR="002518FF">
              <w:t>.</w:t>
            </w:r>
          </w:p>
        </w:tc>
        <w:tc>
          <w:tcPr>
            <w:tcW w:w="4761" w:type="dxa"/>
            <w:hideMark/>
          </w:tcPr>
          <w:p w14:paraId="52AC3CC4" w14:textId="06C9848E" w:rsidR="00EB2B55" w:rsidRPr="00672DBE" w:rsidRDefault="0081282D" w:rsidP="003414BB">
            <w:r w:rsidRPr="00672DBE">
              <w:t xml:space="preserve">• </w:t>
            </w:r>
            <w:r w:rsidR="00EB2B55" w:rsidRPr="00672DBE">
              <w:t xml:space="preserve">Underestimation of coronary heart disease (CHD) risk </w:t>
            </w:r>
            <w:r w:rsidR="00080C56">
              <w:t>in</w:t>
            </w:r>
            <w:r w:rsidR="00080C56" w:rsidRPr="00672DBE">
              <w:t xml:space="preserve"> </w:t>
            </w:r>
            <w:r w:rsidR="00EB2B55" w:rsidRPr="00672DBE">
              <w:t xml:space="preserve">women may </w:t>
            </w:r>
            <w:r w:rsidR="0090745B">
              <w:t>contribute to</w:t>
            </w:r>
            <w:r w:rsidR="00EB2B55" w:rsidRPr="00672DBE">
              <w:t xml:space="preserve"> more conservative treatment</w:t>
            </w:r>
            <w:r w:rsidR="00080C56">
              <w:t>,</w:t>
            </w:r>
            <w:r w:rsidR="00EB2B55" w:rsidRPr="00672DBE">
              <w:t xml:space="preserve"> poorer outcomes</w:t>
            </w:r>
            <w:r w:rsidR="00080C56">
              <w:t>.</w:t>
            </w:r>
          </w:p>
          <w:p w14:paraId="5AE10855" w14:textId="7679F6EE" w:rsidR="00080C56" w:rsidRDefault="00EB2B55" w:rsidP="003414BB">
            <w:r w:rsidRPr="00672DBE">
              <w:t xml:space="preserve">• </w:t>
            </w:r>
            <w:r w:rsidR="00080C56">
              <w:t>W</w:t>
            </w:r>
            <w:r w:rsidRPr="00672DBE">
              <w:t>omen were older</w:t>
            </w:r>
            <w:r w:rsidR="00080C56">
              <w:t xml:space="preserve"> than men</w:t>
            </w:r>
            <w:r w:rsidRPr="00672DBE">
              <w:t xml:space="preserve"> (aged &gt;=75 years: 54% vs 31%; p &lt; .001</w:t>
            </w:r>
            <w:r w:rsidR="00080C56" w:rsidRPr="00672DBE">
              <w:t>)</w:t>
            </w:r>
            <w:r w:rsidR="00080C56">
              <w:t xml:space="preserve"> &amp;</w:t>
            </w:r>
            <w:r w:rsidR="00080C56" w:rsidRPr="00672DBE">
              <w:t xml:space="preserve"> </w:t>
            </w:r>
            <w:r w:rsidRPr="00672DBE">
              <w:t xml:space="preserve">more likely to present with </w:t>
            </w:r>
            <w:r w:rsidR="00080C56">
              <w:t>&gt;1</w:t>
            </w:r>
            <w:r w:rsidR="00080C56" w:rsidRPr="00672DBE">
              <w:t xml:space="preserve"> </w:t>
            </w:r>
            <w:r w:rsidRPr="00672DBE">
              <w:t>comorbidities (53% vs 46%; p &lt; .001)</w:t>
            </w:r>
            <w:r w:rsidR="00080C56">
              <w:t>.</w:t>
            </w:r>
          </w:p>
          <w:p w14:paraId="5BF589B4" w14:textId="4DBB4729" w:rsidR="00080C56" w:rsidRDefault="00EB2B55" w:rsidP="003414BB">
            <w:r w:rsidRPr="00672DBE">
              <w:t>• Women more likely to be diagnosed with non-ST-segment elevation ACS (86% vs 80%; p &lt; .001)</w:t>
            </w:r>
            <w:r w:rsidR="00080C56">
              <w:t>.</w:t>
            </w:r>
          </w:p>
          <w:p w14:paraId="15E3CE4E" w14:textId="0A1601FF" w:rsidR="00080C56" w:rsidRDefault="00EB2B55" w:rsidP="003414BB">
            <w:r w:rsidRPr="00672DBE">
              <w:t>• Women less likely than men to receive coronary interventions (angiogram: adjusted odds ratio [</w:t>
            </w:r>
            <w:proofErr w:type="spellStart"/>
            <w:r w:rsidRPr="00672DBE">
              <w:t>aOR</w:t>
            </w:r>
            <w:proofErr w:type="spellEnd"/>
            <w:r w:rsidRPr="00672DBE">
              <w:t xml:space="preserve">], 0.71; 95% CI, 0.66-0.75; PCI: </w:t>
            </w:r>
            <w:proofErr w:type="spellStart"/>
            <w:r w:rsidRPr="00672DBE">
              <w:t>aOR</w:t>
            </w:r>
            <w:proofErr w:type="spellEnd"/>
            <w:r w:rsidRPr="00672DBE">
              <w:t xml:space="preserve">, 0.73; 95% CI, 0.66-0.80; CABG: </w:t>
            </w:r>
            <w:proofErr w:type="spellStart"/>
            <w:r w:rsidRPr="00672DBE">
              <w:t>aOR</w:t>
            </w:r>
            <w:proofErr w:type="spellEnd"/>
            <w:r w:rsidRPr="00672DBE">
              <w:t>, 0.58; 95% CI, 0.53-0.64)</w:t>
            </w:r>
            <w:r w:rsidR="00080C56">
              <w:t>.</w:t>
            </w:r>
          </w:p>
          <w:p w14:paraId="34A3FFA6" w14:textId="0957379B" w:rsidR="00EB2B55" w:rsidRPr="00672DBE" w:rsidRDefault="00EB2B55" w:rsidP="003414BB">
            <w:r w:rsidRPr="00672DBE">
              <w:t xml:space="preserve">• Adverse outcomes (in-hospital death) were similar in women and men after accounting for confounding variables.  </w:t>
            </w:r>
          </w:p>
        </w:tc>
      </w:tr>
    </w:tbl>
    <w:p w14:paraId="7E89DB4E" w14:textId="433381B3" w:rsidR="00EB2B55" w:rsidRPr="00672DBE" w:rsidRDefault="00A471B8" w:rsidP="003414BB">
      <w:pPr>
        <w:rPr>
          <w:b/>
          <w:sz w:val="24"/>
          <w:szCs w:val="24"/>
        </w:rPr>
      </w:pPr>
      <w:r>
        <w:rPr>
          <w:b/>
          <w:sz w:val="24"/>
          <w:szCs w:val="24"/>
        </w:rPr>
        <w:lastRenderedPageBreak/>
        <w:t xml:space="preserve">Table B2. </w:t>
      </w:r>
      <w:r w:rsidR="00EB2B55" w:rsidRPr="00672DBE">
        <w:rPr>
          <w:b/>
          <w:sz w:val="24"/>
          <w:szCs w:val="24"/>
        </w:rPr>
        <w:t>Q</w:t>
      </w:r>
      <w:r w:rsidR="005253AB">
        <w:rPr>
          <w:b/>
          <w:sz w:val="24"/>
          <w:szCs w:val="24"/>
        </w:rPr>
        <w:t xml:space="preserve">uestion </w:t>
      </w:r>
      <w:r w:rsidR="00EB2B55" w:rsidRPr="00672DBE">
        <w:rPr>
          <w:b/>
          <w:sz w:val="24"/>
          <w:szCs w:val="24"/>
        </w:rPr>
        <w:t>2</w:t>
      </w:r>
      <w:r w:rsidR="005253AB">
        <w:rPr>
          <w:b/>
          <w:sz w:val="24"/>
          <w:szCs w:val="24"/>
        </w:rPr>
        <w:t xml:space="preserve">: </w:t>
      </w:r>
      <w:r w:rsidR="00EB2B55" w:rsidRPr="00672DBE">
        <w:rPr>
          <w:b/>
          <w:sz w:val="24"/>
          <w:szCs w:val="24"/>
        </w:rPr>
        <w:t xml:space="preserve">Are there clinical guidelines, medical treatments, medical devices and diagnostic tools that do not </w:t>
      </w:r>
      <w:proofErr w:type="gramStart"/>
      <w:r w:rsidR="00EB2B55" w:rsidRPr="00672DBE">
        <w:rPr>
          <w:b/>
          <w:sz w:val="24"/>
          <w:szCs w:val="24"/>
        </w:rPr>
        <w:t>take into account</w:t>
      </w:r>
      <w:proofErr w:type="gramEnd"/>
      <w:r w:rsidR="00EB2B55" w:rsidRPr="00672DBE">
        <w:rPr>
          <w:b/>
          <w:sz w:val="24"/>
          <w:szCs w:val="24"/>
        </w:rPr>
        <w:t xml:space="preserve"> sex and gender differences?</w:t>
      </w:r>
    </w:p>
    <w:tbl>
      <w:tblPr>
        <w:tblStyle w:val="TableGrid"/>
        <w:tblW w:w="0" w:type="auto"/>
        <w:tblLayout w:type="fixed"/>
        <w:tblLook w:val="04A0" w:firstRow="1" w:lastRow="0" w:firstColumn="1" w:lastColumn="0" w:noHBand="0" w:noVBand="1"/>
      </w:tblPr>
      <w:tblGrid>
        <w:gridCol w:w="1413"/>
        <w:gridCol w:w="2169"/>
        <w:gridCol w:w="2710"/>
        <w:gridCol w:w="1676"/>
        <w:gridCol w:w="1383"/>
        <w:gridCol w:w="2126"/>
        <w:gridCol w:w="3911"/>
      </w:tblGrid>
      <w:tr w:rsidR="00EB2B55" w:rsidRPr="00672DBE" w14:paraId="309B5178" w14:textId="77777777" w:rsidTr="00247247">
        <w:trPr>
          <w:trHeight w:val="1284"/>
        </w:trPr>
        <w:tc>
          <w:tcPr>
            <w:tcW w:w="1413" w:type="dxa"/>
            <w:hideMark/>
          </w:tcPr>
          <w:p w14:paraId="09AF3C3F" w14:textId="07C8937E" w:rsidR="00EB2B55" w:rsidRPr="00672DBE" w:rsidRDefault="00EB2B55" w:rsidP="003414BB">
            <w:pPr>
              <w:rPr>
                <w:b/>
                <w:bCs/>
              </w:rPr>
            </w:pPr>
            <w:r w:rsidRPr="00672DBE">
              <w:rPr>
                <w:b/>
                <w:bCs/>
              </w:rPr>
              <w:t xml:space="preserve">Author, </w:t>
            </w:r>
            <w:r w:rsidR="009249C8">
              <w:rPr>
                <w:b/>
                <w:bCs/>
              </w:rPr>
              <w:t>y</w:t>
            </w:r>
            <w:r w:rsidR="009249C8" w:rsidRPr="00672DBE">
              <w:rPr>
                <w:b/>
                <w:bCs/>
              </w:rPr>
              <w:t>ear</w:t>
            </w:r>
            <w:r w:rsidRPr="00672DBE">
              <w:rPr>
                <w:b/>
                <w:bCs/>
              </w:rPr>
              <w:t xml:space="preserve">, </w:t>
            </w:r>
            <w:r w:rsidR="009249C8">
              <w:rPr>
                <w:b/>
                <w:bCs/>
              </w:rPr>
              <w:t>c</w:t>
            </w:r>
            <w:r w:rsidR="009249C8" w:rsidRPr="00672DBE">
              <w:rPr>
                <w:b/>
                <w:bCs/>
              </w:rPr>
              <w:t>ountry</w:t>
            </w:r>
          </w:p>
        </w:tc>
        <w:tc>
          <w:tcPr>
            <w:tcW w:w="2169" w:type="dxa"/>
            <w:hideMark/>
          </w:tcPr>
          <w:p w14:paraId="22A6E892" w14:textId="34CEF13C" w:rsidR="00EB2B55" w:rsidRPr="00672DBE" w:rsidRDefault="00EB2B55" w:rsidP="003414BB">
            <w:pPr>
              <w:rPr>
                <w:b/>
                <w:bCs/>
              </w:rPr>
            </w:pPr>
            <w:r w:rsidRPr="00672DBE">
              <w:rPr>
                <w:b/>
                <w:bCs/>
              </w:rPr>
              <w:t xml:space="preserve">Aim, </w:t>
            </w:r>
            <w:r w:rsidR="002D33A6">
              <w:rPr>
                <w:b/>
                <w:bCs/>
              </w:rPr>
              <w:t>s</w:t>
            </w:r>
            <w:r w:rsidR="002D33A6" w:rsidRPr="00672DBE">
              <w:rPr>
                <w:b/>
                <w:bCs/>
              </w:rPr>
              <w:t xml:space="preserve">tudy </w:t>
            </w:r>
            <w:r w:rsidRPr="00672DBE">
              <w:rPr>
                <w:b/>
                <w:bCs/>
              </w:rPr>
              <w:t>design</w:t>
            </w:r>
          </w:p>
        </w:tc>
        <w:tc>
          <w:tcPr>
            <w:tcW w:w="2710" w:type="dxa"/>
            <w:hideMark/>
          </w:tcPr>
          <w:p w14:paraId="7834FEE7" w14:textId="3DE50D32" w:rsidR="00EB2B55" w:rsidRPr="00672DBE" w:rsidRDefault="00EB2B55" w:rsidP="003414BB">
            <w:pPr>
              <w:rPr>
                <w:b/>
                <w:bCs/>
              </w:rPr>
            </w:pPr>
            <w:r w:rsidRPr="00672DBE">
              <w:rPr>
                <w:b/>
                <w:bCs/>
              </w:rPr>
              <w:t xml:space="preserve">Sample size, </w:t>
            </w:r>
            <w:r w:rsidR="002D33A6">
              <w:rPr>
                <w:b/>
                <w:bCs/>
              </w:rPr>
              <w:t>p</w:t>
            </w:r>
            <w:r w:rsidR="002D33A6" w:rsidRPr="00672DBE">
              <w:rPr>
                <w:b/>
                <w:bCs/>
              </w:rPr>
              <w:t>articipants</w:t>
            </w:r>
            <w:r w:rsidRPr="00672DBE">
              <w:rPr>
                <w:b/>
                <w:bCs/>
              </w:rPr>
              <w:t xml:space="preserve">, </w:t>
            </w:r>
            <w:r w:rsidR="002D33A6">
              <w:rPr>
                <w:b/>
                <w:bCs/>
              </w:rPr>
              <w:t>s</w:t>
            </w:r>
            <w:r w:rsidR="002D33A6" w:rsidRPr="00672DBE">
              <w:rPr>
                <w:b/>
                <w:bCs/>
              </w:rPr>
              <w:t>etting</w:t>
            </w:r>
          </w:p>
        </w:tc>
        <w:tc>
          <w:tcPr>
            <w:tcW w:w="1676" w:type="dxa"/>
            <w:hideMark/>
          </w:tcPr>
          <w:p w14:paraId="2423EA44" w14:textId="77777777" w:rsidR="00EB2B55" w:rsidRPr="00672DBE" w:rsidRDefault="00EB2B55" w:rsidP="003414BB">
            <w:pPr>
              <w:rPr>
                <w:b/>
                <w:bCs/>
              </w:rPr>
            </w:pPr>
            <w:r w:rsidRPr="00672DBE">
              <w:rPr>
                <w:b/>
                <w:bCs/>
              </w:rPr>
              <w:t>Definition or clarification of sex/gender</w:t>
            </w:r>
          </w:p>
        </w:tc>
        <w:tc>
          <w:tcPr>
            <w:tcW w:w="1383" w:type="dxa"/>
            <w:hideMark/>
          </w:tcPr>
          <w:p w14:paraId="10DF0068" w14:textId="77777777" w:rsidR="00EB2B55" w:rsidRPr="00672DBE" w:rsidRDefault="00EB2B55" w:rsidP="003414BB">
            <w:pPr>
              <w:rPr>
                <w:b/>
                <w:bCs/>
              </w:rPr>
            </w:pPr>
            <w:r w:rsidRPr="00672DBE">
              <w:rPr>
                <w:b/>
                <w:bCs/>
              </w:rPr>
              <w:t>Intervention type</w:t>
            </w:r>
          </w:p>
        </w:tc>
        <w:tc>
          <w:tcPr>
            <w:tcW w:w="2126" w:type="dxa"/>
            <w:hideMark/>
          </w:tcPr>
          <w:p w14:paraId="561F571E" w14:textId="17381B0C" w:rsidR="00EB2B55" w:rsidRPr="00672DBE" w:rsidRDefault="00EB2B55" w:rsidP="003414BB">
            <w:pPr>
              <w:rPr>
                <w:b/>
                <w:bCs/>
              </w:rPr>
            </w:pPr>
            <w:r w:rsidRPr="00672DBE">
              <w:rPr>
                <w:b/>
                <w:bCs/>
              </w:rPr>
              <w:t xml:space="preserve">Outcome </w:t>
            </w:r>
            <w:r w:rsidR="002D33A6">
              <w:rPr>
                <w:b/>
                <w:bCs/>
              </w:rPr>
              <w:t>&amp;</w:t>
            </w:r>
            <w:r w:rsidR="002D33A6" w:rsidRPr="00672DBE">
              <w:rPr>
                <w:b/>
                <w:bCs/>
              </w:rPr>
              <w:t xml:space="preserve"> </w:t>
            </w:r>
            <w:r w:rsidRPr="00672DBE">
              <w:rPr>
                <w:b/>
                <w:bCs/>
              </w:rPr>
              <w:t>measures</w:t>
            </w:r>
          </w:p>
        </w:tc>
        <w:tc>
          <w:tcPr>
            <w:tcW w:w="3911" w:type="dxa"/>
            <w:hideMark/>
          </w:tcPr>
          <w:p w14:paraId="0B5E02BA" w14:textId="5E726AB5" w:rsidR="00EB2B55" w:rsidRPr="00672DBE" w:rsidRDefault="00EB2B55" w:rsidP="003414BB">
            <w:pPr>
              <w:rPr>
                <w:b/>
                <w:bCs/>
              </w:rPr>
            </w:pPr>
            <w:r w:rsidRPr="00672DBE">
              <w:rPr>
                <w:b/>
                <w:bCs/>
              </w:rPr>
              <w:t>Results/</w:t>
            </w:r>
            <w:r w:rsidR="002D33A6">
              <w:rPr>
                <w:b/>
                <w:bCs/>
              </w:rPr>
              <w:t>m</w:t>
            </w:r>
            <w:r w:rsidR="002D33A6" w:rsidRPr="00672DBE">
              <w:rPr>
                <w:b/>
                <w:bCs/>
              </w:rPr>
              <w:t xml:space="preserve">ain </w:t>
            </w:r>
            <w:r w:rsidRPr="00672DBE">
              <w:rPr>
                <w:b/>
                <w:bCs/>
              </w:rPr>
              <w:t>findings</w:t>
            </w:r>
          </w:p>
        </w:tc>
      </w:tr>
      <w:tr w:rsidR="00EB2B55" w:rsidRPr="00672DBE" w14:paraId="233A51F0" w14:textId="77777777" w:rsidTr="00247247">
        <w:trPr>
          <w:trHeight w:val="3276"/>
        </w:trPr>
        <w:tc>
          <w:tcPr>
            <w:tcW w:w="1413" w:type="dxa"/>
            <w:hideMark/>
          </w:tcPr>
          <w:p w14:paraId="51912F66" w14:textId="6674894E" w:rsidR="00EB2B55" w:rsidRPr="00672DBE" w:rsidRDefault="00EB2B55" w:rsidP="003414BB">
            <w:r w:rsidRPr="00672DBE">
              <w:t>Looi et al.</w:t>
            </w:r>
            <w:r w:rsidR="00DD4DC6">
              <w:t>,</w:t>
            </w:r>
            <w:r w:rsidRPr="00672DBE">
              <w:t xml:space="preserve"> </w:t>
            </w:r>
            <w:r w:rsidR="0045640B" w:rsidRPr="00672DBE">
              <w:t>201</w:t>
            </w:r>
            <w:r w:rsidR="0045640B">
              <w:t>8</w:t>
            </w:r>
            <w:r w:rsidRPr="00672DBE">
              <w:t>, New Zealand</w:t>
            </w:r>
          </w:p>
        </w:tc>
        <w:tc>
          <w:tcPr>
            <w:tcW w:w="2169" w:type="dxa"/>
            <w:hideMark/>
          </w:tcPr>
          <w:p w14:paraId="5ED7AB93" w14:textId="49468135" w:rsidR="0081282D" w:rsidRDefault="00EB2B55" w:rsidP="003414BB">
            <w:r w:rsidRPr="00672DBE">
              <w:t xml:space="preserve">To investigate gender </w:t>
            </w:r>
            <w:r w:rsidR="0045640B">
              <w:t xml:space="preserve">(=sex) </w:t>
            </w:r>
            <w:r w:rsidRPr="00672DBE">
              <w:t>differences in use of primary prevention implantable cardioverter defibrillators (ICD) in patients with heart failure</w:t>
            </w:r>
            <w:r w:rsidR="0045640B">
              <w:t>.</w:t>
            </w:r>
            <w:r w:rsidR="0045640B" w:rsidRPr="00672DBE">
              <w:t xml:space="preserve"> </w:t>
            </w:r>
          </w:p>
          <w:p w14:paraId="49D44ED8" w14:textId="30D7BAAD" w:rsidR="00EB2B55" w:rsidRPr="00672DBE" w:rsidRDefault="00EB2B55" w:rsidP="003414BB">
            <w:r w:rsidRPr="00672DBE">
              <w:t>Observational Study</w:t>
            </w:r>
            <w:r w:rsidR="0045640B">
              <w:t>.</w:t>
            </w:r>
          </w:p>
        </w:tc>
        <w:tc>
          <w:tcPr>
            <w:tcW w:w="2710" w:type="dxa"/>
            <w:hideMark/>
          </w:tcPr>
          <w:p w14:paraId="70E198CC" w14:textId="03AFE462" w:rsidR="00EB2B55" w:rsidRPr="00672DBE" w:rsidRDefault="00EB2B55" w:rsidP="0045640B">
            <w:r w:rsidRPr="00672DBE">
              <w:t>385 (58 women</w:t>
            </w:r>
            <w:r w:rsidR="00927242">
              <w:t>,</w:t>
            </w:r>
            <w:r w:rsidRPr="00672DBE">
              <w:t xml:space="preserve"> 15.1%) </w:t>
            </w:r>
            <w:r w:rsidR="0045640B">
              <w:t>p</w:t>
            </w:r>
            <w:r w:rsidRPr="00672DBE">
              <w:t xml:space="preserve">atients with heart failure (HF) who received </w:t>
            </w:r>
            <w:r w:rsidR="0045640B">
              <w:t xml:space="preserve">ICDs or </w:t>
            </w:r>
            <w:r w:rsidRPr="00672DBE">
              <w:t>cardiac resynchronisation therapy (CRT-D) at hospitals in northern New Zealand</w:t>
            </w:r>
            <w:r w:rsidR="00927242">
              <w:t xml:space="preserve"> 1 Jan 2007 – 1 Jun 2015</w:t>
            </w:r>
            <w:r w:rsidR="0045640B">
              <w:t>.</w:t>
            </w:r>
          </w:p>
        </w:tc>
        <w:tc>
          <w:tcPr>
            <w:tcW w:w="1676" w:type="dxa"/>
            <w:hideMark/>
          </w:tcPr>
          <w:p w14:paraId="19AFAC45" w14:textId="6176282F" w:rsidR="00EB2B55" w:rsidRPr="00A00D5C" w:rsidRDefault="00EB2B55" w:rsidP="003414BB">
            <w:r w:rsidRPr="00A00D5C">
              <w:t xml:space="preserve">No definition of sex/gender. </w:t>
            </w:r>
            <w:r w:rsidR="0081282D" w:rsidRPr="00A00D5C">
              <w:t xml:space="preserve">“Gender” consistently used for sex. </w:t>
            </w:r>
            <w:r w:rsidRPr="00A00D5C">
              <w:t xml:space="preserve">Participants treated as binary sex. </w:t>
            </w:r>
          </w:p>
        </w:tc>
        <w:tc>
          <w:tcPr>
            <w:tcW w:w="1383" w:type="dxa"/>
            <w:hideMark/>
          </w:tcPr>
          <w:p w14:paraId="037084BF" w14:textId="77777777" w:rsidR="00EB2B55" w:rsidRPr="00672DBE" w:rsidRDefault="00EB2B55" w:rsidP="003414BB">
            <w:r w:rsidRPr="00672DBE">
              <w:t>ICD/CRT-D therapy.</w:t>
            </w:r>
          </w:p>
        </w:tc>
        <w:tc>
          <w:tcPr>
            <w:tcW w:w="2126" w:type="dxa"/>
            <w:hideMark/>
          </w:tcPr>
          <w:p w14:paraId="0EA15746" w14:textId="6B1436CE" w:rsidR="00EB2B55" w:rsidRPr="00672DBE" w:rsidRDefault="00EB2B55" w:rsidP="003414BB">
            <w:r w:rsidRPr="00672DBE">
              <w:t>Complication rates</w:t>
            </w:r>
            <w:r w:rsidR="0045640B">
              <w:t>,</w:t>
            </w:r>
            <w:r w:rsidR="0045640B" w:rsidRPr="00672DBE">
              <w:t xml:space="preserve"> </w:t>
            </w:r>
            <w:r w:rsidRPr="00672DBE">
              <w:t>device therapy treatment rates</w:t>
            </w:r>
            <w:r w:rsidR="0045640B">
              <w:t>,</w:t>
            </w:r>
            <w:r w:rsidR="0045640B" w:rsidRPr="00672DBE">
              <w:t xml:space="preserve"> </w:t>
            </w:r>
            <w:r w:rsidRPr="00672DBE">
              <w:t xml:space="preserve">mortality rates </w:t>
            </w:r>
            <w:r w:rsidR="0045640B" w:rsidRPr="00672DBE">
              <w:t>b</w:t>
            </w:r>
            <w:r w:rsidR="0045640B">
              <w:t>y</w:t>
            </w:r>
            <w:r w:rsidR="0045640B" w:rsidRPr="00672DBE">
              <w:t xml:space="preserve"> </w:t>
            </w:r>
            <w:r w:rsidR="0045640B">
              <w:t>sex</w:t>
            </w:r>
            <w:r w:rsidRPr="00672DBE">
              <w:t>.</w:t>
            </w:r>
          </w:p>
        </w:tc>
        <w:tc>
          <w:tcPr>
            <w:tcW w:w="3911" w:type="dxa"/>
            <w:hideMark/>
          </w:tcPr>
          <w:p w14:paraId="6B3EB330" w14:textId="77777777" w:rsidR="00927242" w:rsidRDefault="00EB2B55" w:rsidP="00927242">
            <w:pPr>
              <w:pStyle w:val="NormalWeb"/>
              <w:spacing w:before="0" w:beforeAutospacing="0" w:after="0" w:afterAutospacing="0"/>
              <w:rPr>
                <w:rFonts w:asciiTheme="minorHAnsi" w:hAnsiTheme="minorHAnsi" w:cstheme="minorHAnsi"/>
                <w:sz w:val="22"/>
                <w:szCs w:val="22"/>
              </w:rPr>
            </w:pPr>
            <w:r w:rsidRPr="00247247">
              <w:rPr>
                <w:rFonts w:asciiTheme="minorHAnsi" w:hAnsiTheme="minorHAnsi" w:cstheme="minorHAnsi"/>
                <w:sz w:val="22"/>
                <w:szCs w:val="22"/>
              </w:rPr>
              <w:t xml:space="preserve">• </w:t>
            </w:r>
            <w:r w:rsidR="00927242" w:rsidRPr="00247247">
              <w:rPr>
                <w:rFonts w:asciiTheme="minorHAnsi" w:hAnsiTheme="minorHAnsi" w:cstheme="minorHAnsi"/>
                <w:sz w:val="22"/>
                <w:szCs w:val="22"/>
              </w:rPr>
              <w:t xml:space="preserve">Perioperative complications were significantly more common in women referred for ICD/ CRT-D. </w:t>
            </w:r>
          </w:p>
          <w:p w14:paraId="7B45462D" w14:textId="77777777" w:rsidR="00927242" w:rsidRDefault="00927242" w:rsidP="00927242">
            <w:pPr>
              <w:pStyle w:val="NormalWeb"/>
              <w:spacing w:before="0" w:beforeAutospacing="0" w:after="0" w:afterAutospacing="0"/>
              <w:rPr>
                <w:rFonts w:asciiTheme="minorHAnsi" w:hAnsiTheme="minorHAnsi" w:cstheme="minorHAnsi"/>
                <w:sz w:val="22"/>
                <w:szCs w:val="22"/>
              </w:rPr>
            </w:pPr>
            <w:r w:rsidRPr="00702CBA">
              <w:rPr>
                <w:rFonts w:asciiTheme="minorHAnsi" w:hAnsiTheme="minorHAnsi" w:cstheme="minorHAnsi"/>
                <w:sz w:val="22"/>
                <w:szCs w:val="22"/>
              </w:rPr>
              <w:t xml:space="preserve">• </w:t>
            </w:r>
            <w:r>
              <w:rPr>
                <w:rFonts w:asciiTheme="minorHAnsi" w:hAnsiTheme="minorHAnsi" w:cstheme="minorHAnsi"/>
                <w:sz w:val="22"/>
                <w:szCs w:val="22"/>
              </w:rPr>
              <w:t>Still sex differences in NZ despite</w:t>
            </w:r>
            <w:r w:rsidRPr="00247247">
              <w:rPr>
                <w:rFonts w:asciiTheme="minorHAnsi" w:hAnsiTheme="minorHAnsi" w:cstheme="minorHAnsi"/>
                <w:sz w:val="22"/>
                <w:szCs w:val="22"/>
              </w:rPr>
              <w:t xml:space="preserve"> significant increase in ICD implantation rates</w:t>
            </w:r>
            <w:r>
              <w:rPr>
                <w:rFonts w:asciiTheme="minorHAnsi" w:hAnsiTheme="minorHAnsi" w:cstheme="minorHAnsi"/>
                <w:sz w:val="22"/>
                <w:szCs w:val="22"/>
              </w:rPr>
              <w:t>.</w:t>
            </w:r>
          </w:p>
          <w:p w14:paraId="68612EE7" w14:textId="3C9BC4B7" w:rsidR="00927242" w:rsidRDefault="00EB2B55" w:rsidP="003414BB">
            <w:r w:rsidRPr="00672DBE">
              <w:t xml:space="preserve">• Women more likely </w:t>
            </w:r>
            <w:r w:rsidR="00927242">
              <w:t xml:space="preserve">than men </w:t>
            </w:r>
            <w:r w:rsidRPr="00672DBE">
              <w:t xml:space="preserve">to have non-ischaemic cardiomyopathy </w:t>
            </w:r>
            <w:r w:rsidR="00927242">
              <w:t>&amp;</w:t>
            </w:r>
            <w:r w:rsidRPr="00672DBE">
              <w:t xml:space="preserve"> higher perioperative complications (8.6% vs 2.5%, P=0.02), with non-significant trend towards increased lead displacement (5.2% vs 1.8%, P=0.12)</w:t>
            </w:r>
            <w:r w:rsidR="00927242">
              <w:t>.</w:t>
            </w:r>
          </w:p>
          <w:p w14:paraId="351FE253" w14:textId="4336C372" w:rsidR="00EB2B55" w:rsidRPr="00672DBE" w:rsidRDefault="00EB2B55" w:rsidP="003414BB"/>
        </w:tc>
      </w:tr>
    </w:tbl>
    <w:p w14:paraId="0F66181E" w14:textId="77777777" w:rsidR="00EB2B55" w:rsidRPr="00672DBE" w:rsidRDefault="00EB2B55" w:rsidP="003414BB"/>
    <w:p w14:paraId="5AB7E5A7" w14:textId="4C8F2A0D" w:rsidR="00B53A26" w:rsidRPr="00672DBE" w:rsidRDefault="00B53A26">
      <w:r w:rsidRPr="00672DBE">
        <w:br w:type="page"/>
      </w:r>
    </w:p>
    <w:p w14:paraId="4C9A74E8" w14:textId="2A0387EB" w:rsidR="00EB2B55" w:rsidRPr="00672DBE" w:rsidRDefault="00A471B8" w:rsidP="003414BB">
      <w:pPr>
        <w:rPr>
          <w:b/>
          <w:sz w:val="24"/>
          <w:szCs w:val="24"/>
        </w:rPr>
      </w:pPr>
      <w:r>
        <w:rPr>
          <w:b/>
          <w:sz w:val="24"/>
          <w:szCs w:val="24"/>
        </w:rPr>
        <w:lastRenderedPageBreak/>
        <w:t xml:space="preserve">Table B3. </w:t>
      </w:r>
      <w:r w:rsidR="00EB2B55" w:rsidRPr="00672DBE">
        <w:rPr>
          <w:b/>
          <w:sz w:val="24"/>
          <w:szCs w:val="24"/>
        </w:rPr>
        <w:t>Q</w:t>
      </w:r>
      <w:r w:rsidR="005253AB">
        <w:rPr>
          <w:b/>
          <w:sz w:val="24"/>
          <w:szCs w:val="24"/>
        </w:rPr>
        <w:t xml:space="preserve">uestion </w:t>
      </w:r>
      <w:r w:rsidR="00EB2B55" w:rsidRPr="00672DBE">
        <w:rPr>
          <w:b/>
          <w:sz w:val="24"/>
          <w:szCs w:val="24"/>
        </w:rPr>
        <w:t>3</w:t>
      </w:r>
      <w:r w:rsidR="005253AB">
        <w:rPr>
          <w:b/>
          <w:sz w:val="24"/>
          <w:szCs w:val="24"/>
        </w:rPr>
        <w:t>:</w:t>
      </w:r>
      <w:r w:rsidR="00EB2B55" w:rsidRPr="00672DBE">
        <w:rPr>
          <w:b/>
          <w:sz w:val="24"/>
          <w:szCs w:val="24"/>
        </w:rPr>
        <w:t xml:space="preserve"> What existing measures/health promotion tools/interventions/programs are there in Australia and overseas that apply a gendered approach?</w:t>
      </w:r>
    </w:p>
    <w:tbl>
      <w:tblPr>
        <w:tblStyle w:val="TableGrid"/>
        <w:tblW w:w="0" w:type="auto"/>
        <w:tblLayout w:type="fixed"/>
        <w:tblLook w:val="04A0" w:firstRow="1" w:lastRow="0" w:firstColumn="1" w:lastColumn="0" w:noHBand="0" w:noVBand="1"/>
      </w:tblPr>
      <w:tblGrid>
        <w:gridCol w:w="1375"/>
        <w:gridCol w:w="1881"/>
        <w:gridCol w:w="2126"/>
        <w:gridCol w:w="1701"/>
        <w:gridCol w:w="2268"/>
        <w:gridCol w:w="2268"/>
        <w:gridCol w:w="3769"/>
      </w:tblGrid>
      <w:tr w:rsidR="00EB2B55" w:rsidRPr="00672DBE" w14:paraId="30F54812" w14:textId="77777777" w:rsidTr="00453AD2">
        <w:trPr>
          <w:trHeight w:val="720"/>
          <w:tblHeader/>
        </w:trPr>
        <w:tc>
          <w:tcPr>
            <w:tcW w:w="1375" w:type="dxa"/>
            <w:hideMark/>
          </w:tcPr>
          <w:p w14:paraId="5C83B681" w14:textId="1C586D63" w:rsidR="00EB2B55" w:rsidRPr="00672DBE" w:rsidRDefault="00EB2B55" w:rsidP="003414BB">
            <w:pPr>
              <w:rPr>
                <w:b/>
                <w:bCs/>
              </w:rPr>
            </w:pPr>
            <w:r w:rsidRPr="00672DBE">
              <w:rPr>
                <w:b/>
                <w:bCs/>
              </w:rPr>
              <w:t xml:space="preserve">Author, </w:t>
            </w:r>
            <w:r w:rsidR="009249C8">
              <w:rPr>
                <w:b/>
                <w:bCs/>
              </w:rPr>
              <w:t>y</w:t>
            </w:r>
            <w:r w:rsidR="009249C8" w:rsidRPr="00672DBE">
              <w:rPr>
                <w:b/>
                <w:bCs/>
              </w:rPr>
              <w:t>ear</w:t>
            </w:r>
            <w:r w:rsidRPr="00672DBE">
              <w:rPr>
                <w:b/>
                <w:bCs/>
              </w:rPr>
              <w:t xml:space="preserve">, </w:t>
            </w:r>
            <w:r w:rsidR="009249C8">
              <w:rPr>
                <w:b/>
                <w:bCs/>
              </w:rPr>
              <w:t>c</w:t>
            </w:r>
            <w:r w:rsidR="009249C8" w:rsidRPr="00672DBE">
              <w:rPr>
                <w:b/>
                <w:bCs/>
              </w:rPr>
              <w:t>ountry</w:t>
            </w:r>
          </w:p>
        </w:tc>
        <w:tc>
          <w:tcPr>
            <w:tcW w:w="1881" w:type="dxa"/>
            <w:hideMark/>
          </w:tcPr>
          <w:p w14:paraId="43FD64FB" w14:textId="076928AA" w:rsidR="00EB2B55" w:rsidRPr="00672DBE" w:rsidRDefault="00EB2B55" w:rsidP="003414BB">
            <w:pPr>
              <w:rPr>
                <w:b/>
                <w:bCs/>
              </w:rPr>
            </w:pPr>
            <w:r w:rsidRPr="00672DBE">
              <w:rPr>
                <w:b/>
                <w:bCs/>
              </w:rPr>
              <w:t xml:space="preserve">Aim, </w:t>
            </w:r>
            <w:r w:rsidR="009249C8">
              <w:rPr>
                <w:b/>
                <w:bCs/>
              </w:rPr>
              <w:t>s</w:t>
            </w:r>
            <w:r w:rsidR="009249C8" w:rsidRPr="00672DBE">
              <w:rPr>
                <w:b/>
                <w:bCs/>
              </w:rPr>
              <w:t xml:space="preserve">tudy </w:t>
            </w:r>
            <w:r w:rsidRPr="00672DBE">
              <w:rPr>
                <w:b/>
                <w:bCs/>
              </w:rPr>
              <w:t>design</w:t>
            </w:r>
          </w:p>
        </w:tc>
        <w:tc>
          <w:tcPr>
            <w:tcW w:w="2126" w:type="dxa"/>
            <w:hideMark/>
          </w:tcPr>
          <w:p w14:paraId="6B17BD29" w14:textId="6DF15985" w:rsidR="00EB2B55" w:rsidRPr="00672DBE" w:rsidRDefault="00EB2B55" w:rsidP="003414BB">
            <w:pPr>
              <w:rPr>
                <w:b/>
                <w:bCs/>
              </w:rPr>
            </w:pPr>
            <w:r w:rsidRPr="00672DBE">
              <w:rPr>
                <w:b/>
                <w:bCs/>
              </w:rPr>
              <w:t xml:space="preserve">Sample size, </w:t>
            </w:r>
            <w:r w:rsidR="009249C8">
              <w:rPr>
                <w:b/>
                <w:bCs/>
              </w:rPr>
              <w:t>p</w:t>
            </w:r>
            <w:r w:rsidR="009249C8" w:rsidRPr="00672DBE">
              <w:rPr>
                <w:b/>
                <w:bCs/>
              </w:rPr>
              <w:t>articipants</w:t>
            </w:r>
            <w:r w:rsidRPr="00672DBE">
              <w:rPr>
                <w:b/>
                <w:bCs/>
              </w:rPr>
              <w:t xml:space="preserve">, </w:t>
            </w:r>
            <w:r w:rsidR="009249C8">
              <w:rPr>
                <w:b/>
                <w:bCs/>
              </w:rPr>
              <w:t>s</w:t>
            </w:r>
            <w:r w:rsidR="009249C8" w:rsidRPr="00672DBE">
              <w:rPr>
                <w:b/>
                <w:bCs/>
              </w:rPr>
              <w:t>etting</w:t>
            </w:r>
          </w:p>
        </w:tc>
        <w:tc>
          <w:tcPr>
            <w:tcW w:w="1701" w:type="dxa"/>
            <w:hideMark/>
          </w:tcPr>
          <w:p w14:paraId="08C0AEC8" w14:textId="77777777" w:rsidR="00EB2B55" w:rsidRPr="00672DBE" w:rsidRDefault="00EB2B55" w:rsidP="003414BB">
            <w:pPr>
              <w:rPr>
                <w:b/>
                <w:bCs/>
              </w:rPr>
            </w:pPr>
            <w:r w:rsidRPr="00672DBE">
              <w:rPr>
                <w:b/>
                <w:bCs/>
              </w:rPr>
              <w:t>Definition or clarification of sex/gender</w:t>
            </w:r>
          </w:p>
        </w:tc>
        <w:tc>
          <w:tcPr>
            <w:tcW w:w="2268" w:type="dxa"/>
            <w:hideMark/>
          </w:tcPr>
          <w:p w14:paraId="62FDDCE3" w14:textId="77777777" w:rsidR="00EB2B55" w:rsidRPr="00672DBE" w:rsidRDefault="00EB2B55" w:rsidP="003414BB">
            <w:pPr>
              <w:rPr>
                <w:b/>
                <w:bCs/>
              </w:rPr>
            </w:pPr>
            <w:r w:rsidRPr="00672DBE">
              <w:rPr>
                <w:b/>
                <w:bCs/>
              </w:rPr>
              <w:t>Intervention type</w:t>
            </w:r>
          </w:p>
        </w:tc>
        <w:tc>
          <w:tcPr>
            <w:tcW w:w="2268" w:type="dxa"/>
            <w:hideMark/>
          </w:tcPr>
          <w:p w14:paraId="400FCD14" w14:textId="5F0430A3" w:rsidR="00EB2B55" w:rsidRPr="00672DBE" w:rsidRDefault="00EB2B55" w:rsidP="003414BB">
            <w:pPr>
              <w:rPr>
                <w:b/>
                <w:bCs/>
              </w:rPr>
            </w:pPr>
            <w:r w:rsidRPr="00672DBE">
              <w:rPr>
                <w:b/>
                <w:bCs/>
              </w:rPr>
              <w:t xml:space="preserve">Outcome </w:t>
            </w:r>
            <w:r w:rsidR="009249C8">
              <w:rPr>
                <w:b/>
                <w:bCs/>
              </w:rPr>
              <w:t>&amp;</w:t>
            </w:r>
            <w:r w:rsidR="009249C8" w:rsidRPr="00672DBE">
              <w:rPr>
                <w:b/>
                <w:bCs/>
              </w:rPr>
              <w:t xml:space="preserve"> </w:t>
            </w:r>
            <w:r w:rsidRPr="00672DBE">
              <w:rPr>
                <w:b/>
                <w:bCs/>
              </w:rPr>
              <w:t>measures</w:t>
            </w:r>
          </w:p>
        </w:tc>
        <w:tc>
          <w:tcPr>
            <w:tcW w:w="3769" w:type="dxa"/>
            <w:hideMark/>
          </w:tcPr>
          <w:p w14:paraId="393B3F39" w14:textId="3ECAB7A7" w:rsidR="00EB2B55" w:rsidRPr="00672DBE" w:rsidRDefault="00EB2B55" w:rsidP="003414BB">
            <w:pPr>
              <w:rPr>
                <w:b/>
                <w:bCs/>
              </w:rPr>
            </w:pPr>
            <w:r w:rsidRPr="00672DBE">
              <w:rPr>
                <w:b/>
                <w:bCs/>
              </w:rPr>
              <w:t>Results/</w:t>
            </w:r>
            <w:r w:rsidR="00276281">
              <w:rPr>
                <w:b/>
                <w:bCs/>
              </w:rPr>
              <w:t>m</w:t>
            </w:r>
            <w:r w:rsidR="00276281" w:rsidRPr="00672DBE">
              <w:rPr>
                <w:b/>
                <w:bCs/>
              </w:rPr>
              <w:t xml:space="preserve">ain </w:t>
            </w:r>
            <w:r w:rsidRPr="00672DBE">
              <w:rPr>
                <w:b/>
                <w:bCs/>
              </w:rPr>
              <w:t>findings</w:t>
            </w:r>
          </w:p>
        </w:tc>
      </w:tr>
      <w:tr w:rsidR="00EB2B55" w:rsidRPr="00672DBE" w14:paraId="2967ED12" w14:textId="77777777" w:rsidTr="008F52F7">
        <w:trPr>
          <w:cantSplit/>
        </w:trPr>
        <w:tc>
          <w:tcPr>
            <w:tcW w:w="1375" w:type="dxa"/>
            <w:hideMark/>
          </w:tcPr>
          <w:p w14:paraId="4CDAB6A0" w14:textId="3D90DDEA" w:rsidR="00EB2B55" w:rsidRPr="00672DBE" w:rsidRDefault="00EB2B55" w:rsidP="003414BB">
            <w:proofErr w:type="spellStart"/>
            <w:r w:rsidRPr="00672DBE">
              <w:t>Barha</w:t>
            </w:r>
            <w:proofErr w:type="spellEnd"/>
            <w:r w:rsidRPr="00672DBE">
              <w:t xml:space="preserve"> et al.</w:t>
            </w:r>
            <w:r w:rsidR="00DD4DC6">
              <w:t>,</w:t>
            </w:r>
            <w:r w:rsidRPr="00672DBE">
              <w:t xml:space="preserve"> 2017, Canada</w:t>
            </w:r>
          </w:p>
        </w:tc>
        <w:tc>
          <w:tcPr>
            <w:tcW w:w="1881" w:type="dxa"/>
            <w:hideMark/>
          </w:tcPr>
          <w:p w14:paraId="239F9E47" w14:textId="17C8EBFE" w:rsidR="00B02F99" w:rsidRDefault="00EB2B55" w:rsidP="003414BB">
            <w:r w:rsidRPr="00672DBE">
              <w:t>To determine whether the effect of aerobic training (AT) on executive functions is dependent on biological sex</w:t>
            </w:r>
            <w:r w:rsidR="00B02F99">
              <w:t>;</w:t>
            </w:r>
            <w:r w:rsidRPr="00672DBE">
              <w:t xml:space="preserve"> to examine possible underlying mechanisms</w:t>
            </w:r>
            <w:r w:rsidR="00B02F99">
              <w:t>.</w:t>
            </w:r>
          </w:p>
          <w:p w14:paraId="7D9CFB07" w14:textId="1DD8DCE9" w:rsidR="00EB2B55" w:rsidRPr="00672DBE" w:rsidRDefault="00EB2B55" w:rsidP="003414BB">
            <w:r w:rsidRPr="00672DBE">
              <w:t xml:space="preserve">Secondary analysis (proof-of-concept single-blind RCT). </w:t>
            </w:r>
          </w:p>
        </w:tc>
        <w:tc>
          <w:tcPr>
            <w:tcW w:w="2126" w:type="dxa"/>
            <w:hideMark/>
          </w:tcPr>
          <w:p w14:paraId="0A5732C2" w14:textId="12124080" w:rsidR="00EB2B55" w:rsidRPr="00672DBE" w:rsidRDefault="00EB2B55" w:rsidP="003414BB">
            <w:r w:rsidRPr="00672DBE">
              <w:t xml:space="preserve">29 </w:t>
            </w:r>
            <w:r w:rsidR="00787C45">
              <w:t>women</w:t>
            </w:r>
            <w:r w:rsidR="00787C45" w:rsidRPr="00672DBE">
              <w:t xml:space="preserve"> </w:t>
            </w:r>
          </w:p>
          <w:p w14:paraId="4E42EFA7" w14:textId="69CC7EE1" w:rsidR="00EB2B55" w:rsidRPr="00672DBE" w:rsidRDefault="00EB2B55" w:rsidP="003414BB">
            <w:r w:rsidRPr="00672DBE">
              <w:t>(</w:t>
            </w:r>
            <w:r w:rsidR="00787C45">
              <w:t>c</w:t>
            </w:r>
            <w:r w:rsidR="00787C45" w:rsidRPr="00672DBE">
              <w:t>ontrol</w:t>
            </w:r>
            <w:r w:rsidRPr="00672DBE">
              <w:t>: 12</w:t>
            </w:r>
            <w:r w:rsidR="00787C45">
              <w:t>,</w:t>
            </w:r>
            <w:r w:rsidR="00787C45" w:rsidRPr="00672DBE">
              <w:t xml:space="preserve"> </w:t>
            </w:r>
            <w:r w:rsidR="00787C45">
              <w:t>i</w:t>
            </w:r>
            <w:r w:rsidRPr="00672DBE">
              <w:t xml:space="preserve">ntervention: 17) </w:t>
            </w:r>
            <w:r w:rsidR="00787C45">
              <w:t>&amp;</w:t>
            </w:r>
            <w:r w:rsidR="00787C45" w:rsidRPr="00672DBE">
              <w:t xml:space="preserve"> </w:t>
            </w:r>
            <w:r w:rsidRPr="00672DBE">
              <w:t xml:space="preserve">29 </w:t>
            </w:r>
            <w:r w:rsidR="00787C45" w:rsidRPr="00672DBE">
              <w:t>m</w:t>
            </w:r>
            <w:r w:rsidR="00787C45">
              <w:t>en</w:t>
            </w:r>
            <w:r w:rsidR="00787C45" w:rsidRPr="00672DBE">
              <w:t xml:space="preserve"> </w:t>
            </w:r>
            <w:r w:rsidRPr="00672DBE">
              <w:t>(</w:t>
            </w:r>
            <w:r w:rsidR="00787C45">
              <w:t>co</w:t>
            </w:r>
            <w:r w:rsidR="00787C45" w:rsidRPr="00672DBE">
              <w:t>ntrol</w:t>
            </w:r>
            <w:r w:rsidRPr="00672DBE">
              <w:t>: 15</w:t>
            </w:r>
            <w:r w:rsidR="00787C45">
              <w:t>,</w:t>
            </w:r>
            <w:r w:rsidR="00787C45" w:rsidRPr="00672DBE">
              <w:t xml:space="preserve"> </w:t>
            </w:r>
            <w:r w:rsidR="00787C45">
              <w:t>i</w:t>
            </w:r>
            <w:r w:rsidRPr="00672DBE">
              <w:t xml:space="preserve">ntervention: 14) </w:t>
            </w:r>
            <w:r w:rsidR="00787C45">
              <w:t>aged 55+</w:t>
            </w:r>
            <w:r w:rsidRPr="00672DBE">
              <w:t xml:space="preserve"> years</w:t>
            </w:r>
            <w:r w:rsidR="00787C45">
              <w:t>,</w:t>
            </w:r>
            <w:r w:rsidRPr="00672DBE">
              <w:t xml:space="preserve"> clinically diagnosed with mild </w:t>
            </w:r>
            <w:r w:rsidR="00787C45">
              <w:t>s</w:t>
            </w:r>
            <w:r w:rsidR="00787C45" w:rsidRPr="00672DBE">
              <w:t xml:space="preserve">ubcortical </w:t>
            </w:r>
            <w:r w:rsidRPr="00672DBE">
              <w:t>ischemic vascular cognitive impairment (SIVCI) in University of British Columbia Hospital Clinic</w:t>
            </w:r>
            <w:r w:rsidR="00787C45">
              <w:t>.</w:t>
            </w:r>
            <w:r w:rsidRPr="00672DBE">
              <w:t xml:space="preserve"> </w:t>
            </w:r>
          </w:p>
        </w:tc>
        <w:tc>
          <w:tcPr>
            <w:tcW w:w="1701" w:type="dxa"/>
            <w:hideMark/>
          </w:tcPr>
          <w:p w14:paraId="3DFA1BC6" w14:textId="56EC5860" w:rsidR="00EB7149" w:rsidRPr="00A00D5C" w:rsidRDefault="00EB2B55" w:rsidP="003414BB">
            <w:r w:rsidRPr="00A00D5C">
              <w:t xml:space="preserve">No definition of sex/gender. </w:t>
            </w:r>
            <w:r w:rsidR="00EB7149" w:rsidRPr="00A00D5C">
              <w:t>Use of “biological sex” (implied definition). No mention of gender.</w:t>
            </w:r>
          </w:p>
          <w:p w14:paraId="78F0B5D4" w14:textId="76EB3817" w:rsidR="00EB2B55" w:rsidRPr="00A00D5C" w:rsidRDefault="00EB2B55" w:rsidP="003414BB">
            <w:r w:rsidRPr="00A00D5C">
              <w:t xml:space="preserve">Participants treated as binary sex. </w:t>
            </w:r>
          </w:p>
        </w:tc>
        <w:tc>
          <w:tcPr>
            <w:tcW w:w="2268" w:type="dxa"/>
            <w:hideMark/>
          </w:tcPr>
          <w:p w14:paraId="5274BF4B" w14:textId="3E066DF8" w:rsidR="008536D1" w:rsidRDefault="00EB2B55" w:rsidP="003414BB">
            <w:r w:rsidRPr="00672DBE">
              <w:t xml:space="preserve">Intervention: 60 min </w:t>
            </w:r>
            <w:r w:rsidR="008536D1">
              <w:t xml:space="preserve">AT </w:t>
            </w:r>
            <w:r w:rsidRPr="00672DBE">
              <w:t>(10-min warmup, 40-min walking, 10-min cool down) 3 times week</w:t>
            </w:r>
            <w:r w:rsidR="008536D1">
              <w:t>ly</w:t>
            </w:r>
            <w:r w:rsidRPr="00672DBE">
              <w:t xml:space="preserve"> </w:t>
            </w:r>
            <w:r w:rsidR="008536D1">
              <w:t>x</w:t>
            </w:r>
            <w:r w:rsidR="008536D1" w:rsidRPr="00672DBE">
              <w:t xml:space="preserve"> </w:t>
            </w:r>
            <w:r w:rsidRPr="00672DBE">
              <w:t>6 months, led by certified fitness instructors</w:t>
            </w:r>
            <w:r w:rsidR="008536D1">
              <w:t>.</w:t>
            </w:r>
          </w:p>
          <w:p w14:paraId="457C6FE4" w14:textId="2D28D397" w:rsidR="00EB2B55" w:rsidRPr="00672DBE" w:rsidRDefault="00EB2B55" w:rsidP="003414BB">
            <w:r w:rsidRPr="00672DBE">
              <w:t xml:space="preserve">Control: Monthly education classes </w:t>
            </w:r>
            <w:r w:rsidR="008536D1">
              <w:t>from</w:t>
            </w:r>
            <w:r w:rsidRPr="00672DBE">
              <w:t xml:space="preserve"> registered dietician </w:t>
            </w:r>
            <w:r w:rsidR="008536D1">
              <w:t xml:space="preserve">about </w:t>
            </w:r>
            <w:r w:rsidRPr="00672DBE">
              <w:t>VCI</w:t>
            </w:r>
            <w:r w:rsidR="008536D1">
              <w:t xml:space="preserve"> &amp;</w:t>
            </w:r>
            <w:r w:rsidRPr="00672DBE">
              <w:t xml:space="preserve"> healthy diets</w:t>
            </w:r>
            <w:r w:rsidR="008536D1">
              <w:t>.</w:t>
            </w:r>
          </w:p>
        </w:tc>
        <w:tc>
          <w:tcPr>
            <w:tcW w:w="2268" w:type="dxa"/>
            <w:hideMark/>
          </w:tcPr>
          <w:p w14:paraId="51DD4AA1" w14:textId="406CCD25" w:rsidR="00EB2B55" w:rsidRPr="00672DBE" w:rsidRDefault="00EB2B55" w:rsidP="003414BB">
            <w:r w:rsidRPr="00672DBE">
              <w:t xml:space="preserve">1) </w:t>
            </w:r>
            <w:r w:rsidR="00CB2F99">
              <w:t>N</w:t>
            </w:r>
            <w:r w:rsidRPr="00672DBE">
              <w:t>umber of comorbid conditions</w:t>
            </w:r>
            <w:r w:rsidR="00CB2F99">
              <w:t>.</w:t>
            </w:r>
          </w:p>
          <w:p w14:paraId="3184E34C" w14:textId="0905B0C3" w:rsidR="00EB2B55" w:rsidRPr="00672DBE" w:rsidRDefault="00EB2B55" w:rsidP="003414BB">
            <w:r w:rsidRPr="00672DBE">
              <w:t xml:space="preserve">2) </w:t>
            </w:r>
            <w:r w:rsidR="00CB2F99">
              <w:t>G</w:t>
            </w:r>
            <w:r w:rsidRPr="00672DBE">
              <w:t>eneral mobility</w:t>
            </w:r>
            <w:r w:rsidR="00CB2F99">
              <w:t>.</w:t>
            </w:r>
            <w:r w:rsidR="00CB2F99" w:rsidRPr="00672DBE">
              <w:t xml:space="preserve"> </w:t>
            </w:r>
          </w:p>
          <w:p w14:paraId="5210A829" w14:textId="49A92DC5" w:rsidR="00EB2B55" w:rsidRPr="00672DBE" w:rsidRDefault="00EB2B55" w:rsidP="003414BB">
            <w:r w:rsidRPr="00672DBE">
              <w:t xml:space="preserve">3) </w:t>
            </w:r>
            <w:r w:rsidR="00CB2F99">
              <w:t>M</w:t>
            </w:r>
            <w:r w:rsidRPr="00672DBE">
              <w:t>obility</w:t>
            </w:r>
            <w:r w:rsidR="00CB2F99">
              <w:t>.</w:t>
            </w:r>
          </w:p>
          <w:p w14:paraId="311AC2B4" w14:textId="01F3BF49" w:rsidR="00CB2F99" w:rsidRDefault="00EB2B55" w:rsidP="003414BB">
            <w:r w:rsidRPr="00672DBE">
              <w:t xml:space="preserve">4) </w:t>
            </w:r>
            <w:r w:rsidR="00CB2F99">
              <w:t xml:space="preserve">Depression, memory, response inhibition, </w:t>
            </w:r>
            <w:proofErr w:type="gramStart"/>
            <w:r w:rsidR="00CB2F99">
              <w:t>Psychological</w:t>
            </w:r>
            <w:proofErr w:type="gramEnd"/>
            <w:r w:rsidR="00CB2F99">
              <w:t xml:space="preserve"> tests.</w:t>
            </w:r>
          </w:p>
          <w:p w14:paraId="641006A8" w14:textId="7A4DCC2F" w:rsidR="00EB2B55" w:rsidRPr="00672DBE" w:rsidRDefault="00CB2F99" w:rsidP="003414BB">
            <w:r>
              <w:t xml:space="preserve">All by sex. </w:t>
            </w:r>
          </w:p>
        </w:tc>
        <w:tc>
          <w:tcPr>
            <w:tcW w:w="3769" w:type="dxa"/>
            <w:hideMark/>
          </w:tcPr>
          <w:p w14:paraId="55DC4C19" w14:textId="159F1D50" w:rsidR="00EB2B55" w:rsidRPr="00672DBE" w:rsidRDefault="00EB2B55" w:rsidP="003414BB">
            <w:r w:rsidRPr="00672DBE">
              <w:t xml:space="preserve">• </w:t>
            </w:r>
            <w:r w:rsidR="00CB2F99">
              <w:t>Evidence of sex differences in effects of AT.</w:t>
            </w:r>
          </w:p>
          <w:p w14:paraId="7028CA8F" w14:textId="12E10C97" w:rsidR="00CB2F99" w:rsidRDefault="00EB2B55" w:rsidP="003414BB">
            <w:r w:rsidRPr="00672DBE">
              <w:t xml:space="preserve">• AT significantly increased </w:t>
            </w:r>
            <w:r w:rsidR="00CB2F99">
              <w:t>b</w:t>
            </w:r>
            <w:r w:rsidR="00CB2F99" w:rsidRPr="00672DBE">
              <w:t>rain</w:t>
            </w:r>
            <w:r w:rsidRPr="00672DBE">
              <w:t xml:space="preserve">-derived neurotrophic factor (BDNF) levels in </w:t>
            </w:r>
            <w:r w:rsidR="00CB2F99">
              <w:t>women</w:t>
            </w:r>
            <w:r w:rsidR="00CB2F99" w:rsidRPr="00672DBE">
              <w:t xml:space="preserve"> </w:t>
            </w:r>
            <w:r w:rsidRPr="00672DBE">
              <w:t xml:space="preserve">but decreased levels in </w:t>
            </w:r>
            <w:r w:rsidR="00CB2F99" w:rsidRPr="00672DBE">
              <w:t>m</w:t>
            </w:r>
            <w:r w:rsidR="00CB2F99">
              <w:t>en</w:t>
            </w:r>
            <w:r w:rsidRPr="00672DBE">
              <w:t xml:space="preserve">. </w:t>
            </w:r>
          </w:p>
          <w:p w14:paraId="7F603897" w14:textId="2262B9A3" w:rsidR="00CB2F99" w:rsidRPr="00672DBE" w:rsidRDefault="00CB2F99" w:rsidP="00CB2F99">
            <w:r w:rsidRPr="00672DBE">
              <w:t xml:space="preserve">• </w:t>
            </w:r>
            <w:r w:rsidR="00EB2B55" w:rsidRPr="00672DBE">
              <w:t xml:space="preserve">AT led to significant gains in functional fitness capacity in </w:t>
            </w:r>
            <w:r w:rsidRPr="00672DBE">
              <w:t>m</w:t>
            </w:r>
            <w:r>
              <w:t>en</w:t>
            </w:r>
            <w:r w:rsidRPr="00672DBE">
              <w:t xml:space="preserve"> </w:t>
            </w:r>
            <w:r w:rsidR="00EB2B55" w:rsidRPr="00672DBE">
              <w:t>only.</w:t>
            </w:r>
          </w:p>
        </w:tc>
      </w:tr>
      <w:tr w:rsidR="00EB2B55" w:rsidRPr="00672DBE" w14:paraId="4DF67AE3" w14:textId="77777777" w:rsidTr="00453AD2">
        <w:trPr>
          <w:trHeight w:val="590"/>
        </w:trPr>
        <w:tc>
          <w:tcPr>
            <w:tcW w:w="1375" w:type="dxa"/>
            <w:hideMark/>
          </w:tcPr>
          <w:p w14:paraId="12FE9AE4" w14:textId="7BDF7B28" w:rsidR="00EB2B55" w:rsidRPr="00672DBE" w:rsidRDefault="00EB2B55" w:rsidP="003414BB">
            <w:r w:rsidRPr="00672DBE">
              <w:t>Cropsey et al.</w:t>
            </w:r>
            <w:r w:rsidR="00DD4DC6">
              <w:t>,</w:t>
            </w:r>
            <w:r w:rsidRPr="00672DBE">
              <w:t xml:space="preserve"> 2014, United States</w:t>
            </w:r>
            <w:r w:rsidR="00DD4DC6">
              <w:t xml:space="preserve"> of America</w:t>
            </w:r>
          </w:p>
        </w:tc>
        <w:tc>
          <w:tcPr>
            <w:tcW w:w="1881" w:type="dxa"/>
            <w:hideMark/>
          </w:tcPr>
          <w:p w14:paraId="1CF83341" w14:textId="0F426F1E" w:rsidR="00081B59" w:rsidRDefault="00EB2B55" w:rsidP="003414BB">
            <w:r w:rsidRPr="00672DBE">
              <w:t xml:space="preserve">To investigate racial </w:t>
            </w:r>
            <w:r w:rsidR="00611AA5">
              <w:t>&amp;</w:t>
            </w:r>
            <w:r w:rsidR="00611AA5" w:rsidRPr="00672DBE">
              <w:t xml:space="preserve"> </w:t>
            </w:r>
            <w:r w:rsidRPr="00672DBE">
              <w:t xml:space="preserve">gender differences </w:t>
            </w:r>
            <w:r w:rsidR="00611AA5">
              <w:t xml:space="preserve">in smoking cessation, </w:t>
            </w:r>
            <w:r w:rsidRPr="00672DBE">
              <w:t>motivation to quit</w:t>
            </w:r>
            <w:r w:rsidR="00611AA5">
              <w:t>,</w:t>
            </w:r>
            <w:r w:rsidRPr="00672DBE">
              <w:t xml:space="preserve"> </w:t>
            </w:r>
            <w:r w:rsidR="00611AA5">
              <w:t>&amp;</w:t>
            </w:r>
            <w:r w:rsidR="00611AA5" w:rsidRPr="00672DBE">
              <w:t xml:space="preserve"> </w:t>
            </w:r>
            <w:r w:rsidRPr="00672DBE">
              <w:t>abstinence self-efficacy</w:t>
            </w:r>
            <w:r w:rsidR="00081B59">
              <w:t>.</w:t>
            </w:r>
          </w:p>
          <w:p w14:paraId="4C88DE04" w14:textId="02AD8E25" w:rsidR="00EB2B55" w:rsidRPr="00672DBE" w:rsidRDefault="00EB2B55" w:rsidP="003414BB">
            <w:r w:rsidRPr="00672DBE">
              <w:t>Cross sectional study</w:t>
            </w:r>
            <w:r w:rsidR="00611AA5">
              <w:t>.</w:t>
            </w:r>
          </w:p>
        </w:tc>
        <w:tc>
          <w:tcPr>
            <w:tcW w:w="2126" w:type="dxa"/>
            <w:hideMark/>
          </w:tcPr>
          <w:p w14:paraId="103A327D" w14:textId="6AB00C44" w:rsidR="00B87541" w:rsidRDefault="00EB2B55" w:rsidP="003414BB">
            <w:pPr>
              <w:rPr>
                <w:sz w:val="21"/>
                <w:szCs w:val="21"/>
              </w:rPr>
            </w:pPr>
            <w:r w:rsidRPr="00672DBE">
              <w:rPr>
                <w:sz w:val="21"/>
                <w:szCs w:val="21"/>
              </w:rPr>
              <w:t>673 smokers (</w:t>
            </w:r>
            <w:r w:rsidR="00B87541">
              <w:rPr>
                <w:sz w:val="21"/>
                <w:szCs w:val="21"/>
              </w:rPr>
              <w:t xml:space="preserve">443 </w:t>
            </w:r>
            <w:r w:rsidRPr="00672DBE">
              <w:rPr>
                <w:sz w:val="21"/>
                <w:szCs w:val="21"/>
              </w:rPr>
              <w:t xml:space="preserve">African American, 65.8%; </w:t>
            </w:r>
            <w:r w:rsidR="00B87541">
              <w:rPr>
                <w:sz w:val="21"/>
                <w:szCs w:val="21"/>
              </w:rPr>
              <w:t xml:space="preserve">222 </w:t>
            </w:r>
            <w:r w:rsidRPr="00672DBE">
              <w:rPr>
                <w:sz w:val="21"/>
                <w:szCs w:val="21"/>
              </w:rPr>
              <w:t>women, 33.0%)</w:t>
            </w:r>
            <w:r w:rsidR="00B87541">
              <w:rPr>
                <w:sz w:val="21"/>
                <w:szCs w:val="21"/>
              </w:rPr>
              <w:t xml:space="preserve"> aged</w:t>
            </w:r>
            <w:r w:rsidRPr="00672DBE">
              <w:rPr>
                <w:sz w:val="21"/>
                <w:szCs w:val="21"/>
              </w:rPr>
              <w:t xml:space="preserve"> 19</w:t>
            </w:r>
            <w:r w:rsidR="00B87541">
              <w:rPr>
                <w:sz w:val="21"/>
                <w:szCs w:val="21"/>
              </w:rPr>
              <w:t>+</w:t>
            </w:r>
            <w:r w:rsidRPr="00672DBE">
              <w:rPr>
                <w:sz w:val="21"/>
                <w:szCs w:val="21"/>
              </w:rPr>
              <w:t xml:space="preserve"> years</w:t>
            </w:r>
            <w:r w:rsidR="00B87541">
              <w:rPr>
                <w:sz w:val="21"/>
                <w:szCs w:val="21"/>
              </w:rPr>
              <w:t>,</w:t>
            </w:r>
            <w:r w:rsidRPr="00672DBE">
              <w:rPr>
                <w:sz w:val="21"/>
                <w:szCs w:val="21"/>
              </w:rPr>
              <w:t xml:space="preserve"> under criminal justice supervision in communities</w:t>
            </w:r>
            <w:r w:rsidR="00B87541">
              <w:rPr>
                <w:sz w:val="21"/>
                <w:szCs w:val="21"/>
              </w:rPr>
              <w:t>,</w:t>
            </w:r>
            <w:r w:rsidR="00573617">
              <w:rPr>
                <w:sz w:val="21"/>
                <w:szCs w:val="21"/>
              </w:rPr>
              <w:t xml:space="preserve"> </w:t>
            </w:r>
            <w:r w:rsidRPr="00672DBE">
              <w:rPr>
                <w:sz w:val="21"/>
                <w:szCs w:val="21"/>
              </w:rPr>
              <w:t>smoking 5</w:t>
            </w:r>
            <w:r w:rsidR="00B87541">
              <w:rPr>
                <w:sz w:val="21"/>
                <w:szCs w:val="21"/>
              </w:rPr>
              <w:t>+</w:t>
            </w:r>
            <w:r w:rsidRPr="00672DBE">
              <w:rPr>
                <w:sz w:val="21"/>
                <w:szCs w:val="21"/>
              </w:rPr>
              <w:t xml:space="preserve"> cigarettes</w:t>
            </w:r>
            <w:r w:rsidR="00B87541">
              <w:rPr>
                <w:sz w:val="21"/>
                <w:szCs w:val="21"/>
              </w:rPr>
              <w:t xml:space="preserve"> </w:t>
            </w:r>
            <w:r w:rsidRPr="00672DBE">
              <w:rPr>
                <w:sz w:val="21"/>
                <w:szCs w:val="21"/>
              </w:rPr>
              <w:t>da</w:t>
            </w:r>
            <w:r w:rsidR="00B87541">
              <w:rPr>
                <w:sz w:val="21"/>
                <w:szCs w:val="21"/>
              </w:rPr>
              <w:t>il</w:t>
            </w:r>
            <w:r w:rsidRPr="00672DBE">
              <w:rPr>
                <w:sz w:val="21"/>
                <w:szCs w:val="21"/>
              </w:rPr>
              <w:t>y</w:t>
            </w:r>
            <w:r w:rsidR="00B87541">
              <w:rPr>
                <w:sz w:val="21"/>
                <w:szCs w:val="21"/>
              </w:rPr>
              <w:t>.</w:t>
            </w:r>
          </w:p>
          <w:p w14:paraId="39BA1A58" w14:textId="1330A4B5" w:rsidR="00EB2B55" w:rsidRPr="00672DBE" w:rsidRDefault="00EB2B55" w:rsidP="003414BB">
            <w:pPr>
              <w:rPr>
                <w:sz w:val="21"/>
                <w:szCs w:val="21"/>
              </w:rPr>
            </w:pPr>
            <w:r w:rsidRPr="00672DBE">
              <w:rPr>
                <w:sz w:val="21"/>
                <w:szCs w:val="21"/>
              </w:rPr>
              <w:t xml:space="preserve">Community </w:t>
            </w:r>
            <w:r w:rsidR="00B87541">
              <w:rPr>
                <w:sz w:val="21"/>
                <w:szCs w:val="21"/>
              </w:rPr>
              <w:t>s</w:t>
            </w:r>
            <w:r w:rsidR="00B87541" w:rsidRPr="00672DBE">
              <w:rPr>
                <w:sz w:val="21"/>
                <w:szCs w:val="21"/>
              </w:rPr>
              <w:t xml:space="preserve">moking </w:t>
            </w:r>
            <w:r w:rsidRPr="00672DBE">
              <w:rPr>
                <w:sz w:val="21"/>
                <w:szCs w:val="21"/>
              </w:rPr>
              <w:t>program</w:t>
            </w:r>
            <w:r w:rsidR="00B87541">
              <w:rPr>
                <w:sz w:val="21"/>
                <w:szCs w:val="21"/>
              </w:rPr>
              <w:t>.</w:t>
            </w:r>
          </w:p>
        </w:tc>
        <w:tc>
          <w:tcPr>
            <w:tcW w:w="1701" w:type="dxa"/>
            <w:hideMark/>
          </w:tcPr>
          <w:p w14:paraId="58B9F417" w14:textId="77777777" w:rsidR="00573617" w:rsidRPr="00A00D5C" w:rsidRDefault="00EB2B55" w:rsidP="003414BB">
            <w:r w:rsidRPr="00A00D5C">
              <w:t xml:space="preserve">No definition of sex/gender. </w:t>
            </w:r>
            <w:r w:rsidR="00573617" w:rsidRPr="00A00D5C">
              <w:t>“Gender” used for sex; some reference to socio-cultural factors.</w:t>
            </w:r>
          </w:p>
          <w:p w14:paraId="3391621C" w14:textId="3B65AE9A" w:rsidR="00EB2B55" w:rsidRPr="00A00D5C" w:rsidRDefault="00EB2B55" w:rsidP="003414BB">
            <w:r w:rsidRPr="00A00D5C">
              <w:t xml:space="preserve">Participants treated as binary sex. </w:t>
            </w:r>
          </w:p>
        </w:tc>
        <w:tc>
          <w:tcPr>
            <w:tcW w:w="2268" w:type="dxa"/>
            <w:hideMark/>
          </w:tcPr>
          <w:p w14:paraId="6B6D923A" w14:textId="6A4BA57E" w:rsidR="00EB2B55" w:rsidRPr="00672DBE" w:rsidRDefault="00E67CAD" w:rsidP="003414BB">
            <w:r>
              <w:t>P</w:t>
            </w:r>
            <w:r w:rsidR="00EB2B55" w:rsidRPr="00672DBE">
              <w:t>harmacotherapy</w:t>
            </w:r>
            <w:r>
              <w:t>, 4</w:t>
            </w:r>
            <w:r w:rsidR="00EB2B55" w:rsidRPr="00672DBE">
              <w:t xml:space="preserve"> sessions of behavioural </w:t>
            </w:r>
            <w:r w:rsidR="00B53A26" w:rsidRPr="00672DBE">
              <w:t>counselling</w:t>
            </w:r>
            <w:r>
              <w:t>.</w:t>
            </w:r>
          </w:p>
        </w:tc>
        <w:tc>
          <w:tcPr>
            <w:tcW w:w="2268" w:type="dxa"/>
            <w:hideMark/>
          </w:tcPr>
          <w:p w14:paraId="658FB4E7" w14:textId="7318B9CC" w:rsidR="00EB2B55" w:rsidRPr="00672DBE" w:rsidRDefault="00EB2B55" w:rsidP="003414BB">
            <w:r w:rsidRPr="00672DBE">
              <w:t>Smoking cessation (expectancies for different tobacco interventions, motivation to quit, abstinence self-efficacy)</w:t>
            </w:r>
            <w:r w:rsidR="00E67CAD">
              <w:t>.</w:t>
            </w:r>
          </w:p>
        </w:tc>
        <w:tc>
          <w:tcPr>
            <w:tcW w:w="3769" w:type="dxa"/>
            <w:hideMark/>
          </w:tcPr>
          <w:p w14:paraId="6307198B" w14:textId="75065023" w:rsidR="00FF3C7D" w:rsidRPr="006262BB" w:rsidRDefault="00FF3C7D" w:rsidP="00453AD2">
            <w:r w:rsidRPr="006262BB">
              <w:t xml:space="preserve">• </w:t>
            </w:r>
            <w:r w:rsidRPr="00453AD2">
              <w:t>Mediating role of expectancies for treatment effectiveness for women (&amp; African Americans).</w:t>
            </w:r>
          </w:p>
          <w:p w14:paraId="551BE93E" w14:textId="4261665B" w:rsidR="00EB2B55" w:rsidRPr="00672DBE" w:rsidRDefault="00EB2B55" w:rsidP="006262BB">
            <w:r w:rsidRPr="00672DBE">
              <w:t xml:space="preserve">• Women perceived </w:t>
            </w:r>
            <w:r w:rsidR="006262BB">
              <w:t xml:space="preserve">behavioural </w:t>
            </w:r>
            <w:proofErr w:type="gramStart"/>
            <w:r w:rsidR="006262BB">
              <w:t>interventions,</w:t>
            </w:r>
            <w:proofErr w:type="gramEnd"/>
            <w:r w:rsidR="006262BB">
              <w:t xml:space="preserve"> </w:t>
            </w:r>
            <w:r w:rsidRPr="00672DBE">
              <w:t xml:space="preserve">medication </w:t>
            </w:r>
            <w:r w:rsidR="00FF3C7D">
              <w:t>&amp;</w:t>
            </w:r>
            <w:r w:rsidR="00FF3C7D" w:rsidRPr="00672DBE">
              <w:t xml:space="preserve"> </w:t>
            </w:r>
            <w:r w:rsidRPr="00672DBE">
              <w:t>nicotine replacement therapy as more effective than men</w:t>
            </w:r>
            <w:r w:rsidR="00FF3C7D">
              <w:t>.</w:t>
            </w:r>
          </w:p>
          <w:p w14:paraId="0332C684" w14:textId="7289D2E5" w:rsidR="00EB2B55" w:rsidRPr="00672DBE" w:rsidRDefault="00EB2B55" w:rsidP="006262BB">
            <w:r w:rsidRPr="00672DBE">
              <w:t>• Women’s expecta</w:t>
            </w:r>
            <w:r w:rsidR="00FF3C7D">
              <w:t xml:space="preserve">tions </w:t>
            </w:r>
            <w:r w:rsidRPr="00672DBE">
              <w:t>were associated with greater motivation to quit</w:t>
            </w:r>
            <w:r w:rsidR="00FF3C7D">
              <w:t xml:space="preserve"> &amp; </w:t>
            </w:r>
            <w:r w:rsidRPr="00672DBE">
              <w:t>abstinence self-efficacy.</w:t>
            </w:r>
          </w:p>
        </w:tc>
      </w:tr>
      <w:tr w:rsidR="00EB2B55" w:rsidRPr="00672DBE" w14:paraId="304A44B4" w14:textId="77777777" w:rsidTr="00453AD2">
        <w:trPr>
          <w:trHeight w:val="3672"/>
        </w:trPr>
        <w:tc>
          <w:tcPr>
            <w:tcW w:w="1375" w:type="dxa"/>
            <w:hideMark/>
          </w:tcPr>
          <w:p w14:paraId="03D53482" w14:textId="683834AD" w:rsidR="00EB2B55" w:rsidRPr="00672DBE" w:rsidRDefault="00EB2B55" w:rsidP="003414BB">
            <w:r w:rsidRPr="00672DBE">
              <w:lastRenderedPageBreak/>
              <w:t>Guerrero et al.</w:t>
            </w:r>
            <w:r w:rsidR="00DD4DC6">
              <w:t>,</w:t>
            </w:r>
            <w:r w:rsidRPr="00672DBE">
              <w:t xml:space="preserve"> 2014, United States</w:t>
            </w:r>
            <w:r w:rsidR="00DD4DC6">
              <w:t xml:space="preserve"> of America</w:t>
            </w:r>
          </w:p>
        </w:tc>
        <w:tc>
          <w:tcPr>
            <w:tcW w:w="1881" w:type="dxa"/>
            <w:hideMark/>
          </w:tcPr>
          <w:p w14:paraId="7B296481" w14:textId="28BBDFCF" w:rsidR="00D30974" w:rsidRDefault="00EB2B55" w:rsidP="003414BB">
            <w:r w:rsidRPr="00672DBE">
              <w:t xml:space="preserve">To examine gender </w:t>
            </w:r>
            <w:r w:rsidR="00D30974">
              <w:t xml:space="preserve">(=sex &amp; gender) </w:t>
            </w:r>
            <w:r w:rsidRPr="00672DBE">
              <w:t xml:space="preserve">differences in Black, Latino, </w:t>
            </w:r>
            <w:r w:rsidR="00D30974">
              <w:t>&amp;</w:t>
            </w:r>
            <w:r w:rsidR="00D30974" w:rsidRPr="00672DBE">
              <w:t xml:space="preserve"> </w:t>
            </w:r>
            <w:r w:rsidRPr="00672DBE">
              <w:t xml:space="preserve">White subgroups in </w:t>
            </w:r>
            <w:r w:rsidR="00D30974">
              <w:t>use</w:t>
            </w:r>
            <w:r w:rsidRPr="00672DBE">
              <w:t xml:space="preserve"> of comprehensive </w:t>
            </w:r>
            <w:r w:rsidR="00DA4184">
              <w:t xml:space="preserve">substance use </w:t>
            </w:r>
            <w:r w:rsidRPr="00672DBE">
              <w:t xml:space="preserve">services </w:t>
            </w:r>
            <w:r w:rsidR="00D30974">
              <w:t>&amp;</w:t>
            </w:r>
            <w:r w:rsidR="00D30974" w:rsidRPr="00672DBE">
              <w:t xml:space="preserve"> </w:t>
            </w:r>
            <w:r w:rsidRPr="00672DBE">
              <w:t>post</w:t>
            </w:r>
            <w:r w:rsidR="004D768D">
              <w:t>-</w:t>
            </w:r>
            <w:r w:rsidRPr="00672DBE">
              <w:t>treatment substance use</w:t>
            </w:r>
            <w:r w:rsidR="00D30974">
              <w:t>.</w:t>
            </w:r>
          </w:p>
          <w:p w14:paraId="254C01C5" w14:textId="0C77143B" w:rsidR="00EB2B55" w:rsidRPr="00672DBE" w:rsidRDefault="00EB2B55" w:rsidP="003414BB">
            <w:r w:rsidRPr="00672DBE">
              <w:t>Prospective longitudinal study</w:t>
            </w:r>
            <w:r w:rsidR="00D30974">
              <w:t>.</w:t>
            </w:r>
          </w:p>
        </w:tc>
        <w:tc>
          <w:tcPr>
            <w:tcW w:w="2126" w:type="dxa"/>
            <w:hideMark/>
          </w:tcPr>
          <w:p w14:paraId="3B304602" w14:textId="7902C21B" w:rsidR="001043F6" w:rsidRDefault="00EB2B55" w:rsidP="003414BB">
            <w:r w:rsidRPr="00672DBE">
              <w:t>3,142 clients from 59 service delivery units</w:t>
            </w:r>
            <w:r w:rsidR="001043F6">
              <w:t>.</w:t>
            </w:r>
            <w:r w:rsidRPr="00672DBE">
              <w:t xml:space="preserve">  1,812 Blacks (734 women), 486 Latinos (147 women), </w:t>
            </w:r>
            <w:r w:rsidR="001043F6">
              <w:t xml:space="preserve">&amp; </w:t>
            </w:r>
            <w:r w:rsidRPr="00672DBE">
              <w:t>844 Whites (242 women) aged 17–51 years</w:t>
            </w:r>
            <w:r w:rsidR="001043F6">
              <w:t>.</w:t>
            </w:r>
          </w:p>
          <w:p w14:paraId="6FECB24A" w14:textId="79DD7107" w:rsidR="00EB2B55" w:rsidRPr="00672DBE" w:rsidRDefault="001043F6" w:rsidP="003414BB">
            <w:r>
              <w:t>59 o</w:t>
            </w:r>
            <w:r w:rsidR="00EB2B55" w:rsidRPr="00672DBE">
              <w:t>rganisations for substance abuse treatment in communities.</w:t>
            </w:r>
          </w:p>
        </w:tc>
        <w:tc>
          <w:tcPr>
            <w:tcW w:w="1701" w:type="dxa"/>
            <w:hideMark/>
          </w:tcPr>
          <w:p w14:paraId="6680A4E9" w14:textId="337DC2A6" w:rsidR="00EB2B55" w:rsidRPr="00672DBE" w:rsidRDefault="00EB2B55" w:rsidP="003414BB">
            <w:r w:rsidRPr="00672DBE">
              <w:t xml:space="preserve">No definition of </w:t>
            </w:r>
            <w:r w:rsidRPr="00C93560">
              <w:t xml:space="preserve">sex/gender. </w:t>
            </w:r>
            <w:r w:rsidR="00B10A44" w:rsidRPr="00C93560">
              <w:t xml:space="preserve">“Gender” used for sex &amp; </w:t>
            </w:r>
            <w:r w:rsidR="00460001" w:rsidRPr="00C93560">
              <w:t>socio-cultural matters</w:t>
            </w:r>
            <w:r w:rsidR="00B10A44" w:rsidRPr="00C93560">
              <w:t>.</w:t>
            </w:r>
            <w:r w:rsidRPr="00672DBE">
              <w:t xml:space="preserve"> </w:t>
            </w:r>
          </w:p>
        </w:tc>
        <w:tc>
          <w:tcPr>
            <w:tcW w:w="2268" w:type="dxa"/>
            <w:hideMark/>
          </w:tcPr>
          <w:p w14:paraId="70436B5D" w14:textId="7A6598A9" w:rsidR="00EB2B55" w:rsidRPr="00672DBE" w:rsidRDefault="00EB2B55" w:rsidP="003414BB">
            <w:r w:rsidRPr="00672DBE">
              <w:t>Methadone treatment, counselling, short-term residential program</w:t>
            </w:r>
            <w:r w:rsidR="002B4FDA">
              <w:t>s.</w:t>
            </w:r>
          </w:p>
        </w:tc>
        <w:tc>
          <w:tcPr>
            <w:tcW w:w="2268" w:type="dxa"/>
            <w:hideMark/>
          </w:tcPr>
          <w:p w14:paraId="7612F7E1" w14:textId="514079BF" w:rsidR="002B4FDA" w:rsidRDefault="004D768D" w:rsidP="003414BB">
            <w:r>
              <w:t xml:space="preserve">Dependent variable: </w:t>
            </w:r>
            <w:r w:rsidR="00B95F8E">
              <w:t>12 months p</w:t>
            </w:r>
            <w:r w:rsidR="00B95F8E" w:rsidRPr="00672DBE">
              <w:t>ost</w:t>
            </w:r>
            <w:r w:rsidR="00B95F8E">
              <w:t>-</w:t>
            </w:r>
            <w:r w:rsidR="00B95F8E" w:rsidRPr="00672DBE">
              <w:t xml:space="preserve">treatment </w:t>
            </w:r>
            <w:r w:rsidR="00EB2B55" w:rsidRPr="00672DBE">
              <w:t>substance use</w:t>
            </w:r>
            <w:r w:rsidR="00B95F8E">
              <w:t>.</w:t>
            </w:r>
            <w:r w:rsidR="00EB2B55" w:rsidRPr="00672DBE">
              <w:t xml:space="preserve"> </w:t>
            </w:r>
          </w:p>
          <w:p w14:paraId="657ABE20" w14:textId="65F7F707" w:rsidR="00EB2B55" w:rsidRPr="00672DBE" w:rsidRDefault="004D768D" w:rsidP="003414BB">
            <w:r>
              <w:t xml:space="preserve">Explanatory variables: </w:t>
            </w:r>
            <w:r w:rsidR="00EB2B55" w:rsidRPr="00672DBE">
              <w:t xml:space="preserve">Access services, </w:t>
            </w:r>
            <w:r>
              <w:t>s</w:t>
            </w:r>
            <w:r w:rsidRPr="00672DBE">
              <w:t xml:space="preserve">ubstance </w:t>
            </w:r>
            <w:r w:rsidR="00EB2B55" w:rsidRPr="00672DBE">
              <w:t xml:space="preserve">abuse </w:t>
            </w:r>
            <w:r w:rsidR="00B53A26" w:rsidRPr="00672DBE">
              <w:t>counselling</w:t>
            </w:r>
            <w:r w:rsidR="00EB2B55" w:rsidRPr="00672DBE">
              <w:t xml:space="preserve"> services, </w:t>
            </w:r>
            <w:r>
              <w:t>n</w:t>
            </w:r>
            <w:r w:rsidRPr="00672DBE">
              <w:t>eed</w:t>
            </w:r>
            <w:r w:rsidR="00EB2B55" w:rsidRPr="00672DBE">
              <w:t>–</w:t>
            </w:r>
            <w:r>
              <w:t>s</w:t>
            </w:r>
            <w:r w:rsidRPr="00672DBE">
              <w:t xml:space="preserve">ervice </w:t>
            </w:r>
            <w:r w:rsidR="00EB2B55" w:rsidRPr="00672DBE">
              <w:t xml:space="preserve">ratio, </w:t>
            </w:r>
            <w:r>
              <w:t>c</w:t>
            </w:r>
            <w:r w:rsidRPr="00672DBE">
              <w:t>lient</w:t>
            </w:r>
            <w:r w:rsidR="00EB2B55" w:rsidRPr="00672DBE">
              <w:t>–</w:t>
            </w:r>
            <w:r>
              <w:t>p</w:t>
            </w:r>
            <w:r w:rsidRPr="00672DBE">
              <w:t xml:space="preserve">rovider </w:t>
            </w:r>
            <w:r w:rsidR="00EB2B55" w:rsidRPr="00672DBE">
              <w:t xml:space="preserve">relationship, </w:t>
            </w:r>
            <w:r>
              <w:t>t</w:t>
            </w:r>
            <w:r w:rsidRPr="00672DBE">
              <w:t xml:space="preserve">reatment </w:t>
            </w:r>
            <w:r w:rsidR="00EB2B55" w:rsidRPr="00672DBE">
              <w:t>duration</w:t>
            </w:r>
            <w:r>
              <w:t>.</w:t>
            </w:r>
          </w:p>
        </w:tc>
        <w:tc>
          <w:tcPr>
            <w:tcW w:w="3769" w:type="dxa"/>
            <w:hideMark/>
          </w:tcPr>
          <w:p w14:paraId="00CF5A3B" w14:textId="39D2E584" w:rsidR="00DB253A" w:rsidRPr="004C09AD" w:rsidRDefault="00DB253A" w:rsidP="00DA4184">
            <w:pPr>
              <w:rPr>
                <w:rFonts w:cstheme="minorHAnsi"/>
              </w:rPr>
            </w:pPr>
            <w:r w:rsidRPr="004C09AD">
              <w:rPr>
                <w:rFonts w:cstheme="minorHAnsi"/>
              </w:rPr>
              <w:t>• All groups benefited from treatment</w:t>
            </w:r>
            <w:r w:rsidR="00DA4184">
              <w:rPr>
                <w:rFonts w:cstheme="minorHAnsi"/>
              </w:rPr>
              <w:t>; gender plays important role</w:t>
            </w:r>
            <w:r w:rsidRPr="004C09AD">
              <w:rPr>
                <w:rFonts w:cstheme="minorHAnsi"/>
              </w:rPr>
              <w:t>.</w:t>
            </w:r>
          </w:p>
          <w:p w14:paraId="1E6851C9" w14:textId="1E1B5111" w:rsidR="00DA4184" w:rsidRPr="00F40789" w:rsidRDefault="00EB2B55" w:rsidP="00F40789">
            <w:pPr>
              <w:pStyle w:val="NormalWeb"/>
              <w:spacing w:before="0" w:beforeAutospacing="0" w:after="0" w:afterAutospacing="0"/>
              <w:rPr>
                <w:rFonts w:asciiTheme="minorHAnsi" w:hAnsiTheme="minorHAnsi" w:cstheme="minorHAnsi"/>
                <w:sz w:val="22"/>
                <w:szCs w:val="22"/>
              </w:rPr>
            </w:pPr>
            <w:r w:rsidRPr="00F40789">
              <w:rPr>
                <w:rFonts w:asciiTheme="minorHAnsi" w:hAnsiTheme="minorHAnsi" w:cstheme="minorHAnsi"/>
                <w:sz w:val="22"/>
                <w:szCs w:val="22"/>
              </w:rPr>
              <w:t xml:space="preserve">• </w:t>
            </w:r>
            <w:r w:rsidR="00DA4184" w:rsidRPr="00F40789">
              <w:rPr>
                <w:rFonts w:asciiTheme="minorHAnsi" w:hAnsiTheme="minorHAnsi" w:cstheme="minorHAnsi"/>
                <w:sz w:val="22"/>
                <w:szCs w:val="22"/>
              </w:rPr>
              <w:t>Women received more services</w:t>
            </w:r>
            <w:r w:rsidR="00DA4184">
              <w:rPr>
                <w:rFonts w:asciiTheme="minorHAnsi" w:hAnsiTheme="minorHAnsi" w:cstheme="minorHAnsi"/>
                <w:sz w:val="22"/>
                <w:szCs w:val="22"/>
              </w:rPr>
              <w:t xml:space="preserve"> </w:t>
            </w:r>
            <w:r w:rsidR="00DA4184" w:rsidRPr="00702CBA">
              <w:rPr>
                <w:rFonts w:asciiTheme="minorHAnsi" w:hAnsiTheme="minorHAnsi" w:cstheme="minorHAnsi"/>
                <w:sz w:val="22"/>
                <w:szCs w:val="22"/>
              </w:rPr>
              <w:t>related to their social roles</w:t>
            </w:r>
            <w:r w:rsidR="00DA4184">
              <w:rPr>
                <w:rFonts w:asciiTheme="minorHAnsi" w:hAnsiTheme="minorHAnsi" w:cstheme="minorHAnsi"/>
                <w:sz w:val="22"/>
                <w:szCs w:val="22"/>
              </w:rPr>
              <w:t xml:space="preserve">, e.g., </w:t>
            </w:r>
            <w:r w:rsidR="00DA4184" w:rsidRPr="00F40789">
              <w:rPr>
                <w:rFonts w:asciiTheme="minorHAnsi" w:hAnsiTheme="minorHAnsi" w:cstheme="minorHAnsi"/>
                <w:sz w:val="22"/>
                <w:szCs w:val="22"/>
              </w:rPr>
              <w:t>transportation</w:t>
            </w:r>
            <w:r w:rsidR="00DA4184">
              <w:rPr>
                <w:rFonts w:asciiTheme="minorHAnsi" w:hAnsiTheme="minorHAnsi" w:cstheme="minorHAnsi"/>
                <w:sz w:val="22"/>
                <w:szCs w:val="22"/>
              </w:rPr>
              <w:t>,</w:t>
            </w:r>
            <w:r w:rsidR="00DA4184" w:rsidRPr="00F40789">
              <w:rPr>
                <w:rFonts w:asciiTheme="minorHAnsi" w:hAnsiTheme="minorHAnsi" w:cstheme="minorHAnsi"/>
                <w:sz w:val="22"/>
                <w:szCs w:val="22"/>
              </w:rPr>
              <w:t xml:space="preserve"> </w:t>
            </w:r>
            <w:proofErr w:type="gramStart"/>
            <w:r w:rsidR="00DA4184" w:rsidRPr="00F40789">
              <w:rPr>
                <w:rFonts w:asciiTheme="minorHAnsi" w:hAnsiTheme="minorHAnsi" w:cstheme="minorHAnsi"/>
                <w:sz w:val="22"/>
                <w:szCs w:val="22"/>
              </w:rPr>
              <w:t>child care</w:t>
            </w:r>
            <w:proofErr w:type="gramEnd"/>
            <w:r w:rsidR="00DA4184">
              <w:rPr>
                <w:rFonts w:asciiTheme="minorHAnsi" w:hAnsiTheme="minorHAnsi" w:cstheme="minorHAnsi"/>
                <w:sz w:val="22"/>
                <w:szCs w:val="22"/>
              </w:rPr>
              <w:t>.</w:t>
            </w:r>
            <w:r w:rsidR="00DA4184" w:rsidRPr="00F40789">
              <w:rPr>
                <w:rFonts w:asciiTheme="minorHAnsi" w:hAnsiTheme="minorHAnsi" w:cstheme="minorHAnsi"/>
                <w:sz w:val="22"/>
                <w:szCs w:val="22"/>
              </w:rPr>
              <w:t xml:space="preserve"> </w:t>
            </w:r>
          </w:p>
          <w:p w14:paraId="4A4F795E" w14:textId="216BC05B" w:rsidR="00DA4184" w:rsidRPr="004C09AD" w:rsidRDefault="00DA4184" w:rsidP="00DA4184">
            <w:pPr>
              <w:rPr>
                <w:rFonts w:cstheme="minorHAnsi"/>
              </w:rPr>
            </w:pPr>
            <w:r w:rsidRPr="00702CBA">
              <w:rPr>
                <w:rFonts w:cstheme="minorHAnsi"/>
              </w:rPr>
              <w:t>•</w:t>
            </w:r>
            <w:r>
              <w:rPr>
                <w:rFonts w:cstheme="minorHAnsi"/>
              </w:rPr>
              <w:t xml:space="preserve"> Women received more substance abuse counselling, more likely to receive services matched to needs.</w:t>
            </w:r>
          </w:p>
          <w:p w14:paraId="30DCCED5" w14:textId="38130AD0" w:rsidR="00EB2B55" w:rsidRPr="00672DBE" w:rsidRDefault="00EB2B55" w:rsidP="00DA4184">
            <w:r w:rsidRPr="00672DBE">
              <w:t>• Latin women had less post</w:t>
            </w:r>
            <w:r w:rsidR="00DA4184">
              <w:t>-</w:t>
            </w:r>
            <w:r w:rsidRPr="00672DBE">
              <w:t>treatment drug use than Latin men (p=0.024</w:t>
            </w:r>
            <w:proofErr w:type="gramStart"/>
            <w:r w:rsidRPr="00672DBE">
              <w:t>)</w:t>
            </w:r>
            <w:r w:rsidR="00DA4184">
              <w:t>;</w:t>
            </w:r>
            <w:proofErr w:type="gramEnd"/>
            <w:r w:rsidRPr="00672DBE">
              <w:t xml:space="preserve"> no sex differences in </w:t>
            </w:r>
            <w:r w:rsidR="00DA4184">
              <w:t>other</w:t>
            </w:r>
            <w:r w:rsidRPr="00672DBE">
              <w:t xml:space="preserve"> groups</w:t>
            </w:r>
            <w:r w:rsidR="00DA4184">
              <w:t>.</w:t>
            </w:r>
          </w:p>
          <w:p w14:paraId="21F788DD" w14:textId="4D9292CC" w:rsidR="00EB2B55" w:rsidRPr="00672DBE" w:rsidRDefault="005742A6" w:rsidP="003414BB">
            <w:r w:rsidRPr="00672DBE">
              <w:t>•</w:t>
            </w:r>
            <w:r>
              <w:t xml:space="preserve"> Recommend tailoring services to gender as well as ethnicity.</w:t>
            </w:r>
          </w:p>
        </w:tc>
      </w:tr>
      <w:tr w:rsidR="00EB2B55" w:rsidRPr="00672DBE" w14:paraId="2AD555DC" w14:textId="77777777" w:rsidTr="00453AD2">
        <w:trPr>
          <w:trHeight w:val="2256"/>
        </w:trPr>
        <w:tc>
          <w:tcPr>
            <w:tcW w:w="1375" w:type="dxa"/>
            <w:hideMark/>
          </w:tcPr>
          <w:p w14:paraId="0266F86F" w14:textId="682F1B36" w:rsidR="00EB2B55" w:rsidRDefault="00EB2B55" w:rsidP="003414BB">
            <w:proofErr w:type="spellStart"/>
            <w:r w:rsidRPr="00672DBE">
              <w:t>Harreiter</w:t>
            </w:r>
            <w:proofErr w:type="spellEnd"/>
            <w:r w:rsidRPr="00672DBE">
              <w:t xml:space="preserve"> </w:t>
            </w:r>
            <w:r w:rsidR="006C60BD">
              <w:t xml:space="preserve">&amp; </w:t>
            </w:r>
            <w:r w:rsidR="006C60BD" w:rsidRPr="002F7A6A">
              <w:t>Kautzky-Willer</w:t>
            </w:r>
            <w:r w:rsidR="00DD4DC6">
              <w:t>,</w:t>
            </w:r>
            <w:r w:rsidRPr="00672DBE">
              <w:t xml:space="preserve"> 2018</w:t>
            </w:r>
            <w:r w:rsidR="00DD4DC6">
              <w:t xml:space="preserve">, </w:t>
            </w:r>
          </w:p>
          <w:p w14:paraId="2C3A6CA2" w14:textId="43ECD5C8" w:rsidR="00DD4DC6" w:rsidRPr="00672DBE" w:rsidRDefault="00DD4DC6" w:rsidP="003414BB">
            <w:r>
              <w:t>international</w:t>
            </w:r>
          </w:p>
        </w:tc>
        <w:tc>
          <w:tcPr>
            <w:tcW w:w="1881" w:type="dxa"/>
            <w:hideMark/>
          </w:tcPr>
          <w:p w14:paraId="11A42922" w14:textId="2AA810B9" w:rsidR="00EB2B55" w:rsidRDefault="00EB2B55" w:rsidP="003414BB">
            <w:r w:rsidRPr="00672DBE">
              <w:t xml:space="preserve">To address and summarise important issues of sex </w:t>
            </w:r>
            <w:r w:rsidR="00290696">
              <w:t>&amp;</w:t>
            </w:r>
            <w:r w:rsidR="00290696" w:rsidRPr="00672DBE">
              <w:t xml:space="preserve"> </w:t>
            </w:r>
            <w:r w:rsidRPr="00672DBE">
              <w:t>gender in prevention of Type 2 diabetes</w:t>
            </w:r>
            <w:r w:rsidR="00596FFC">
              <w:t xml:space="preserve"> mellitus </w:t>
            </w:r>
            <w:r w:rsidR="00596FFC" w:rsidRPr="00672DBE">
              <w:t>(T2</w:t>
            </w:r>
            <w:r w:rsidR="00596FFC">
              <w:t>DM</w:t>
            </w:r>
            <w:r w:rsidR="00596FFC" w:rsidRPr="00672DBE">
              <w:t>)</w:t>
            </w:r>
            <w:r w:rsidRPr="00672DBE">
              <w:t>.</w:t>
            </w:r>
          </w:p>
          <w:p w14:paraId="58664204" w14:textId="0ADAC6D2" w:rsidR="00C43B38" w:rsidRPr="00672DBE" w:rsidRDefault="005C07AD" w:rsidP="00C43B38">
            <w:r>
              <w:t>Narrative (not systematic) l</w:t>
            </w:r>
            <w:r w:rsidR="00C43B38" w:rsidRPr="00672DBE">
              <w:t>iterature review</w:t>
            </w:r>
            <w:r w:rsidR="00C43B38">
              <w:t>.</w:t>
            </w:r>
          </w:p>
        </w:tc>
        <w:tc>
          <w:tcPr>
            <w:tcW w:w="2126" w:type="dxa"/>
            <w:hideMark/>
          </w:tcPr>
          <w:p w14:paraId="4F198C3D" w14:textId="7531A2E6" w:rsidR="004B3212" w:rsidRDefault="004B3212" w:rsidP="003414BB">
            <w:r>
              <w:t>Unspecified m</w:t>
            </w:r>
            <w:r w:rsidR="00EB2B55" w:rsidRPr="00672DBE">
              <w:t>edical databases searched</w:t>
            </w:r>
            <w:r>
              <w:t>.</w:t>
            </w:r>
          </w:p>
          <w:p w14:paraId="4A56E33B" w14:textId="0DE94E1F" w:rsidR="00EB2B55" w:rsidRDefault="00EB2B55" w:rsidP="003414BB">
            <w:r w:rsidRPr="00672DBE">
              <w:t xml:space="preserve">Articles published in </w:t>
            </w:r>
            <w:r w:rsidR="00F23AF2">
              <w:t>English in previous</w:t>
            </w:r>
            <w:r w:rsidRPr="00672DBE">
              <w:t xml:space="preserve"> 15 years</w:t>
            </w:r>
            <w:r w:rsidR="00F23AF2">
              <w:t>.</w:t>
            </w:r>
          </w:p>
          <w:p w14:paraId="4477E90D" w14:textId="77777777" w:rsidR="004B3212" w:rsidRDefault="004B3212" w:rsidP="004B3212">
            <w:r w:rsidRPr="00672DBE">
              <w:t xml:space="preserve">Number of </w:t>
            </w:r>
            <w:r>
              <w:t>papers</w:t>
            </w:r>
            <w:r w:rsidRPr="00672DBE">
              <w:t xml:space="preserve"> not reported</w:t>
            </w:r>
            <w:r>
              <w:t xml:space="preserve">; </w:t>
            </w:r>
            <w:r w:rsidRPr="00672DBE">
              <w:t>13 RCTs</w:t>
            </w:r>
            <w:r>
              <w:t xml:space="preserve"> included.</w:t>
            </w:r>
          </w:p>
          <w:p w14:paraId="65FF7203" w14:textId="5BD44D81" w:rsidR="004B3212" w:rsidRPr="00672DBE" w:rsidRDefault="004B3212" w:rsidP="003414BB"/>
        </w:tc>
        <w:tc>
          <w:tcPr>
            <w:tcW w:w="1701" w:type="dxa"/>
            <w:hideMark/>
          </w:tcPr>
          <w:p w14:paraId="13C5BFC6" w14:textId="24CF9D24" w:rsidR="00EB2B55" w:rsidRPr="00672DBE" w:rsidRDefault="001263F8" w:rsidP="003414BB">
            <w:r w:rsidRPr="00C93560">
              <w:t>S</w:t>
            </w:r>
            <w:r w:rsidR="00EB2B55" w:rsidRPr="00C93560">
              <w:t>ex</w:t>
            </w:r>
            <w:r w:rsidRPr="00C93560">
              <w:t xml:space="preserve"> &amp; </w:t>
            </w:r>
            <w:r w:rsidR="00EB2B55" w:rsidRPr="00C93560">
              <w:t>gender</w:t>
            </w:r>
            <w:r w:rsidRPr="00C93560">
              <w:t xml:space="preserve"> defined</w:t>
            </w:r>
            <w:r w:rsidR="00EB2B55" w:rsidRPr="00C93560">
              <w:t xml:space="preserve">. </w:t>
            </w:r>
            <w:r w:rsidR="00596FFC" w:rsidRPr="00C93560">
              <w:t>Both biology &amp; social role considered.</w:t>
            </w:r>
            <w:r w:rsidR="00596FFC">
              <w:t xml:space="preserve"> </w:t>
            </w:r>
          </w:p>
        </w:tc>
        <w:tc>
          <w:tcPr>
            <w:tcW w:w="2268" w:type="dxa"/>
            <w:hideMark/>
          </w:tcPr>
          <w:p w14:paraId="245ACAE0" w14:textId="42FD87EC" w:rsidR="00EB2B55" w:rsidRPr="00672DBE" w:rsidRDefault="00EB2B55" w:rsidP="003414BB">
            <w:proofErr w:type="gramStart"/>
            <w:r w:rsidRPr="00672DBE">
              <w:t>Life style</w:t>
            </w:r>
            <w:proofErr w:type="gramEnd"/>
            <w:r w:rsidRPr="00672DBE">
              <w:t xml:space="preserve"> changes</w:t>
            </w:r>
            <w:r w:rsidR="0056086C">
              <w:t>,</w:t>
            </w:r>
            <w:r w:rsidR="0056086C" w:rsidRPr="00672DBE">
              <w:t xml:space="preserve"> </w:t>
            </w:r>
            <w:r w:rsidR="0056086C">
              <w:t>w</w:t>
            </w:r>
            <w:r w:rsidR="0056086C" w:rsidRPr="00672DBE">
              <w:t xml:space="preserve">eight </w:t>
            </w:r>
            <w:r w:rsidRPr="00672DBE">
              <w:t>management programs</w:t>
            </w:r>
            <w:r w:rsidR="0056086C">
              <w:t>, e</w:t>
            </w:r>
            <w:r w:rsidRPr="00672DBE">
              <w:t xml:space="preserve">xercise </w:t>
            </w:r>
            <w:r w:rsidR="0056086C">
              <w:t>&amp;</w:t>
            </w:r>
            <w:r w:rsidR="0056086C" w:rsidRPr="00672DBE">
              <w:t xml:space="preserve"> </w:t>
            </w:r>
            <w:r w:rsidRPr="00672DBE">
              <w:t>sports programs</w:t>
            </w:r>
            <w:r w:rsidR="0056086C">
              <w:t>, b</w:t>
            </w:r>
            <w:r w:rsidRPr="00672DBE">
              <w:t xml:space="preserve">ariatric </w:t>
            </w:r>
            <w:r w:rsidR="0056086C">
              <w:t>s</w:t>
            </w:r>
            <w:r w:rsidR="0056086C" w:rsidRPr="00672DBE">
              <w:t>urgery</w:t>
            </w:r>
            <w:r w:rsidRPr="00672DBE">
              <w:t xml:space="preserve">.  </w:t>
            </w:r>
          </w:p>
        </w:tc>
        <w:tc>
          <w:tcPr>
            <w:tcW w:w="2268" w:type="dxa"/>
            <w:hideMark/>
          </w:tcPr>
          <w:p w14:paraId="4A25B2D7" w14:textId="203D8D97" w:rsidR="00EB2B55" w:rsidRPr="00672DBE" w:rsidRDefault="00EB2B55" w:rsidP="003414BB">
            <w:r w:rsidRPr="00672DBE">
              <w:t xml:space="preserve">Risk and </w:t>
            </w:r>
            <w:r w:rsidR="0056086C">
              <w:t>p</w:t>
            </w:r>
            <w:r w:rsidR="0056086C" w:rsidRPr="00672DBE">
              <w:t xml:space="preserve">revention </w:t>
            </w:r>
            <w:r w:rsidRPr="00672DBE">
              <w:t>of T2</w:t>
            </w:r>
            <w:r w:rsidR="0056086C">
              <w:t>DM.</w:t>
            </w:r>
          </w:p>
        </w:tc>
        <w:tc>
          <w:tcPr>
            <w:tcW w:w="3769" w:type="dxa"/>
            <w:hideMark/>
          </w:tcPr>
          <w:p w14:paraId="3C0819DB" w14:textId="6BE2CC1F" w:rsidR="004B3212" w:rsidRDefault="004B3212" w:rsidP="003414BB">
            <w:r w:rsidRPr="00672DBE">
              <w:t>•</w:t>
            </w:r>
            <w:r>
              <w:t xml:space="preserve"> Few papers report role of sex or gender.</w:t>
            </w:r>
          </w:p>
          <w:p w14:paraId="0B8234F7" w14:textId="3FF47968" w:rsidR="0056086C" w:rsidRDefault="0056086C" w:rsidP="003414BB">
            <w:r>
              <w:t>Sex &amp; gender important in managing T2DM.</w:t>
            </w:r>
          </w:p>
          <w:p w14:paraId="234AB62D" w14:textId="746D8DB4" w:rsidR="00EB2B55" w:rsidRPr="00672DBE" w:rsidRDefault="00EB2B55" w:rsidP="003414BB">
            <w:r w:rsidRPr="00672DBE">
              <w:t>• Pharmacological approaches are more successful in reducing and maintaining weight in women</w:t>
            </w:r>
            <w:r w:rsidR="0056086C">
              <w:t>.</w:t>
            </w:r>
            <w:r w:rsidR="0056086C" w:rsidRPr="00672DBE">
              <w:t xml:space="preserve"> </w:t>
            </w:r>
          </w:p>
          <w:p w14:paraId="043BAE8C" w14:textId="29E226E8" w:rsidR="00EB2B55" w:rsidRPr="00672DBE" w:rsidRDefault="00EB2B55" w:rsidP="003414BB">
            <w:r w:rsidRPr="00672DBE">
              <w:t>• Strong diabetes risk reduction through bariatric surgery in women</w:t>
            </w:r>
            <w:r w:rsidR="0056086C">
              <w:t>.</w:t>
            </w:r>
          </w:p>
          <w:p w14:paraId="2BF9D7B7" w14:textId="2CA3D76F" w:rsidR="00EB2B55" w:rsidRPr="00672DBE" w:rsidRDefault="00EB2B55" w:rsidP="0056086C">
            <w:r w:rsidRPr="00672DBE">
              <w:t xml:space="preserve">• Gastric banding may be less efficient in </w:t>
            </w:r>
            <w:r w:rsidR="0056086C" w:rsidRPr="00672DBE">
              <w:t>m</w:t>
            </w:r>
            <w:r w:rsidR="0056086C">
              <w:t>en</w:t>
            </w:r>
            <w:r w:rsidR="0056086C" w:rsidRPr="00672DBE">
              <w:t xml:space="preserve"> </w:t>
            </w:r>
            <w:r w:rsidRPr="00672DBE">
              <w:t xml:space="preserve">than </w:t>
            </w:r>
            <w:r w:rsidR="0056086C">
              <w:t>women</w:t>
            </w:r>
            <w:r w:rsidRPr="00672DBE">
              <w:t>.</w:t>
            </w:r>
          </w:p>
        </w:tc>
      </w:tr>
      <w:tr w:rsidR="00EB2B55" w:rsidRPr="00672DBE" w14:paraId="6A6FD618" w14:textId="77777777" w:rsidTr="00453AD2">
        <w:trPr>
          <w:trHeight w:val="3588"/>
        </w:trPr>
        <w:tc>
          <w:tcPr>
            <w:tcW w:w="1375" w:type="dxa"/>
            <w:hideMark/>
          </w:tcPr>
          <w:p w14:paraId="74C6C348" w14:textId="77777777" w:rsidR="00DD4DC6" w:rsidRDefault="00EB2B55" w:rsidP="003414BB">
            <w:proofErr w:type="spellStart"/>
            <w:r w:rsidRPr="00672DBE">
              <w:lastRenderedPageBreak/>
              <w:t>Huded</w:t>
            </w:r>
            <w:proofErr w:type="spellEnd"/>
            <w:r w:rsidRPr="00672DBE">
              <w:t xml:space="preserve"> et al.</w:t>
            </w:r>
            <w:r w:rsidR="00DD4DC6">
              <w:t>,</w:t>
            </w:r>
            <w:r w:rsidRPr="00672DBE">
              <w:t xml:space="preserve"> 2018, </w:t>
            </w:r>
          </w:p>
          <w:p w14:paraId="554B97C0" w14:textId="61A43D0B" w:rsidR="00EB2B55" w:rsidRPr="00672DBE" w:rsidRDefault="00EB2B55" w:rsidP="003414BB">
            <w:r w:rsidRPr="00672DBE">
              <w:t>United States</w:t>
            </w:r>
            <w:r w:rsidR="00DD4DC6">
              <w:t xml:space="preserve"> of America</w:t>
            </w:r>
          </w:p>
        </w:tc>
        <w:tc>
          <w:tcPr>
            <w:tcW w:w="1881" w:type="dxa"/>
            <w:hideMark/>
          </w:tcPr>
          <w:p w14:paraId="5FEB7A22" w14:textId="2085165C" w:rsidR="005C0F5F" w:rsidRDefault="00EB2B55" w:rsidP="003414BB">
            <w:r w:rsidRPr="00672DBE">
              <w:t xml:space="preserve">To </w:t>
            </w:r>
            <w:r w:rsidR="009249C8" w:rsidRPr="00672DBE">
              <w:t>as</w:t>
            </w:r>
            <w:r w:rsidR="009249C8">
              <w:t>s</w:t>
            </w:r>
            <w:r w:rsidR="009249C8" w:rsidRPr="00672DBE">
              <w:t>ess</w:t>
            </w:r>
            <w:r w:rsidRPr="00672DBE">
              <w:t xml:space="preserve"> care </w:t>
            </w:r>
            <w:r w:rsidR="005C0F5F">
              <w:t>&amp;</w:t>
            </w:r>
            <w:r w:rsidR="005C0F5F" w:rsidRPr="00672DBE">
              <w:t xml:space="preserve"> </w:t>
            </w:r>
            <w:r w:rsidRPr="00672DBE">
              <w:t xml:space="preserve">outcomes of men vs women with ST-segment elevation myocardial infarction (STEMI) before </w:t>
            </w:r>
            <w:r w:rsidR="005C0F5F">
              <w:t>&amp;</w:t>
            </w:r>
            <w:r w:rsidR="005C0F5F" w:rsidRPr="00672DBE">
              <w:t xml:space="preserve"> </w:t>
            </w:r>
            <w:r w:rsidRPr="00672DBE">
              <w:t>after implementation of comprehensive STEMI protocol</w:t>
            </w:r>
            <w:r w:rsidR="005C0F5F">
              <w:t>.</w:t>
            </w:r>
          </w:p>
          <w:p w14:paraId="50097322" w14:textId="6D53ACB2" w:rsidR="00EB2B55" w:rsidRPr="00672DBE" w:rsidRDefault="00EB2B55" w:rsidP="003414BB">
            <w:r w:rsidRPr="00672DBE">
              <w:t>Prospective observational registry-based study</w:t>
            </w:r>
            <w:r w:rsidR="005C0F5F">
              <w:t>.</w:t>
            </w:r>
            <w:r w:rsidRPr="00672DBE">
              <w:t xml:space="preserve">  </w:t>
            </w:r>
          </w:p>
        </w:tc>
        <w:tc>
          <w:tcPr>
            <w:tcW w:w="2126" w:type="dxa"/>
            <w:hideMark/>
          </w:tcPr>
          <w:p w14:paraId="460CE469" w14:textId="4A1E9D3B" w:rsidR="005C0F5F" w:rsidRDefault="00EB2B55" w:rsidP="003414BB">
            <w:r w:rsidRPr="00672DBE">
              <w:t xml:space="preserve">Intervention: </w:t>
            </w:r>
            <w:r w:rsidR="005C0F5F">
              <w:t>171 women, 378 m</w:t>
            </w:r>
            <w:r w:rsidR="005C0F5F" w:rsidRPr="00672DBE">
              <w:t>en</w:t>
            </w:r>
            <w:r w:rsidR="005C0F5F">
              <w:t>.</w:t>
            </w:r>
          </w:p>
          <w:p w14:paraId="30865019" w14:textId="1382AD50" w:rsidR="005C0F5F" w:rsidRDefault="00EB2B55" w:rsidP="003414BB">
            <w:r w:rsidRPr="00672DBE">
              <w:t xml:space="preserve">Control: </w:t>
            </w:r>
            <w:r w:rsidR="005C0F5F">
              <w:t>233 women, 490 men.</w:t>
            </w:r>
          </w:p>
          <w:p w14:paraId="6DB664CE" w14:textId="173F977A" w:rsidR="005C0F5F" w:rsidRDefault="00EB2B55" w:rsidP="003414BB">
            <w:r w:rsidRPr="00672DBE">
              <w:t>Patients with STEMI</w:t>
            </w:r>
            <w:r w:rsidR="005C0F5F">
              <w:t>.</w:t>
            </w:r>
          </w:p>
          <w:p w14:paraId="1592C15C" w14:textId="6E615BE3" w:rsidR="00EB2B55" w:rsidRPr="00672DBE" w:rsidRDefault="00EB2B55" w:rsidP="005C0F5F">
            <w:r w:rsidRPr="00672DBE">
              <w:t>Hospital setting</w:t>
            </w:r>
            <w:r w:rsidR="005C0F5F">
              <w:t>.</w:t>
            </w:r>
          </w:p>
        </w:tc>
        <w:tc>
          <w:tcPr>
            <w:tcW w:w="1701" w:type="dxa"/>
            <w:hideMark/>
          </w:tcPr>
          <w:p w14:paraId="5F67C330" w14:textId="4F94D8F2" w:rsidR="00460001" w:rsidRPr="00C93560" w:rsidRDefault="00EB2B55" w:rsidP="003414BB">
            <w:r w:rsidRPr="00C93560">
              <w:t xml:space="preserve">No definition of sex/gender. </w:t>
            </w:r>
            <w:r w:rsidR="00460001" w:rsidRPr="00C93560">
              <w:t>“Sex” used appropriately.</w:t>
            </w:r>
          </w:p>
          <w:p w14:paraId="3A10B060" w14:textId="62A978F0" w:rsidR="00EB2B55" w:rsidRPr="00672DBE" w:rsidRDefault="00EB2B55" w:rsidP="003414BB">
            <w:r w:rsidRPr="00C93560">
              <w:t>Participants treated as binary sex.</w:t>
            </w:r>
            <w:r w:rsidRPr="00672DBE">
              <w:t xml:space="preserve"> </w:t>
            </w:r>
          </w:p>
        </w:tc>
        <w:tc>
          <w:tcPr>
            <w:tcW w:w="2268" w:type="dxa"/>
            <w:hideMark/>
          </w:tcPr>
          <w:p w14:paraId="529A98E9" w14:textId="4FE8D6FF" w:rsidR="00D6414C" w:rsidRDefault="00D6414C" w:rsidP="003414BB">
            <w:r>
              <w:t>STEMI protocol.</w:t>
            </w:r>
          </w:p>
          <w:p w14:paraId="2D4B376E" w14:textId="2EF3459E" w:rsidR="00D6414C" w:rsidRPr="00672DBE" w:rsidRDefault="00D6414C" w:rsidP="003414BB">
            <w:r>
              <w:t>Control: Usual care, no protocol.</w:t>
            </w:r>
          </w:p>
        </w:tc>
        <w:tc>
          <w:tcPr>
            <w:tcW w:w="2268" w:type="dxa"/>
            <w:hideMark/>
          </w:tcPr>
          <w:p w14:paraId="6D16039F" w14:textId="77777777" w:rsidR="00D6414C" w:rsidRDefault="00D6414C" w:rsidP="003414BB">
            <w:r>
              <w:t>Women vs men.</w:t>
            </w:r>
          </w:p>
          <w:p w14:paraId="700C3EE8" w14:textId="0B9EFB29" w:rsidR="00D6414C" w:rsidRDefault="00EB2B55" w:rsidP="003414BB">
            <w:r w:rsidRPr="00672DBE">
              <w:t>Care before and after implementation of a comprehensive STEMI protocol</w:t>
            </w:r>
            <w:r w:rsidR="00D6414C">
              <w:t>.</w:t>
            </w:r>
          </w:p>
          <w:p w14:paraId="399A47A9" w14:textId="61702BB8" w:rsidR="00EB2B55" w:rsidRPr="00672DBE" w:rsidRDefault="00EB2B55" w:rsidP="00D6414C">
            <w:r w:rsidRPr="00672DBE">
              <w:t xml:space="preserve"> </w:t>
            </w:r>
            <w:r w:rsidR="00D6414C">
              <w:t>Clinical outcomes: I</w:t>
            </w:r>
            <w:r w:rsidRPr="00672DBE">
              <w:t>n-hospital adverse events</w:t>
            </w:r>
            <w:r w:rsidR="00D6414C">
              <w:t>,</w:t>
            </w:r>
            <w:r w:rsidRPr="00672DBE">
              <w:t xml:space="preserve"> 30-day mortality</w:t>
            </w:r>
            <w:r w:rsidR="00D6414C">
              <w:t xml:space="preserve"> stratified by </w:t>
            </w:r>
            <w:r w:rsidRPr="00672DBE">
              <w:t>sex before (Jan 1</w:t>
            </w:r>
            <w:proofErr w:type="gramStart"/>
            <w:r w:rsidRPr="00672DBE">
              <w:t xml:space="preserve"> 2011</w:t>
            </w:r>
            <w:proofErr w:type="gramEnd"/>
            <w:r w:rsidRPr="00672DBE">
              <w:t xml:space="preserve"> </w:t>
            </w:r>
            <w:r w:rsidR="00D6414C">
              <w:t>-</w:t>
            </w:r>
            <w:r w:rsidR="00D6414C" w:rsidRPr="00672DBE">
              <w:t xml:space="preserve"> </w:t>
            </w:r>
            <w:r w:rsidRPr="00672DBE">
              <w:t xml:space="preserve">Jul 14 2014) </w:t>
            </w:r>
            <w:r w:rsidR="00D6414C">
              <w:t>&amp;</w:t>
            </w:r>
            <w:r w:rsidR="00D6414C" w:rsidRPr="00672DBE">
              <w:t xml:space="preserve"> </w:t>
            </w:r>
            <w:r w:rsidRPr="00672DBE">
              <w:t xml:space="preserve">after (Jul 15 2014 </w:t>
            </w:r>
            <w:r w:rsidR="00D6414C">
              <w:t>-</w:t>
            </w:r>
            <w:r w:rsidR="00D6414C" w:rsidRPr="00672DBE">
              <w:t xml:space="preserve"> </w:t>
            </w:r>
            <w:r w:rsidRPr="00672DBE">
              <w:t>De</w:t>
            </w:r>
            <w:r w:rsidR="00D6414C">
              <w:t>c</w:t>
            </w:r>
            <w:r w:rsidRPr="00672DBE">
              <w:t xml:space="preserve"> 31 2016) implementation of protocol.</w:t>
            </w:r>
          </w:p>
        </w:tc>
        <w:tc>
          <w:tcPr>
            <w:tcW w:w="3769" w:type="dxa"/>
            <w:hideMark/>
          </w:tcPr>
          <w:p w14:paraId="6EBBE9EB" w14:textId="5562FE42" w:rsidR="00EB2B55" w:rsidRDefault="00EB2B55" w:rsidP="003414BB">
            <w:r w:rsidRPr="00672DBE">
              <w:t xml:space="preserve">• </w:t>
            </w:r>
            <w:r w:rsidR="0018697A">
              <w:t>S</w:t>
            </w:r>
            <w:r w:rsidRPr="00672DBE">
              <w:t>ystems-based approach to STEMI care reduces sex disparities</w:t>
            </w:r>
            <w:r w:rsidR="0018697A">
              <w:t>,</w:t>
            </w:r>
            <w:r w:rsidRPr="00672DBE">
              <w:t xml:space="preserve"> improves STEMI care </w:t>
            </w:r>
            <w:r w:rsidR="0018697A">
              <w:t>&amp;</w:t>
            </w:r>
            <w:r w:rsidR="0018697A" w:rsidRPr="00672DBE">
              <w:t xml:space="preserve"> </w:t>
            </w:r>
            <w:r w:rsidRPr="00672DBE">
              <w:t>outcomes in women</w:t>
            </w:r>
            <w:r w:rsidR="0018697A">
              <w:t>.</w:t>
            </w:r>
          </w:p>
          <w:p w14:paraId="477A3E21" w14:textId="2C7900F2" w:rsidR="003C7D10" w:rsidRPr="00672DBE" w:rsidRDefault="003C7D10" w:rsidP="003414BB">
            <w:r w:rsidRPr="00672DBE">
              <w:t>•</w:t>
            </w:r>
            <w:r>
              <w:t xml:space="preserve"> Protocol ensured any unconscious sex disparities in treatment were overcome.</w:t>
            </w:r>
          </w:p>
          <w:p w14:paraId="4D4EFDEA" w14:textId="77777777" w:rsidR="00EB2B55" w:rsidRPr="00672DBE" w:rsidRDefault="00EB2B55" w:rsidP="0018697A"/>
        </w:tc>
      </w:tr>
      <w:tr w:rsidR="00EB2B55" w:rsidRPr="00672DBE" w14:paraId="14F76B6B" w14:textId="77777777" w:rsidTr="00453AD2">
        <w:trPr>
          <w:trHeight w:val="732"/>
        </w:trPr>
        <w:tc>
          <w:tcPr>
            <w:tcW w:w="1375" w:type="dxa"/>
            <w:hideMark/>
          </w:tcPr>
          <w:p w14:paraId="04712E9A" w14:textId="77777777" w:rsidR="00DD4DC6" w:rsidRDefault="00EB2B55" w:rsidP="003414BB">
            <w:r w:rsidRPr="00672DBE">
              <w:t>Isgro et al.</w:t>
            </w:r>
            <w:r w:rsidR="00DD4DC6">
              <w:t>,</w:t>
            </w:r>
            <w:r w:rsidRPr="00672DBE">
              <w:t xml:space="preserve"> 2020, </w:t>
            </w:r>
          </w:p>
          <w:p w14:paraId="5F75399F" w14:textId="5FC7861F" w:rsidR="00EB2B55" w:rsidRPr="00672DBE" w:rsidRDefault="00EB2B55" w:rsidP="003414BB">
            <w:r w:rsidRPr="00672DBE">
              <w:t>Italy</w:t>
            </w:r>
          </w:p>
        </w:tc>
        <w:tc>
          <w:tcPr>
            <w:tcW w:w="1881" w:type="dxa"/>
            <w:hideMark/>
          </w:tcPr>
          <w:p w14:paraId="5ACFE8BD" w14:textId="46A483D3" w:rsidR="00F4480A" w:rsidRPr="00C93560" w:rsidRDefault="00EB2B55" w:rsidP="003414BB">
            <w:r w:rsidRPr="00672DBE">
              <w:t xml:space="preserve">To measure gender </w:t>
            </w:r>
            <w:r w:rsidR="003447F4">
              <w:t xml:space="preserve">(=sex) </w:t>
            </w:r>
            <w:r w:rsidRPr="00672DBE">
              <w:t xml:space="preserve">differences </w:t>
            </w:r>
            <w:r w:rsidR="00F4480A">
              <w:t>for c</w:t>
            </w:r>
            <w:r w:rsidRPr="00672DBE">
              <w:t xml:space="preserve">hronic obstructive pulmonary disease (COPD) </w:t>
            </w:r>
            <w:r w:rsidR="00F4480A">
              <w:t xml:space="preserve">in </w:t>
            </w:r>
            <w:r w:rsidRPr="00672DBE">
              <w:t>patients</w:t>
            </w:r>
            <w:r w:rsidR="00DD4DC6">
              <w:t>’</w:t>
            </w:r>
            <w:r w:rsidRPr="00672DBE">
              <w:t xml:space="preserve"> quality of care (</w:t>
            </w:r>
            <w:proofErr w:type="spellStart"/>
            <w:r w:rsidR="00EB7569" w:rsidRPr="00672DBE">
              <w:t>Q</w:t>
            </w:r>
            <w:r w:rsidR="00EB7569">
              <w:t>o</w:t>
            </w:r>
            <w:r w:rsidR="00EB7569" w:rsidRPr="00672DBE">
              <w:t>C</w:t>
            </w:r>
            <w:proofErr w:type="spellEnd"/>
            <w:r w:rsidRPr="00672DBE">
              <w:t xml:space="preserve">) before </w:t>
            </w:r>
            <w:r w:rsidR="00F4480A">
              <w:t>&amp;</w:t>
            </w:r>
            <w:r w:rsidR="00F4480A" w:rsidRPr="00672DBE">
              <w:t xml:space="preserve"> </w:t>
            </w:r>
            <w:r w:rsidRPr="00672DBE">
              <w:t xml:space="preserve">after </w:t>
            </w:r>
            <w:r w:rsidR="00F4480A">
              <w:t>2</w:t>
            </w:r>
            <w:r w:rsidR="00F4480A" w:rsidRPr="00672DBE">
              <w:t xml:space="preserve"> </w:t>
            </w:r>
            <w:r w:rsidRPr="00C93560">
              <w:t>educational interventions</w:t>
            </w:r>
            <w:r w:rsidR="003447F4" w:rsidRPr="00C93560">
              <w:t xml:space="preserve"> for GPs</w:t>
            </w:r>
            <w:r w:rsidR="00F4480A" w:rsidRPr="00C93560">
              <w:t>.</w:t>
            </w:r>
          </w:p>
          <w:p w14:paraId="2F307FF9" w14:textId="39FBE1DA" w:rsidR="00EB2B55" w:rsidRPr="00672DBE" w:rsidRDefault="00EB2B55" w:rsidP="003414BB">
            <w:r w:rsidRPr="00C93560">
              <w:t>Prospective</w:t>
            </w:r>
            <w:r w:rsidRPr="00672DBE">
              <w:t xml:space="preserve"> cohort study</w:t>
            </w:r>
            <w:r w:rsidR="00F4480A">
              <w:t>.</w:t>
            </w:r>
          </w:p>
        </w:tc>
        <w:tc>
          <w:tcPr>
            <w:tcW w:w="2126" w:type="dxa"/>
            <w:hideMark/>
          </w:tcPr>
          <w:p w14:paraId="24D9DF95" w14:textId="2197DF9B" w:rsidR="003447F4" w:rsidRDefault="003447F4" w:rsidP="00815900">
            <w:r>
              <w:t>Data from</w:t>
            </w:r>
            <w:r w:rsidR="00EB2B55" w:rsidRPr="00672DBE">
              <w:t xml:space="preserve"> </w:t>
            </w:r>
            <w:r w:rsidR="001908C0">
              <w:t xml:space="preserve">30 </w:t>
            </w:r>
            <w:r>
              <w:t>GPs’ e</w:t>
            </w:r>
            <w:r w:rsidRPr="00672DBE">
              <w:t xml:space="preserve">lectronic </w:t>
            </w:r>
            <w:r w:rsidR="00EB2B55" w:rsidRPr="00672DBE">
              <w:t xml:space="preserve">medical records (EMRs) </w:t>
            </w:r>
            <w:r w:rsidR="00815900">
              <w:t xml:space="preserve">of </w:t>
            </w:r>
            <w:r w:rsidR="00815900" w:rsidRPr="00672DBE">
              <w:t xml:space="preserve">1463 COPD patients </w:t>
            </w:r>
            <w:r w:rsidR="00EB2B55" w:rsidRPr="00672DBE">
              <w:t>in primary care</w:t>
            </w:r>
            <w:r>
              <w:t>, Sicily.</w:t>
            </w:r>
          </w:p>
          <w:p w14:paraId="72AA4CEB" w14:textId="5A6A13B3" w:rsidR="00EB2B55" w:rsidRPr="00672DBE" w:rsidRDefault="00EB2B55" w:rsidP="003414BB"/>
        </w:tc>
        <w:tc>
          <w:tcPr>
            <w:tcW w:w="1701" w:type="dxa"/>
            <w:hideMark/>
          </w:tcPr>
          <w:p w14:paraId="2AEB04EE" w14:textId="77777777" w:rsidR="00A66794" w:rsidRPr="00C93560" w:rsidRDefault="00EB2B55" w:rsidP="003414BB">
            <w:r w:rsidRPr="00C93560">
              <w:t xml:space="preserve">No definition of sex/gender. </w:t>
            </w:r>
            <w:r w:rsidR="00A66794" w:rsidRPr="00C93560">
              <w:t>“Sex” &amp; “gender” both used for sex.</w:t>
            </w:r>
          </w:p>
          <w:p w14:paraId="0A55CEEE" w14:textId="58EAC0BD" w:rsidR="00EB2B55" w:rsidRPr="00C93560" w:rsidRDefault="00EB2B55" w:rsidP="003414BB">
            <w:r w:rsidRPr="00C93560">
              <w:t xml:space="preserve">Participants treated as binary sex. </w:t>
            </w:r>
          </w:p>
        </w:tc>
        <w:tc>
          <w:tcPr>
            <w:tcW w:w="2268" w:type="dxa"/>
            <w:hideMark/>
          </w:tcPr>
          <w:p w14:paraId="18F0482C" w14:textId="5A07457D" w:rsidR="00EB2B55" w:rsidRPr="00C93560" w:rsidRDefault="00EB2B55" w:rsidP="003414BB">
            <w:r w:rsidRPr="00C93560">
              <w:t>Educational interventions</w:t>
            </w:r>
            <w:r w:rsidR="00815900" w:rsidRPr="00C93560">
              <w:t xml:space="preserve">: </w:t>
            </w:r>
            <w:r w:rsidRPr="00C93560">
              <w:t>planned continuing professional education seminars</w:t>
            </w:r>
            <w:r w:rsidR="00815900" w:rsidRPr="00C93560">
              <w:t>,</w:t>
            </w:r>
            <w:r w:rsidRPr="00C93560">
              <w:t xml:space="preserve"> continuous remote education on COPD diagnosis </w:t>
            </w:r>
            <w:r w:rsidR="00815900" w:rsidRPr="00C93560">
              <w:t xml:space="preserve">&amp; </w:t>
            </w:r>
            <w:r w:rsidRPr="00C93560">
              <w:t>management.</w:t>
            </w:r>
          </w:p>
        </w:tc>
        <w:tc>
          <w:tcPr>
            <w:tcW w:w="2268" w:type="dxa"/>
            <w:hideMark/>
          </w:tcPr>
          <w:p w14:paraId="3112B123" w14:textId="18FC1A7F" w:rsidR="00815900" w:rsidRDefault="00EB7569" w:rsidP="003414BB">
            <w:r>
              <w:t>12</w:t>
            </w:r>
            <w:r w:rsidRPr="00672DBE">
              <w:t xml:space="preserve"> </w:t>
            </w:r>
            <w:r w:rsidR="00EB2B55" w:rsidRPr="00672DBE">
              <w:t xml:space="preserve">indicators of good </w:t>
            </w:r>
            <w:proofErr w:type="spellStart"/>
            <w:r w:rsidRPr="00672DBE">
              <w:t>Q</w:t>
            </w:r>
            <w:r>
              <w:t>o</w:t>
            </w:r>
            <w:r w:rsidRPr="00672DBE">
              <w:t>C</w:t>
            </w:r>
            <w:proofErr w:type="spellEnd"/>
            <w:r w:rsidRPr="00672DBE">
              <w:t xml:space="preserve"> </w:t>
            </w:r>
            <w:r w:rsidR="00EB2B55" w:rsidRPr="00672DBE">
              <w:t xml:space="preserve">reflecting </w:t>
            </w:r>
            <w:r w:rsidR="00815900" w:rsidRPr="00672DBE">
              <w:t>best</w:t>
            </w:r>
            <w:r w:rsidR="00815900">
              <w:t>-</w:t>
            </w:r>
            <w:r w:rsidR="00EB2B55" w:rsidRPr="00672DBE">
              <w:t>practice COPD management</w:t>
            </w:r>
            <w:r w:rsidR="00815900">
              <w:t>.</w:t>
            </w:r>
          </w:p>
          <w:p w14:paraId="550D6CF1" w14:textId="314D745D" w:rsidR="00EB2B55" w:rsidRPr="00672DBE" w:rsidRDefault="00EB2B55" w:rsidP="003414BB"/>
        </w:tc>
        <w:tc>
          <w:tcPr>
            <w:tcW w:w="3769" w:type="dxa"/>
            <w:hideMark/>
          </w:tcPr>
          <w:p w14:paraId="260E060A" w14:textId="5F27054D" w:rsidR="00602284" w:rsidRDefault="00EB2B55" w:rsidP="003414BB">
            <w:r w:rsidRPr="00672DBE">
              <w:rPr>
                <w:sz w:val="20"/>
                <w:szCs w:val="20"/>
              </w:rPr>
              <w:t xml:space="preserve">• </w:t>
            </w:r>
            <w:r w:rsidRPr="00672DBE">
              <w:t xml:space="preserve">Specific </w:t>
            </w:r>
            <w:proofErr w:type="spellStart"/>
            <w:r w:rsidR="00EB7569" w:rsidRPr="00672DBE">
              <w:t>Q</w:t>
            </w:r>
            <w:r w:rsidR="00EB7569">
              <w:t>o</w:t>
            </w:r>
            <w:r w:rsidR="00EB7569" w:rsidRPr="00672DBE">
              <w:t>C</w:t>
            </w:r>
            <w:proofErr w:type="spellEnd"/>
            <w:r w:rsidR="00EB7569" w:rsidRPr="00672DBE">
              <w:t xml:space="preserve"> </w:t>
            </w:r>
            <w:r w:rsidRPr="00672DBE">
              <w:t xml:space="preserve">indicators </w:t>
            </w:r>
            <w:r w:rsidR="00602284">
              <w:t>for</w:t>
            </w:r>
            <w:r w:rsidR="00602284" w:rsidRPr="00672DBE">
              <w:t xml:space="preserve"> </w:t>
            </w:r>
            <w:r w:rsidRPr="00672DBE">
              <w:t>COPD patients often favoured men</w:t>
            </w:r>
            <w:r w:rsidR="00602284">
              <w:t>.</w:t>
            </w:r>
          </w:p>
          <w:p w14:paraId="7F1932C9" w14:textId="43B83F8E" w:rsidR="00EB2B55" w:rsidRPr="00672DBE" w:rsidRDefault="00602284" w:rsidP="003414BB">
            <w:r w:rsidRPr="00672DBE">
              <w:rPr>
                <w:sz w:val="20"/>
                <w:szCs w:val="20"/>
              </w:rPr>
              <w:t xml:space="preserve">• </w:t>
            </w:r>
            <w:r>
              <w:t>S</w:t>
            </w:r>
            <w:r w:rsidR="00EB2B55" w:rsidRPr="00672DBE">
              <w:t>everal gender disparities seen at baseline disappeared at 24 months</w:t>
            </w:r>
            <w:r>
              <w:t>:</w:t>
            </w:r>
          </w:p>
          <w:p w14:paraId="419BD503" w14:textId="308EF3B7" w:rsidR="00B53A26" w:rsidRPr="00672DBE" w:rsidRDefault="00EB2B55" w:rsidP="00602284">
            <w:r w:rsidRPr="00672DBE">
              <w:t xml:space="preserve">• </w:t>
            </w:r>
            <w:r w:rsidR="00602284">
              <w:t>C</w:t>
            </w:r>
            <w:r w:rsidRPr="00672DBE">
              <w:t xml:space="preserve">omposite global </w:t>
            </w:r>
            <w:proofErr w:type="spellStart"/>
            <w:r w:rsidR="00EB7569" w:rsidRPr="00672DBE">
              <w:t>Q</w:t>
            </w:r>
            <w:r w:rsidR="00EB7569">
              <w:t>o</w:t>
            </w:r>
            <w:r w:rsidR="00EB7569" w:rsidRPr="00672DBE">
              <w:t>C</w:t>
            </w:r>
            <w:proofErr w:type="spellEnd"/>
            <w:r w:rsidR="00EB7569" w:rsidRPr="00672DBE">
              <w:t xml:space="preserve"> </w:t>
            </w:r>
            <w:r w:rsidRPr="00672DBE">
              <w:t xml:space="preserve">indicator </w:t>
            </w:r>
            <w:r w:rsidR="00602284">
              <w:t xml:space="preserve">at baseline </w:t>
            </w:r>
            <w:r w:rsidR="00602284" w:rsidRPr="00672DBE">
              <w:t>was significantly higher in men than women (OR: 0.74; 95% CI: 0.57-0.96)</w:t>
            </w:r>
            <w:r w:rsidR="00602284">
              <w:t xml:space="preserve">, but </w:t>
            </w:r>
            <w:r w:rsidRPr="00672DBE">
              <w:t>nonsignificant at 24 months (OR: 0.96; 95% CI: 0.72-1.29)</w:t>
            </w:r>
            <w:r w:rsidR="00602284">
              <w:t>.</w:t>
            </w:r>
          </w:p>
          <w:p w14:paraId="04BE560A" w14:textId="06E51036" w:rsidR="00EB2B55" w:rsidRPr="00672DBE" w:rsidRDefault="00EB2B55" w:rsidP="003414BB">
            <w:r w:rsidRPr="00672DBE">
              <w:t xml:space="preserve">• </w:t>
            </w:r>
            <w:r w:rsidR="00602284">
              <w:t>G</w:t>
            </w:r>
            <w:r w:rsidRPr="00672DBE">
              <w:t>eneral educational interventions not target</w:t>
            </w:r>
            <w:r w:rsidR="00602284">
              <w:t>ing</w:t>
            </w:r>
            <w:r w:rsidRPr="00672DBE">
              <w:t xml:space="preserve"> </w:t>
            </w:r>
            <w:r w:rsidR="00602284">
              <w:t>sex</w:t>
            </w:r>
            <w:r w:rsidR="00602284" w:rsidRPr="00672DBE">
              <w:t xml:space="preserve"> </w:t>
            </w:r>
            <w:r w:rsidRPr="00672DBE">
              <w:t xml:space="preserve">can improve the disparity in </w:t>
            </w:r>
            <w:proofErr w:type="spellStart"/>
            <w:r w:rsidR="00C93560" w:rsidRPr="00672DBE">
              <w:t>Q</w:t>
            </w:r>
            <w:r w:rsidR="00C93560">
              <w:t>o</w:t>
            </w:r>
            <w:r w:rsidR="00C93560" w:rsidRPr="00672DBE">
              <w:t>C</w:t>
            </w:r>
            <w:proofErr w:type="spellEnd"/>
            <w:r w:rsidRPr="00672DBE">
              <w:t xml:space="preserve">. </w:t>
            </w:r>
          </w:p>
        </w:tc>
      </w:tr>
      <w:tr w:rsidR="00EB2B55" w:rsidRPr="00672DBE" w14:paraId="28A6914F" w14:textId="77777777" w:rsidTr="00AE179A">
        <w:trPr>
          <w:cantSplit/>
        </w:trPr>
        <w:tc>
          <w:tcPr>
            <w:tcW w:w="1375" w:type="dxa"/>
            <w:hideMark/>
          </w:tcPr>
          <w:p w14:paraId="72E09AAB" w14:textId="42E39BD8" w:rsidR="00EB2B55" w:rsidRPr="00672DBE" w:rsidRDefault="00EB2B55" w:rsidP="003414BB">
            <w:r w:rsidRPr="00672DBE">
              <w:lastRenderedPageBreak/>
              <w:t>Johansson et al.</w:t>
            </w:r>
            <w:r w:rsidR="00DD4DC6">
              <w:t>,</w:t>
            </w:r>
            <w:r w:rsidRPr="00672DBE">
              <w:t xml:space="preserve"> 2022, Sweden</w:t>
            </w:r>
          </w:p>
        </w:tc>
        <w:tc>
          <w:tcPr>
            <w:tcW w:w="1881" w:type="dxa"/>
            <w:hideMark/>
          </w:tcPr>
          <w:p w14:paraId="551ECB65" w14:textId="077BE751" w:rsidR="00914D8A" w:rsidRDefault="00EB2B55" w:rsidP="003414BB">
            <w:r w:rsidRPr="00672DBE">
              <w:t xml:space="preserve">To explore relationships between standardised tests </w:t>
            </w:r>
            <w:r w:rsidR="00914D8A">
              <w:t>&amp;</w:t>
            </w:r>
            <w:r w:rsidRPr="00672DBE">
              <w:t xml:space="preserve"> self-reported questionnaire used in a home rehabilitation program</w:t>
            </w:r>
            <w:r w:rsidR="00B53A26" w:rsidRPr="00672DBE">
              <w:t xml:space="preserve">. </w:t>
            </w:r>
          </w:p>
          <w:p w14:paraId="2D9A982B" w14:textId="3765B863" w:rsidR="00EB2B55" w:rsidRPr="00672DBE" w:rsidRDefault="00EB2B55" w:rsidP="003414BB">
            <w:r w:rsidRPr="00672DBE">
              <w:t>Cross sectional study</w:t>
            </w:r>
            <w:r w:rsidR="00177F44">
              <w:t>, secondary analysis</w:t>
            </w:r>
            <w:r w:rsidR="00914D8A">
              <w:t>.</w:t>
            </w:r>
          </w:p>
        </w:tc>
        <w:tc>
          <w:tcPr>
            <w:tcW w:w="2126" w:type="dxa"/>
            <w:hideMark/>
          </w:tcPr>
          <w:p w14:paraId="5C751CBB" w14:textId="2DE13CB4" w:rsidR="00D4144E" w:rsidRDefault="00914D8A" w:rsidP="003414BB">
            <w:r>
              <w:t>302 community dwelling w</w:t>
            </w:r>
            <w:r w:rsidRPr="00672DBE">
              <w:t>omen</w:t>
            </w:r>
            <w:r>
              <w:t xml:space="preserve"> (</w:t>
            </w:r>
            <w:r w:rsidR="00EB2B55" w:rsidRPr="00672DBE">
              <w:t>197</w:t>
            </w:r>
            <w:r>
              <w:t>) &amp; m</w:t>
            </w:r>
            <w:r w:rsidR="00EB2B55" w:rsidRPr="00672DBE">
              <w:t>en</w:t>
            </w:r>
            <w:r>
              <w:t xml:space="preserve"> (</w:t>
            </w:r>
            <w:r w:rsidR="00EB2B55" w:rsidRPr="00672DBE">
              <w:t>10</w:t>
            </w:r>
            <w:r w:rsidR="00314016">
              <w:t>5</w:t>
            </w:r>
            <w:r>
              <w:t>)</w:t>
            </w:r>
            <w:r w:rsidR="00EB2B55" w:rsidRPr="00672DBE">
              <w:t xml:space="preserve"> </w:t>
            </w:r>
            <w:r w:rsidR="00314016">
              <w:t xml:space="preserve">(mean age 80 years) </w:t>
            </w:r>
            <w:r w:rsidR="00EB2B55" w:rsidRPr="00672DBE">
              <w:t>with broad range of health conditions requiring rehabilitation</w:t>
            </w:r>
            <w:r w:rsidR="00D4144E">
              <w:t>.</w:t>
            </w:r>
          </w:p>
          <w:p w14:paraId="1ECC81D0" w14:textId="34E27E7D" w:rsidR="00EB2B55" w:rsidRPr="00672DBE" w:rsidRDefault="00EB2B55" w:rsidP="003414BB">
            <w:r w:rsidRPr="00672DBE">
              <w:t>Home rehabilitation program.</w:t>
            </w:r>
          </w:p>
        </w:tc>
        <w:tc>
          <w:tcPr>
            <w:tcW w:w="1701" w:type="dxa"/>
            <w:hideMark/>
          </w:tcPr>
          <w:p w14:paraId="269CDA63" w14:textId="61245EFA" w:rsidR="00EB2B55" w:rsidRPr="00C93560" w:rsidRDefault="00EB2B55" w:rsidP="003414BB">
            <w:r w:rsidRPr="00C93560">
              <w:t xml:space="preserve">No definition of sex/gender. Participants treated as binary sex. </w:t>
            </w:r>
            <w:r w:rsidR="00E81A90" w:rsidRPr="00C93560">
              <w:t xml:space="preserve">Gender roles incorporated. </w:t>
            </w:r>
          </w:p>
        </w:tc>
        <w:tc>
          <w:tcPr>
            <w:tcW w:w="2268" w:type="dxa"/>
            <w:hideMark/>
          </w:tcPr>
          <w:p w14:paraId="6A72C8ED" w14:textId="7EE6783A" w:rsidR="00EB2B55" w:rsidRPr="00C93560" w:rsidRDefault="00D4144E" w:rsidP="003414BB">
            <w:r w:rsidRPr="00C93560">
              <w:t xml:space="preserve">Up </w:t>
            </w:r>
            <w:r w:rsidR="00EB2B55" w:rsidRPr="00C93560">
              <w:t>to 12 weeks</w:t>
            </w:r>
            <w:r w:rsidRPr="00C93560">
              <w:t>’</w:t>
            </w:r>
            <w:r w:rsidR="00EB2B55" w:rsidRPr="00C93560">
              <w:t xml:space="preserve"> training in person’s home </w:t>
            </w:r>
            <w:r w:rsidRPr="00C93560">
              <w:t xml:space="preserve">&amp; </w:t>
            </w:r>
            <w:r w:rsidR="00EB2B55" w:rsidRPr="00C93560">
              <w:t>neighbourhood, led by interdisciplinary team of occupational therapists, physiotherapist</w:t>
            </w:r>
            <w:r w:rsidRPr="00C93560">
              <w:t>s,</w:t>
            </w:r>
            <w:r w:rsidR="00EB2B55" w:rsidRPr="00C93560">
              <w:t xml:space="preserve"> rehabilitation assistants.</w:t>
            </w:r>
          </w:p>
        </w:tc>
        <w:tc>
          <w:tcPr>
            <w:tcW w:w="2268" w:type="dxa"/>
            <w:hideMark/>
          </w:tcPr>
          <w:p w14:paraId="07CCFE09" w14:textId="219565ED" w:rsidR="00D4144E" w:rsidRPr="00C93560" w:rsidRDefault="00EB2B55" w:rsidP="003414BB">
            <w:r w:rsidRPr="00C93560">
              <w:t xml:space="preserve">Standardised instruments </w:t>
            </w:r>
            <w:r w:rsidR="00D4144E" w:rsidRPr="00C93560">
              <w:t xml:space="preserve">testing daily living activities, </w:t>
            </w:r>
            <w:r w:rsidRPr="00C93560">
              <w:t>motor function</w:t>
            </w:r>
            <w:r w:rsidR="00D4144E" w:rsidRPr="00C93560">
              <w:t>, &amp; quality of life</w:t>
            </w:r>
          </w:p>
          <w:p w14:paraId="5F593622" w14:textId="29F2F276" w:rsidR="00D4144E" w:rsidRPr="00C93560" w:rsidRDefault="00D4144E" w:rsidP="003414BB">
            <w:r w:rsidRPr="00C93560">
              <w:t xml:space="preserve">compared with </w:t>
            </w:r>
            <w:r w:rsidR="00EB2B55" w:rsidRPr="00C93560">
              <w:t xml:space="preserve">questionnaire </w:t>
            </w:r>
            <w:r w:rsidRPr="00C93560">
              <w:t xml:space="preserve">about </w:t>
            </w:r>
            <w:r w:rsidR="00EB2B55" w:rsidRPr="00C93560">
              <w:t>self-rated health</w:t>
            </w:r>
            <w:r w:rsidRPr="00C93560">
              <w:t>.</w:t>
            </w:r>
          </w:p>
          <w:p w14:paraId="50931871" w14:textId="684C6D02" w:rsidR="00EB2B55" w:rsidRPr="00C93560" w:rsidRDefault="00EB2B55" w:rsidP="003414BB"/>
        </w:tc>
        <w:tc>
          <w:tcPr>
            <w:tcW w:w="3769" w:type="dxa"/>
            <w:hideMark/>
          </w:tcPr>
          <w:p w14:paraId="63E6D3DC" w14:textId="7E0935AE" w:rsidR="00D4144E" w:rsidRPr="00C93560" w:rsidRDefault="00EB2B55" w:rsidP="003414BB">
            <w:r w:rsidRPr="00C93560">
              <w:t>• Gender</w:t>
            </w:r>
            <w:r w:rsidR="00E81A90" w:rsidRPr="00C93560">
              <w:t>/</w:t>
            </w:r>
            <w:r w:rsidR="00D4144E" w:rsidRPr="00C93560">
              <w:t xml:space="preserve">sex </w:t>
            </w:r>
            <w:r w:rsidRPr="00C93560">
              <w:t xml:space="preserve">differences found within </w:t>
            </w:r>
            <w:r w:rsidR="00D4144E" w:rsidRPr="00C93560">
              <w:t xml:space="preserve">&amp; </w:t>
            </w:r>
            <w:r w:rsidRPr="00C93560">
              <w:t>between assessment instruments</w:t>
            </w:r>
            <w:r w:rsidR="00D4144E" w:rsidRPr="00C93560">
              <w:t>.</w:t>
            </w:r>
          </w:p>
          <w:p w14:paraId="1E7DB9D0" w14:textId="0B1A84D1" w:rsidR="00C90074" w:rsidRPr="00C93560" w:rsidRDefault="00C90074" w:rsidP="003414BB">
            <w:r w:rsidRPr="00C93560">
              <w:t xml:space="preserve">• </w:t>
            </w:r>
            <w:r w:rsidR="00EB2B55" w:rsidRPr="00C93560">
              <w:t xml:space="preserve">Women </w:t>
            </w:r>
            <w:r w:rsidRPr="00C93560">
              <w:t>tended to live alone, men with woman who cared for them; influenced daily living assessments.</w:t>
            </w:r>
          </w:p>
          <w:p w14:paraId="5AC2E363" w14:textId="4C9339C4" w:rsidR="00C90074" w:rsidRPr="00C93560" w:rsidRDefault="00EB2B55" w:rsidP="003414BB">
            <w:r w:rsidRPr="00C93560">
              <w:t xml:space="preserve">• </w:t>
            </w:r>
            <w:r w:rsidR="00C90074" w:rsidRPr="00C93560">
              <w:t>Staff concurred with women’s assessments of daily living tasks more than men’s; interpreted as omission of traditional male tasks from assessments.</w:t>
            </w:r>
          </w:p>
          <w:p w14:paraId="361D99EB" w14:textId="18312F05" w:rsidR="00EB2B55" w:rsidRPr="00C93560" w:rsidRDefault="00D4144E" w:rsidP="003414BB">
            <w:r w:rsidRPr="00C93560">
              <w:t>• Person-centred, gender-aware assessment instruments are necessary.</w:t>
            </w:r>
          </w:p>
        </w:tc>
      </w:tr>
      <w:tr w:rsidR="00EB2B55" w:rsidRPr="00672DBE" w14:paraId="49DCB845" w14:textId="77777777" w:rsidTr="00453AD2">
        <w:trPr>
          <w:trHeight w:val="3456"/>
        </w:trPr>
        <w:tc>
          <w:tcPr>
            <w:tcW w:w="1375" w:type="dxa"/>
            <w:hideMark/>
          </w:tcPr>
          <w:p w14:paraId="19213B60" w14:textId="31E59A99" w:rsidR="00EB2B55" w:rsidRPr="00672DBE" w:rsidRDefault="00EB2B55" w:rsidP="003414BB">
            <w:proofErr w:type="spellStart"/>
            <w:r w:rsidRPr="00672DBE">
              <w:t>Prioste</w:t>
            </w:r>
            <w:proofErr w:type="spellEnd"/>
            <w:r w:rsidRPr="00672DBE">
              <w:t xml:space="preserve"> et al.</w:t>
            </w:r>
            <w:r w:rsidR="00DD4DC6">
              <w:t>,</w:t>
            </w:r>
            <w:r w:rsidRPr="00672DBE">
              <w:t xml:space="preserve"> </w:t>
            </w:r>
            <w:r w:rsidR="00A50919" w:rsidRPr="00672DBE">
              <w:t>201</w:t>
            </w:r>
            <w:r w:rsidR="00A50919">
              <w:t>7</w:t>
            </w:r>
            <w:r w:rsidRPr="00672DBE">
              <w:t>, Portugal</w:t>
            </w:r>
          </w:p>
        </w:tc>
        <w:tc>
          <w:tcPr>
            <w:tcW w:w="1881" w:type="dxa"/>
            <w:hideMark/>
          </w:tcPr>
          <w:p w14:paraId="0846D0DF" w14:textId="30E31BED" w:rsidR="00A50919" w:rsidRDefault="00EB2B55" w:rsidP="003414BB">
            <w:r w:rsidRPr="00672DBE">
              <w:t xml:space="preserve">To investigate psychosocial gains perceived by overweight adolescents attending a weight management program </w:t>
            </w:r>
            <w:r w:rsidR="00A50919">
              <w:t>&amp;</w:t>
            </w:r>
            <w:r w:rsidR="00A50919" w:rsidRPr="00672DBE">
              <w:t xml:space="preserve"> </w:t>
            </w:r>
            <w:r w:rsidRPr="00672DBE">
              <w:t>to analyse gender-specific differences</w:t>
            </w:r>
            <w:r w:rsidR="00A50919">
              <w:t>.</w:t>
            </w:r>
          </w:p>
          <w:p w14:paraId="2AEF83C7" w14:textId="644D64B8" w:rsidR="00EB2B55" w:rsidRPr="00672DBE" w:rsidRDefault="00EB2B55" w:rsidP="003414BB">
            <w:r w:rsidRPr="00672DBE">
              <w:t>Cross sectional study</w:t>
            </w:r>
            <w:r w:rsidR="00A50919">
              <w:t>.</w:t>
            </w:r>
          </w:p>
        </w:tc>
        <w:tc>
          <w:tcPr>
            <w:tcW w:w="2126" w:type="dxa"/>
            <w:hideMark/>
          </w:tcPr>
          <w:p w14:paraId="7C79CA5B" w14:textId="59D61957" w:rsidR="00A50919" w:rsidRDefault="00EB2B55" w:rsidP="003414BB">
            <w:r w:rsidRPr="00672DBE">
              <w:t xml:space="preserve">70 </w:t>
            </w:r>
            <w:r w:rsidR="00A50919">
              <w:t xml:space="preserve">overweight </w:t>
            </w:r>
            <w:r w:rsidRPr="00672DBE">
              <w:t xml:space="preserve">adolescents </w:t>
            </w:r>
            <w:r w:rsidR="00A50919">
              <w:t xml:space="preserve">(52.9% </w:t>
            </w:r>
            <w:r w:rsidRPr="00672DBE">
              <w:t>female</w:t>
            </w:r>
            <w:r w:rsidR="00A50919">
              <w:t>)</w:t>
            </w:r>
            <w:r w:rsidRPr="00672DBE">
              <w:t xml:space="preserve"> </w:t>
            </w:r>
            <w:r w:rsidR="00A50919">
              <w:t>aged</w:t>
            </w:r>
            <w:r w:rsidRPr="00672DBE">
              <w:t xml:space="preserve"> 12-18 y</w:t>
            </w:r>
            <w:r w:rsidR="004C09AD">
              <w:t>ea</w:t>
            </w:r>
            <w:r w:rsidRPr="00672DBE">
              <w:t xml:space="preserve">rs being treated at </w:t>
            </w:r>
            <w:r w:rsidR="00A50919">
              <w:t>a</w:t>
            </w:r>
            <w:r w:rsidR="00A50919" w:rsidRPr="00672DBE">
              <w:t xml:space="preserve"> </w:t>
            </w:r>
            <w:r w:rsidR="00A50919">
              <w:t>hospital p</w:t>
            </w:r>
            <w:r w:rsidR="00A50919" w:rsidRPr="00672DBE">
              <w:t xml:space="preserve">aediatric </w:t>
            </w:r>
            <w:r w:rsidR="00A50919">
              <w:t>o</w:t>
            </w:r>
            <w:r w:rsidR="00A50919" w:rsidRPr="00672DBE">
              <w:t xml:space="preserve">besity </w:t>
            </w:r>
            <w:r w:rsidR="00A50919">
              <w:t>c</w:t>
            </w:r>
            <w:r w:rsidR="00A50919" w:rsidRPr="00672DBE">
              <w:t>linic</w:t>
            </w:r>
            <w:r w:rsidR="00A50919">
              <w:t>.</w:t>
            </w:r>
          </w:p>
          <w:p w14:paraId="419F4215" w14:textId="0CABF4BE" w:rsidR="00EB2B55" w:rsidRPr="00672DBE" w:rsidRDefault="00EB2B55" w:rsidP="003414BB">
            <w:r w:rsidRPr="00672DBE">
              <w:t>12-week weight management program.</w:t>
            </w:r>
          </w:p>
        </w:tc>
        <w:tc>
          <w:tcPr>
            <w:tcW w:w="1701" w:type="dxa"/>
            <w:hideMark/>
          </w:tcPr>
          <w:p w14:paraId="23E27C50" w14:textId="0A08360D" w:rsidR="00EB2B55" w:rsidRPr="00C93560" w:rsidRDefault="00EB2B55" w:rsidP="003414BB">
            <w:r w:rsidRPr="00C93560">
              <w:t>No definition of sex/gender. Participants treated as binary sex</w:t>
            </w:r>
            <w:r w:rsidR="00EF03DD" w:rsidRPr="00C93560">
              <w:t xml:space="preserve">; </w:t>
            </w:r>
            <w:r w:rsidR="00820B32" w:rsidRPr="00C93560">
              <w:t>social roles considered</w:t>
            </w:r>
            <w:r w:rsidRPr="00C93560">
              <w:t xml:space="preserve">. </w:t>
            </w:r>
          </w:p>
          <w:p w14:paraId="15B702D6" w14:textId="780E4F49" w:rsidR="00C65F33" w:rsidRPr="00C93560" w:rsidRDefault="00C65F33" w:rsidP="003414BB"/>
        </w:tc>
        <w:tc>
          <w:tcPr>
            <w:tcW w:w="2268" w:type="dxa"/>
            <w:hideMark/>
          </w:tcPr>
          <w:p w14:paraId="710E8F7E" w14:textId="7FF4C3ED" w:rsidR="00AB0DA0" w:rsidRPr="00C93560" w:rsidRDefault="00AB0DA0" w:rsidP="003414BB">
            <w:r w:rsidRPr="00C93560">
              <w:t>Weight-management program</w:t>
            </w:r>
            <w:r w:rsidR="00E8723B" w:rsidRPr="00C93560">
              <w:t>.</w:t>
            </w:r>
          </w:p>
          <w:p w14:paraId="28F4921A" w14:textId="12970BD4" w:rsidR="00EB2B55" w:rsidRPr="00C93560" w:rsidRDefault="00E8723B" w:rsidP="003414BB">
            <w:r w:rsidRPr="00C93560">
              <w:t xml:space="preserve">3 </w:t>
            </w:r>
            <w:r w:rsidR="00EB2B55" w:rsidRPr="00C93560">
              <w:t>session</w:t>
            </w:r>
            <w:r w:rsidRPr="00C93560">
              <w:t>s:</w:t>
            </w:r>
            <w:r w:rsidR="00EB2B55" w:rsidRPr="00C93560">
              <w:t xml:space="preserve"> </w:t>
            </w:r>
            <w:r w:rsidRPr="00C93560">
              <w:t>medical (</w:t>
            </w:r>
            <w:r w:rsidR="00EB2B55" w:rsidRPr="00C93560">
              <w:t>motivational interview, physical examination</w:t>
            </w:r>
            <w:r w:rsidRPr="00C93560">
              <w:t xml:space="preserve">, </w:t>
            </w:r>
            <w:r w:rsidR="00EB2B55" w:rsidRPr="00C93560">
              <w:t>self-image assessment</w:t>
            </w:r>
            <w:r w:rsidRPr="00C93560">
              <w:t>),</w:t>
            </w:r>
            <w:r w:rsidR="00EB2B55" w:rsidRPr="00C93560">
              <w:t xml:space="preserve"> </w:t>
            </w:r>
            <w:r w:rsidRPr="00C93560">
              <w:t>nutritional (3-</w:t>
            </w:r>
            <w:r w:rsidR="00EB2B55" w:rsidRPr="00C93560">
              <w:t>day food recall</w:t>
            </w:r>
            <w:r w:rsidRPr="00C93560">
              <w:t>,</w:t>
            </w:r>
            <w:r w:rsidR="00EB2B55" w:rsidRPr="00C93560">
              <w:t xml:space="preserve"> counselling</w:t>
            </w:r>
            <w:r w:rsidRPr="00C93560">
              <w:t>), p</w:t>
            </w:r>
            <w:r w:rsidR="00EB2B55" w:rsidRPr="00C93560">
              <w:t>hysical activity</w:t>
            </w:r>
            <w:r w:rsidRPr="00C93560">
              <w:t xml:space="preserve"> (</w:t>
            </w:r>
            <w:r w:rsidR="00EB2B55" w:rsidRPr="00C93560">
              <w:t>assessment</w:t>
            </w:r>
            <w:r w:rsidRPr="00C93560">
              <w:t xml:space="preserve">, </w:t>
            </w:r>
            <w:r w:rsidR="00EB2B55" w:rsidRPr="00C93560">
              <w:t>recommendations</w:t>
            </w:r>
            <w:r w:rsidRPr="00C93560">
              <w:t>)</w:t>
            </w:r>
            <w:r w:rsidR="00EB2B55" w:rsidRPr="00C93560">
              <w:t>.</w:t>
            </w:r>
          </w:p>
        </w:tc>
        <w:tc>
          <w:tcPr>
            <w:tcW w:w="2268" w:type="dxa"/>
            <w:hideMark/>
          </w:tcPr>
          <w:p w14:paraId="0A242BC7" w14:textId="77777777" w:rsidR="00E8723B" w:rsidRPr="00C93560" w:rsidRDefault="00E8723B" w:rsidP="00E8723B">
            <w:pPr>
              <w:autoSpaceDE w:val="0"/>
              <w:autoSpaceDN w:val="0"/>
              <w:adjustRightInd w:val="0"/>
              <w:rPr>
                <w:rFonts w:cstheme="minorHAnsi"/>
              </w:rPr>
            </w:pPr>
            <w:r w:rsidRPr="00C93560">
              <w:rPr>
                <w:rFonts w:cstheme="minorHAnsi"/>
              </w:rPr>
              <w:t>Adherence to Weight Control Questionnaire (AWCQ), Impact of Weight on Quality of Life-Lite (IWQL-Lite), Adolescent Lifestyle Profile (ALP-R2).</w:t>
            </w:r>
          </w:p>
          <w:p w14:paraId="4995B86D" w14:textId="67DEAB23" w:rsidR="00EB2B55" w:rsidRPr="00C93560" w:rsidRDefault="00EB2B55" w:rsidP="00E8723B"/>
        </w:tc>
        <w:tc>
          <w:tcPr>
            <w:tcW w:w="3769" w:type="dxa"/>
            <w:hideMark/>
          </w:tcPr>
          <w:p w14:paraId="28EFCBF9" w14:textId="55E0A32A" w:rsidR="00AB0DA0" w:rsidRPr="00C93560" w:rsidRDefault="00AB0DA0" w:rsidP="003414BB">
            <w:r w:rsidRPr="00C93560">
              <w:t xml:space="preserve">• Gender &amp; psychosocial variables influence </w:t>
            </w:r>
            <w:r w:rsidR="00B0689C" w:rsidRPr="00C93560">
              <w:t>experience of</w:t>
            </w:r>
            <w:r w:rsidRPr="00C93560">
              <w:t xml:space="preserve"> weight management programs.</w:t>
            </w:r>
          </w:p>
          <w:p w14:paraId="0FD1044B" w14:textId="5A70FDB8" w:rsidR="00EB2B55" w:rsidRPr="00C93560" w:rsidRDefault="00EB2B55" w:rsidP="003414BB">
            <w:r w:rsidRPr="00C93560">
              <w:t xml:space="preserve">• Weight had greater impact on body self-esteem of girls than boys, at baseline </w:t>
            </w:r>
            <w:r w:rsidR="00B0689C" w:rsidRPr="00C93560">
              <w:t xml:space="preserve">&amp; </w:t>
            </w:r>
            <w:r w:rsidRPr="00C93560">
              <w:t>week 12 follow-up</w:t>
            </w:r>
            <w:r w:rsidR="00B0689C" w:rsidRPr="00C93560">
              <w:t>.</w:t>
            </w:r>
          </w:p>
          <w:p w14:paraId="609E6ACA" w14:textId="3D400764" w:rsidR="00EB2B55" w:rsidRPr="00C93560" w:rsidRDefault="00EB2B55" w:rsidP="003414BB">
            <w:r w:rsidRPr="00C93560">
              <w:t xml:space="preserve">• Boys reported higher self-efficacy </w:t>
            </w:r>
            <w:r w:rsidR="00B0689C" w:rsidRPr="00C93560">
              <w:t xml:space="preserve">&amp; </w:t>
            </w:r>
            <w:r w:rsidRPr="00C93560">
              <w:t>adherence as well as greater perception of benefits of the intervention at week 12 follow-up</w:t>
            </w:r>
            <w:r w:rsidR="00B0689C" w:rsidRPr="00C93560">
              <w:t>.</w:t>
            </w:r>
          </w:p>
          <w:p w14:paraId="03061AB6" w14:textId="408BD600" w:rsidR="00B0689C" w:rsidRPr="00C93560" w:rsidRDefault="00EB2B55" w:rsidP="003414BB">
            <w:r w:rsidRPr="00C93560">
              <w:t xml:space="preserve">• No significant difference in BMI changes between girls </w:t>
            </w:r>
            <w:r w:rsidR="00AE179A">
              <w:t>&amp;</w:t>
            </w:r>
            <w:r w:rsidRPr="00C93560">
              <w:t xml:space="preserve"> boys.</w:t>
            </w:r>
          </w:p>
          <w:p w14:paraId="3873B467" w14:textId="5C685806" w:rsidR="00EB2B55" w:rsidRPr="00C93560" w:rsidRDefault="00EB2B55" w:rsidP="003414BB"/>
        </w:tc>
      </w:tr>
      <w:tr w:rsidR="00EB2B55" w:rsidRPr="00672DBE" w14:paraId="02DE4679" w14:textId="77777777" w:rsidTr="00453AD2">
        <w:trPr>
          <w:trHeight w:val="2858"/>
        </w:trPr>
        <w:tc>
          <w:tcPr>
            <w:tcW w:w="1375" w:type="dxa"/>
            <w:hideMark/>
          </w:tcPr>
          <w:p w14:paraId="33961BA3" w14:textId="00B2B606" w:rsidR="00EB2B55" w:rsidRPr="00672DBE" w:rsidRDefault="00EB2B55" w:rsidP="003414BB">
            <w:r w:rsidRPr="00672DBE">
              <w:lastRenderedPageBreak/>
              <w:t>Schutt et al.</w:t>
            </w:r>
            <w:r w:rsidR="00DD4DC6">
              <w:t>,</w:t>
            </w:r>
            <w:r w:rsidRPr="00672DBE">
              <w:t xml:space="preserve"> </w:t>
            </w:r>
            <w:r w:rsidR="00F563F0" w:rsidRPr="00672DBE">
              <w:t>20</w:t>
            </w:r>
            <w:r w:rsidR="00F563F0">
              <w:t>15</w:t>
            </w:r>
            <w:r w:rsidRPr="00672DBE">
              <w:t>, Germany</w:t>
            </w:r>
          </w:p>
        </w:tc>
        <w:tc>
          <w:tcPr>
            <w:tcW w:w="1881" w:type="dxa"/>
            <w:hideMark/>
          </w:tcPr>
          <w:p w14:paraId="5DF937BE" w14:textId="0AE2DAD6" w:rsidR="00FF4FC7" w:rsidRDefault="00EB2B55" w:rsidP="003414BB">
            <w:r w:rsidRPr="00672DBE">
              <w:t xml:space="preserve">To evaluate </w:t>
            </w:r>
            <w:r w:rsidR="009A272A">
              <w:t xml:space="preserve">whether </w:t>
            </w:r>
            <w:r w:rsidRPr="00672DBE">
              <w:t xml:space="preserve">monotherapy </w:t>
            </w:r>
            <w:r w:rsidR="009A272A">
              <w:t>(</w:t>
            </w:r>
            <w:r w:rsidRPr="00672DBE">
              <w:t>lifestyle</w:t>
            </w:r>
            <w:r w:rsidR="009A272A">
              <w:t xml:space="preserve"> or</w:t>
            </w:r>
            <w:r w:rsidR="009A272A" w:rsidRPr="00672DBE">
              <w:t xml:space="preserve"> </w:t>
            </w:r>
            <w:r w:rsidRPr="00672DBE">
              <w:t>medication</w:t>
            </w:r>
            <w:r w:rsidR="009A272A">
              <w:t>:</w:t>
            </w:r>
            <w:r w:rsidRPr="00672DBE">
              <w:t xml:space="preserve"> metformin or sulfonylurea) has gender-specific effects on glycaemic control </w:t>
            </w:r>
            <w:r w:rsidR="009A272A">
              <w:t>&amp;</w:t>
            </w:r>
            <w:r w:rsidRPr="00672DBE">
              <w:t>/or body weight</w:t>
            </w:r>
            <w:r w:rsidR="009A272A">
              <w:t xml:space="preserve"> in patients with diabetes</w:t>
            </w:r>
            <w:r w:rsidR="00FF4FC7">
              <w:t>.</w:t>
            </w:r>
          </w:p>
          <w:p w14:paraId="20AF1DA0" w14:textId="4AC5E69D" w:rsidR="00EB2B55" w:rsidRPr="00672DBE" w:rsidRDefault="00EB2B55" w:rsidP="003414BB">
            <w:r w:rsidRPr="00672DBE">
              <w:t>Observational study</w:t>
            </w:r>
            <w:r w:rsidR="00270EFC">
              <w:t>.</w:t>
            </w:r>
          </w:p>
        </w:tc>
        <w:tc>
          <w:tcPr>
            <w:tcW w:w="2126" w:type="dxa"/>
            <w:hideMark/>
          </w:tcPr>
          <w:p w14:paraId="79103BB1" w14:textId="1E8AB98F" w:rsidR="00EB2B55" w:rsidRPr="00672DBE" w:rsidRDefault="00EB2B55" w:rsidP="00EC1210">
            <w:pPr>
              <w:autoSpaceDE w:val="0"/>
              <w:autoSpaceDN w:val="0"/>
              <w:adjustRightInd w:val="0"/>
            </w:pPr>
            <w:r w:rsidRPr="00051B8B">
              <w:rPr>
                <w:rFonts w:cstheme="minorHAnsi"/>
              </w:rPr>
              <w:t>9,108 patients (</w:t>
            </w:r>
            <w:r w:rsidR="002C40FF" w:rsidRPr="00295724">
              <w:rPr>
                <w:rFonts w:cstheme="minorHAnsi"/>
              </w:rPr>
              <w:t xml:space="preserve">49.3% </w:t>
            </w:r>
            <w:r w:rsidRPr="00295724">
              <w:rPr>
                <w:rFonts w:cstheme="minorHAnsi"/>
              </w:rPr>
              <w:t>women</w:t>
            </w:r>
            <w:r w:rsidRPr="000276EC">
              <w:rPr>
                <w:rFonts w:cstheme="minorHAnsi"/>
              </w:rPr>
              <w:t>) with type 2 diabetes</w:t>
            </w:r>
            <w:r w:rsidR="002C40FF" w:rsidRPr="000276EC">
              <w:rPr>
                <w:rFonts w:cstheme="minorHAnsi"/>
              </w:rPr>
              <w:t xml:space="preserve">. Data from </w:t>
            </w:r>
            <w:r w:rsidRPr="000276EC">
              <w:rPr>
                <w:rFonts w:cstheme="minorHAnsi"/>
              </w:rPr>
              <w:t>129 diabetes centres</w:t>
            </w:r>
            <w:r w:rsidR="002C40FF" w:rsidRPr="000276EC">
              <w:rPr>
                <w:rFonts w:cstheme="minorHAnsi"/>
              </w:rPr>
              <w:t xml:space="preserve">: </w:t>
            </w:r>
            <w:r w:rsidR="002C40FF" w:rsidRPr="000276EC">
              <w:rPr>
                <w:rFonts w:eastAsia="ThiemeGulliver2011-Regular" w:cstheme="minorHAnsi"/>
              </w:rPr>
              <w:t>DPV-Wiss</w:t>
            </w:r>
            <w:r w:rsidR="00507B28">
              <w:rPr>
                <w:rFonts w:eastAsia="ThiemeGulliver2011-Regular" w:cstheme="minorHAnsi"/>
              </w:rPr>
              <w:t xml:space="preserve"> </w:t>
            </w:r>
            <w:r w:rsidR="002C40FF" w:rsidRPr="000276EC">
              <w:rPr>
                <w:rFonts w:eastAsia="ThiemeGulliver2011-Regular" w:cstheme="minorHAnsi"/>
              </w:rPr>
              <w:t>database, a standardised, prospective, multicentre, computer-based documentation of diabetes care &amp;</w:t>
            </w:r>
            <w:r w:rsidR="00EC1210">
              <w:rPr>
                <w:rFonts w:eastAsia="ThiemeGulliver2011-Regular" w:cstheme="minorHAnsi"/>
              </w:rPr>
              <w:t xml:space="preserve"> o</w:t>
            </w:r>
            <w:r w:rsidR="002C40FF" w:rsidRPr="000276EC">
              <w:rPr>
                <w:rFonts w:eastAsia="ThiemeGulliver2011-Regular" w:cstheme="minorHAnsi"/>
              </w:rPr>
              <w:t>utcome</w:t>
            </w:r>
            <w:r w:rsidR="00EC1210">
              <w:rPr>
                <w:rFonts w:eastAsia="ThiemeGulliver2011-Regular" w:cstheme="minorHAnsi"/>
              </w:rPr>
              <w:t>.</w:t>
            </w:r>
            <w:r w:rsidRPr="00672DBE">
              <w:t xml:space="preserve"> </w:t>
            </w:r>
          </w:p>
        </w:tc>
        <w:tc>
          <w:tcPr>
            <w:tcW w:w="1701" w:type="dxa"/>
            <w:hideMark/>
          </w:tcPr>
          <w:p w14:paraId="53276694" w14:textId="13454E7A" w:rsidR="00EB2B55" w:rsidRPr="00C93560" w:rsidRDefault="00EB2B55" w:rsidP="003414BB">
            <w:r w:rsidRPr="00672DBE">
              <w:t xml:space="preserve">No definition of sex/gender. Participants </w:t>
            </w:r>
            <w:r w:rsidRPr="00C93560">
              <w:t xml:space="preserve">treated as binary sex. </w:t>
            </w:r>
          </w:p>
          <w:p w14:paraId="7ECEFAD2" w14:textId="24CB7CE4" w:rsidR="00B3298F" w:rsidRPr="00672DBE" w:rsidRDefault="00B3298F" w:rsidP="003414BB">
            <w:r w:rsidRPr="00C93560">
              <w:t xml:space="preserve">Include </w:t>
            </w:r>
            <w:r w:rsidR="001C1849" w:rsidRPr="00C93560">
              <w:t xml:space="preserve">in introduction a </w:t>
            </w:r>
            <w:r w:rsidRPr="00C93560">
              <w:t>reference to “psychosocial factors”</w:t>
            </w:r>
            <w:r w:rsidR="001C1849" w:rsidRPr="00C93560">
              <w:t>. U</w:t>
            </w:r>
            <w:r w:rsidRPr="00C93560">
              <w:t>se “gender” to mean sex &amp; gender.</w:t>
            </w:r>
          </w:p>
        </w:tc>
        <w:tc>
          <w:tcPr>
            <w:tcW w:w="2268" w:type="dxa"/>
            <w:hideMark/>
          </w:tcPr>
          <w:p w14:paraId="65793E80" w14:textId="77777777" w:rsidR="00EB2B55" w:rsidRPr="00672DBE" w:rsidRDefault="00EB2B55" w:rsidP="003414BB">
            <w:r w:rsidRPr="00672DBE">
              <w:t>Diabetes treatment including education and medication</w:t>
            </w:r>
          </w:p>
        </w:tc>
        <w:tc>
          <w:tcPr>
            <w:tcW w:w="2268" w:type="dxa"/>
            <w:hideMark/>
          </w:tcPr>
          <w:p w14:paraId="0AAFB86D" w14:textId="64E052EB" w:rsidR="00770EC3" w:rsidRPr="000276EC" w:rsidRDefault="007B5356" w:rsidP="00770EC3">
            <w:pPr>
              <w:autoSpaceDE w:val="0"/>
              <w:autoSpaceDN w:val="0"/>
              <w:adjustRightInd w:val="0"/>
              <w:rPr>
                <w:rFonts w:eastAsia="ThiemeGulliver2011-Regular" w:cstheme="minorHAnsi"/>
              </w:rPr>
            </w:pPr>
            <w:r>
              <w:rPr>
                <w:rFonts w:cstheme="minorHAnsi"/>
              </w:rPr>
              <w:t>Blood glucose (</w:t>
            </w:r>
            <w:r w:rsidR="00770EC3" w:rsidRPr="000276EC">
              <w:rPr>
                <w:rFonts w:eastAsia="ThiemeGulliver2011-Regular" w:cstheme="minorHAnsi"/>
              </w:rPr>
              <w:t>HbA1c</w:t>
            </w:r>
            <w:r>
              <w:rPr>
                <w:rFonts w:eastAsia="ThiemeGulliver2011-Regular" w:cstheme="minorHAnsi"/>
              </w:rPr>
              <w:t>)</w:t>
            </w:r>
            <w:r w:rsidR="00770EC3" w:rsidRPr="000276EC">
              <w:rPr>
                <w:rFonts w:eastAsia="ThiemeGulliver2011-Regular" w:cstheme="minorHAnsi"/>
              </w:rPr>
              <w:t xml:space="preserve"> &amp; body weight</w:t>
            </w:r>
            <w:r>
              <w:rPr>
                <w:rFonts w:eastAsia="ThiemeGulliver2011-Regular" w:cstheme="minorHAnsi"/>
              </w:rPr>
              <w:t xml:space="preserve"> (</w:t>
            </w:r>
            <w:r w:rsidR="00770EC3" w:rsidRPr="000276EC">
              <w:rPr>
                <w:rFonts w:eastAsia="ThiemeGulliver2011-Regular" w:cstheme="minorHAnsi"/>
              </w:rPr>
              <w:t>BMI</w:t>
            </w:r>
            <w:r>
              <w:rPr>
                <w:rFonts w:eastAsia="ThiemeGulliver2011-Regular" w:cstheme="minorHAnsi"/>
              </w:rPr>
              <w:t>)</w:t>
            </w:r>
            <w:r w:rsidRPr="000276EC">
              <w:rPr>
                <w:rFonts w:eastAsia="ThiemeGulliver2011-Regular" w:cstheme="minorHAnsi"/>
              </w:rPr>
              <w:t xml:space="preserve"> </w:t>
            </w:r>
            <w:r w:rsidR="00770EC3" w:rsidRPr="000276EC">
              <w:rPr>
                <w:rFonts w:eastAsia="ThiemeGulliver2011-Regular" w:cstheme="minorHAnsi"/>
              </w:rPr>
              <w:t>before &amp; after therapy</w:t>
            </w:r>
            <w:r w:rsidRPr="000276EC">
              <w:rPr>
                <w:rFonts w:eastAsia="ThiemeGulliver2011-Regular" w:cstheme="minorHAnsi"/>
              </w:rPr>
              <w:t>.</w:t>
            </w:r>
          </w:p>
          <w:p w14:paraId="775FAA36" w14:textId="65B54FA9" w:rsidR="00EB2B55" w:rsidRPr="00672DBE" w:rsidRDefault="00EB2B55" w:rsidP="00770EC3"/>
        </w:tc>
        <w:tc>
          <w:tcPr>
            <w:tcW w:w="3769" w:type="dxa"/>
            <w:hideMark/>
          </w:tcPr>
          <w:p w14:paraId="3745416B" w14:textId="2C7B7C41" w:rsidR="00827774" w:rsidRPr="000276EC" w:rsidRDefault="00EB2B55" w:rsidP="000276EC">
            <w:pPr>
              <w:autoSpaceDE w:val="0"/>
              <w:autoSpaceDN w:val="0"/>
              <w:adjustRightInd w:val="0"/>
              <w:rPr>
                <w:rFonts w:eastAsia="ThiemeGulliver2011-Regular" w:cstheme="minorHAnsi"/>
              </w:rPr>
            </w:pPr>
            <w:r w:rsidRPr="00051B8B">
              <w:rPr>
                <w:rFonts w:cstheme="minorHAnsi"/>
              </w:rPr>
              <w:t xml:space="preserve">• </w:t>
            </w:r>
            <w:r w:rsidR="00827774" w:rsidRPr="000276EC">
              <w:rPr>
                <w:rFonts w:eastAsia="ThiemeGulliver2011-Regular" w:cstheme="minorHAnsi"/>
              </w:rPr>
              <w:t>Antidiabetic treatments have different effects on body weight &amp; blood glucose for women &amp; men.</w:t>
            </w:r>
          </w:p>
          <w:p w14:paraId="402C69A9" w14:textId="517FF8FC" w:rsidR="00EB2B55" w:rsidRPr="000276EC" w:rsidRDefault="00EB2B55" w:rsidP="000276EC">
            <w:pPr>
              <w:autoSpaceDE w:val="0"/>
              <w:autoSpaceDN w:val="0"/>
              <w:adjustRightInd w:val="0"/>
              <w:rPr>
                <w:rFonts w:ascii="ThiemeGulliver2011-Regular" w:eastAsia="ThiemeGulliver2011-Regular" w:cs="ThiemeGulliver2011-Regular"/>
                <w:sz w:val="17"/>
                <w:szCs w:val="17"/>
              </w:rPr>
            </w:pPr>
            <w:r w:rsidRPr="00672DBE">
              <w:t xml:space="preserve">• </w:t>
            </w:r>
            <w:r w:rsidR="00827774" w:rsidRPr="000276EC">
              <w:rPr>
                <w:rFonts w:eastAsia="ThiemeGulliver2011-Regular" w:cstheme="minorHAnsi"/>
              </w:rPr>
              <w:t>Body weight &amp; blood glucose differences were inverse: women had higher body weight reductions during lifestyle, metformin, or sulfonylurea treatment; men showed higher blood glucose reductions during lifestyle or metformin treatment.</w:t>
            </w:r>
          </w:p>
        </w:tc>
      </w:tr>
    </w:tbl>
    <w:p w14:paraId="24424DC6" w14:textId="77777777" w:rsidR="00EB2B55" w:rsidRPr="00672DBE" w:rsidRDefault="00EB2B55" w:rsidP="003414BB"/>
    <w:p w14:paraId="1EAE7927" w14:textId="0305F6CF" w:rsidR="00B53A26" w:rsidRPr="00672DBE" w:rsidRDefault="00B53A26">
      <w:r w:rsidRPr="00672DBE">
        <w:br w:type="page"/>
      </w:r>
    </w:p>
    <w:p w14:paraId="310D6B21" w14:textId="6EDFF105" w:rsidR="00EB2B55" w:rsidRPr="00566296" w:rsidRDefault="00A471B8" w:rsidP="003414BB">
      <w:pPr>
        <w:rPr>
          <w:b/>
          <w:sz w:val="24"/>
          <w:szCs w:val="24"/>
        </w:rPr>
      </w:pPr>
      <w:r w:rsidRPr="00566296">
        <w:rPr>
          <w:b/>
          <w:sz w:val="24"/>
          <w:szCs w:val="24"/>
        </w:rPr>
        <w:lastRenderedPageBreak/>
        <w:t xml:space="preserve">Table B4. </w:t>
      </w:r>
      <w:r w:rsidR="00EB2B55" w:rsidRPr="00566296">
        <w:rPr>
          <w:b/>
          <w:sz w:val="24"/>
          <w:szCs w:val="24"/>
        </w:rPr>
        <w:t>Q</w:t>
      </w:r>
      <w:r w:rsidR="005253AB" w:rsidRPr="00566296">
        <w:rPr>
          <w:b/>
          <w:sz w:val="24"/>
          <w:szCs w:val="24"/>
        </w:rPr>
        <w:t xml:space="preserve">uestion </w:t>
      </w:r>
      <w:r w:rsidR="00EB2B55" w:rsidRPr="00566296">
        <w:rPr>
          <w:b/>
          <w:sz w:val="24"/>
          <w:szCs w:val="24"/>
        </w:rPr>
        <w:t>4</w:t>
      </w:r>
      <w:r w:rsidR="005253AB" w:rsidRPr="00566296">
        <w:rPr>
          <w:b/>
          <w:sz w:val="24"/>
          <w:szCs w:val="24"/>
        </w:rPr>
        <w:t xml:space="preserve">: </w:t>
      </w:r>
      <w:r w:rsidR="00EB2B55" w:rsidRPr="00566296">
        <w:rPr>
          <w:b/>
          <w:sz w:val="24"/>
          <w:szCs w:val="24"/>
        </w:rPr>
        <w:t>Are there any existing measures/health promotion tools/interventions/ programs that could be tailored and piloted nationally to improve health equity and health literacy for women in priority populations?</w:t>
      </w:r>
    </w:p>
    <w:tbl>
      <w:tblPr>
        <w:tblStyle w:val="TableGrid"/>
        <w:tblW w:w="0" w:type="auto"/>
        <w:tblLayout w:type="fixed"/>
        <w:tblLook w:val="04A0" w:firstRow="1" w:lastRow="0" w:firstColumn="1" w:lastColumn="0" w:noHBand="0" w:noVBand="1"/>
      </w:tblPr>
      <w:tblGrid>
        <w:gridCol w:w="1268"/>
        <w:gridCol w:w="2129"/>
        <w:gridCol w:w="1701"/>
        <w:gridCol w:w="1418"/>
        <w:gridCol w:w="2126"/>
        <w:gridCol w:w="1985"/>
        <w:gridCol w:w="4761"/>
      </w:tblGrid>
      <w:tr w:rsidR="00EB2B55" w:rsidRPr="00672DBE" w14:paraId="64F7C2B0" w14:textId="77777777" w:rsidTr="008A23BF">
        <w:trPr>
          <w:trHeight w:val="864"/>
          <w:tblHeader/>
        </w:trPr>
        <w:tc>
          <w:tcPr>
            <w:tcW w:w="1268" w:type="dxa"/>
            <w:hideMark/>
          </w:tcPr>
          <w:p w14:paraId="6AD39EE9" w14:textId="21A9D3D4" w:rsidR="00EB2B55" w:rsidRPr="00672DBE" w:rsidRDefault="00EB2B55" w:rsidP="003414BB">
            <w:pPr>
              <w:rPr>
                <w:b/>
                <w:bCs/>
              </w:rPr>
            </w:pPr>
            <w:r w:rsidRPr="00672DBE">
              <w:rPr>
                <w:b/>
                <w:bCs/>
              </w:rPr>
              <w:t xml:space="preserve">Author, </w:t>
            </w:r>
            <w:r w:rsidR="00276281">
              <w:rPr>
                <w:b/>
                <w:bCs/>
              </w:rPr>
              <w:t>y</w:t>
            </w:r>
            <w:r w:rsidR="00276281" w:rsidRPr="00672DBE">
              <w:rPr>
                <w:b/>
                <w:bCs/>
              </w:rPr>
              <w:t>ear</w:t>
            </w:r>
            <w:r w:rsidRPr="00672DBE">
              <w:rPr>
                <w:b/>
                <w:bCs/>
              </w:rPr>
              <w:t xml:space="preserve">, </w:t>
            </w:r>
            <w:r w:rsidR="00276281">
              <w:rPr>
                <w:b/>
                <w:bCs/>
              </w:rPr>
              <w:t>c</w:t>
            </w:r>
            <w:r w:rsidR="00276281" w:rsidRPr="00672DBE">
              <w:rPr>
                <w:b/>
                <w:bCs/>
              </w:rPr>
              <w:t>ountry</w:t>
            </w:r>
          </w:p>
        </w:tc>
        <w:tc>
          <w:tcPr>
            <w:tcW w:w="2129" w:type="dxa"/>
            <w:hideMark/>
          </w:tcPr>
          <w:p w14:paraId="53844D40" w14:textId="0B303A2B" w:rsidR="00EB2B55" w:rsidRPr="00672DBE" w:rsidRDefault="00EB2B55" w:rsidP="003414BB">
            <w:pPr>
              <w:rPr>
                <w:b/>
                <w:bCs/>
              </w:rPr>
            </w:pPr>
            <w:r w:rsidRPr="00672DBE">
              <w:rPr>
                <w:b/>
                <w:bCs/>
              </w:rPr>
              <w:t>Aim</w:t>
            </w:r>
            <w:r w:rsidR="00276281">
              <w:rPr>
                <w:b/>
                <w:bCs/>
              </w:rPr>
              <w:t>, s</w:t>
            </w:r>
            <w:r w:rsidRPr="00672DBE">
              <w:rPr>
                <w:b/>
                <w:bCs/>
              </w:rPr>
              <w:t>tudy design</w:t>
            </w:r>
          </w:p>
        </w:tc>
        <w:tc>
          <w:tcPr>
            <w:tcW w:w="1701" w:type="dxa"/>
            <w:noWrap/>
            <w:hideMark/>
          </w:tcPr>
          <w:p w14:paraId="15946CCA" w14:textId="54344868" w:rsidR="00EB2B55" w:rsidRPr="00672DBE" w:rsidRDefault="00EB2B55" w:rsidP="003414BB">
            <w:pPr>
              <w:rPr>
                <w:b/>
                <w:bCs/>
              </w:rPr>
            </w:pPr>
            <w:r w:rsidRPr="00672DBE">
              <w:rPr>
                <w:b/>
                <w:bCs/>
              </w:rPr>
              <w:t xml:space="preserve">Sample size, participants, </w:t>
            </w:r>
            <w:r w:rsidR="00276281">
              <w:rPr>
                <w:b/>
                <w:bCs/>
              </w:rPr>
              <w:t>s</w:t>
            </w:r>
            <w:r w:rsidR="00276281" w:rsidRPr="00672DBE">
              <w:rPr>
                <w:b/>
                <w:bCs/>
              </w:rPr>
              <w:t>etting</w:t>
            </w:r>
          </w:p>
        </w:tc>
        <w:tc>
          <w:tcPr>
            <w:tcW w:w="1418" w:type="dxa"/>
            <w:hideMark/>
          </w:tcPr>
          <w:p w14:paraId="7A1E415E" w14:textId="77777777" w:rsidR="00EB2B55" w:rsidRPr="00672DBE" w:rsidRDefault="00EB2B55" w:rsidP="003414BB">
            <w:pPr>
              <w:rPr>
                <w:b/>
                <w:bCs/>
              </w:rPr>
            </w:pPr>
            <w:r w:rsidRPr="00672DBE">
              <w:rPr>
                <w:b/>
                <w:bCs/>
              </w:rPr>
              <w:t>Definition or clarification of sex/gender</w:t>
            </w:r>
          </w:p>
        </w:tc>
        <w:tc>
          <w:tcPr>
            <w:tcW w:w="2126" w:type="dxa"/>
            <w:hideMark/>
          </w:tcPr>
          <w:p w14:paraId="75BEB7FE" w14:textId="74CA8DE0" w:rsidR="00EB2B55" w:rsidRPr="00672DBE" w:rsidRDefault="00EB2B55" w:rsidP="003414BB">
            <w:pPr>
              <w:rPr>
                <w:b/>
                <w:bCs/>
              </w:rPr>
            </w:pPr>
            <w:r w:rsidRPr="00672DBE">
              <w:rPr>
                <w:b/>
                <w:bCs/>
              </w:rPr>
              <w:t xml:space="preserve">Method, </w:t>
            </w:r>
            <w:r w:rsidR="00276281">
              <w:rPr>
                <w:b/>
                <w:bCs/>
              </w:rPr>
              <w:t>s</w:t>
            </w:r>
            <w:r w:rsidR="00276281" w:rsidRPr="00672DBE">
              <w:rPr>
                <w:b/>
                <w:bCs/>
              </w:rPr>
              <w:t>earch</w:t>
            </w:r>
          </w:p>
        </w:tc>
        <w:tc>
          <w:tcPr>
            <w:tcW w:w="1985" w:type="dxa"/>
            <w:hideMark/>
          </w:tcPr>
          <w:p w14:paraId="30A58D6D" w14:textId="77777777" w:rsidR="00EB2B55" w:rsidRPr="00672DBE" w:rsidRDefault="00EB2B55" w:rsidP="003414BB">
            <w:pPr>
              <w:rPr>
                <w:b/>
                <w:bCs/>
              </w:rPr>
            </w:pPr>
            <w:r w:rsidRPr="00672DBE">
              <w:rPr>
                <w:b/>
                <w:bCs/>
              </w:rPr>
              <w:t>Outcome measures</w:t>
            </w:r>
          </w:p>
        </w:tc>
        <w:tc>
          <w:tcPr>
            <w:tcW w:w="4761" w:type="dxa"/>
            <w:noWrap/>
            <w:hideMark/>
          </w:tcPr>
          <w:p w14:paraId="5A2F55B4" w14:textId="55B535ED" w:rsidR="00EB2B55" w:rsidRPr="00672DBE" w:rsidRDefault="00EB2B55" w:rsidP="003414BB">
            <w:pPr>
              <w:rPr>
                <w:b/>
                <w:bCs/>
              </w:rPr>
            </w:pPr>
            <w:r w:rsidRPr="00672DBE">
              <w:rPr>
                <w:b/>
                <w:bCs/>
              </w:rPr>
              <w:t>Results</w:t>
            </w:r>
            <w:r w:rsidR="00276281">
              <w:rPr>
                <w:b/>
                <w:bCs/>
              </w:rPr>
              <w:t>/m</w:t>
            </w:r>
            <w:r w:rsidRPr="00672DBE">
              <w:rPr>
                <w:b/>
                <w:bCs/>
              </w:rPr>
              <w:t xml:space="preserve">ain </w:t>
            </w:r>
            <w:r w:rsidR="00276281">
              <w:rPr>
                <w:b/>
                <w:bCs/>
              </w:rPr>
              <w:t>f</w:t>
            </w:r>
            <w:r w:rsidR="00276281" w:rsidRPr="00672DBE">
              <w:rPr>
                <w:b/>
                <w:bCs/>
              </w:rPr>
              <w:t>indings</w:t>
            </w:r>
          </w:p>
        </w:tc>
      </w:tr>
      <w:tr w:rsidR="00EB2B55" w:rsidRPr="00672DBE" w14:paraId="2492853E" w14:textId="77777777" w:rsidTr="00E827C1">
        <w:trPr>
          <w:cantSplit/>
        </w:trPr>
        <w:tc>
          <w:tcPr>
            <w:tcW w:w="1268" w:type="dxa"/>
            <w:hideMark/>
          </w:tcPr>
          <w:p w14:paraId="0FF4D426" w14:textId="6F5A0A59" w:rsidR="00EB2B55" w:rsidRPr="00672DBE" w:rsidRDefault="00EB2B55" w:rsidP="003414BB">
            <w:r w:rsidRPr="00672DBE">
              <w:t>Hawkins et al.</w:t>
            </w:r>
            <w:r w:rsidR="00DD4DC6">
              <w:t>,</w:t>
            </w:r>
            <w:r w:rsidRPr="00672DBE">
              <w:t xml:space="preserve"> 2021</w:t>
            </w:r>
            <w:r w:rsidR="00DD4DC6">
              <w:t>, international</w:t>
            </w:r>
          </w:p>
        </w:tc>
        <w:tc>
          <w:tcPr>
            <w:tcW w:w="2129" w:type="dxa"/>
            <w:hideMark/>
          </w:tcPr>
          <w:p w14:paraId="5F567A27" w14:textId="1BE2DE86" w:rsidR="00BA0114" w:rsidRDefault="00077142" w:rsidP="003414BB">
            <w:r>
              <w:t>H</w:t>
            </w:r>
            <w:r w:rsidR="00EB2B55" w:rsidRPr="00672DBE">
              <w:t xml:space="preserve">ow </w:t>
            </w:r>
            <w:r>
              <w:t xml:space="preserve">can </w:t>
            </w:r>
            <w:r w:rsidR="00EB2B55" w:rsidRPr="00672DBE">
              <w:t xml:space="preserve">providers work with refugee women to prevent adverse health outcomes </w:t>
            </w:r>
            <w:r>
              <w:t>&amp;</w:t>
            </w:r>
            <w:r w:rsidRPr="00672DBE">
              <w:t xml:space="preserve"> </w:t>
            </w:r>
            <w:r w:rsidR="00EB2B55" w:rsidRPr="00672DBE">
              <w:t>intervene at multiple levels to improve their health outcomes after resettlement</w:t>
            </w:r>
            <w:r>
              <w:t>?</w:t>
            </w:r>
          </w:p>
          <w:p w14:paraId="3E7B7319" w14:textId="59CE5966" w:rsidR="00EB2B55" w:rsidRPr="00672DBE" w:rsidRDefault="00EB0314" w:rsidP="003414BB">
            <w:r>
              <w:t>Scoping l</w:t>
            </w:r>
            <w:r w:rsidR="00EB2B55" w:rsidRPr="00672DBE">
              <w:t>iterature review</w:t>
            </w:r>
          </w:p>
        </w:tc>
        <w:tc>
          <w:tcPr>
            <w:tcW w:w="1701" w:type="dxa"/>
            <w:hideMark/>
          </w:tcPr>
          <w:p w14:paraId="20FB4FE3" w14:textId="6534A674" w:rsidR="00025899" w:rsidRPr="00672DBE" w:rsidRDefault="00EB2B55" w:rsidP="00077142">
            <w:r w:rsidRPr="00672DBE">
              <w:t>52 articles, 3 books, 8 other source</w:t>
            </w:r>
            <w:r w:rsidR="00077142">
              <w:t>s, on refugee women.</w:t>
            </w:r>
          </w:p>
        </w:tc>
        <w:tc>
          <w:tcPr>
            <w:tcW w:w="1418" w:type="dxa"/>
            <w:hideMark/>
          </w:tcPr>
          <w:p w14:paraId="64348E14" w14:textId="2FE29EE3" w:rsidR="00EB2B55" w:rsidRPr="00C93560" w:rsidRDefault="00077142" w:rsidP="003414BB">
            <w:r w:rsidRPr="00C93560">
              <w:t xml:space="preserve">Binary sex assumed; acknowledgement of </w:t>
            </w:r>
            <w:r w:rsidR="005113BC" w:rsidRPr="00C93560">
              <w:t>“</w:t>
            </w:r>
            <w:r w:rsidRPr="00C93560">
              <w:t>gender identity</w:t>
            </w:r>
            <w:r w:rsidR="005113BC" w:rsidRPr="00C93560">
              <w:t>”</w:t>
            </w:r>
            <w:r w:rsidR="001264AE" w:rsidRPr="00C93560">
              <w:t>; “gender” also used for “sex”</w:t>
            </w:r>
            <w:r w:rsidRPr="00C93560">
              <w:t>.</w:t>
            </w:r>
          </w:p>
        </w:tc>
        <w:tc>
          <w:tcPr>
            <w:tcW w:w="2126" w:type="dxa"/>
            <w:hideMark/>
          </w:tcPr>
          <w:p w14:paraId="09F2509F" w14:textId="7A76F145" w:rsidR="00EB2B55" w:rsidRDefault="00EB2B55" w:rsidP="003414BB">
            <w:r w:rsidRPr="00672DBE">
              <w:t>Database</w:t>
            </w:r>
            <w:r w:rsidR="005113BC">
              <w:t>s:</w:t>
            </w:r>
            <w:r w:rsidRPr="00672DBE">
              <w:t xml:space="preserve"> Google Scholar, JSTOR, Global Health, PubMed, CINAHL, Sociological Abstracts, Social Service Abstracts, </w:t>
            </w:r>
            <w:r w:rsidR="005113BC">
              <w:t>published</w:t>
            </w:r>
            <w:r w:rsidRPr="00672DBE">
              <w:t xml:space="preserve"> 2009–2019</w:t>
            </w:r>
            <w:r w:rsidR="005113BC">
              <w:t>.</w:t>
            </w:r>
          </w:p>
          <w:p w14:paraId="4F3B9491" w14:textId="2ECBDA4A" w:rsidR="00896B40" w:rsidRPr="00672DBE" w:rsidRDefault="00896B40" w:rsidP="003414BB">
            <w:r>
              <w:t>English language? Not stated.</w:t>
            </w:r>
          </w:p>
        </w:tc>
        <w:tc>
          <w:tcPr>
            <w:tcW w:w="1985" w:type="dxa"/>
            <w:hideMark/>
          </w:tcPr>
          <w:p w14:paraId="03E3AD47" w14:textId="77777777" w:rsidR="00E92815" w:rsidRDefault="00E92815" w:rsidP="003414BB">
            <w:r>
              <w:t>Aspects of cultural safety (social-ecological model).</w:t>
            </w:r>
          </w:p>
          <w:p w14:paraId="3BBF6FD1" w14:textId="4012DCDA" w:rsidR="00EB2B55" w:rsidRPr="00672DBE" w:rsidRDefault="00EB2B55" w:rsidP="003414BB">
            <w:r w:rsidRPr="00672DBE">
              <w:t>Prevention of adverse health outcome</w:t>
            </w:r>
            <w:r w:rsidR="00E92815">
              <w:t>s</w:t>
            </w:r>
            <w:r w:rsidRPr="00672DBE">
              <w:t xml:space="preserve">. </w:t>
            </w:r>
          </w:p>
        </w:tc>
        <w:tc>
          <w:tcPr>
            <w:tcW w:w="4761" w:type="dxa"/>
            <w:hideMark/>
          </w:tcPr>
          <w:p w14:paraId="3A318968" w14:textId="733D94DF" w:rsidR="00EB2B55" w:rsidRPr="00672DBE" w:rsidRDefault="00EB2B55" w:rsidP="00896B40">
            <w:r w:rsidRPr="00672DBE">
              <w:t xml:space="preserve">• </w:t>
            </w:r>
            <w:r w:rsidR="00896B40">
              <w:t>Multi-level factors contribute to good health outcomes (e.g., personal, interpersonal, structural).</w:t>
            </w:r>
          </w:p>
          <w:p w14:paraId="79673349" w14:textId="41F613B1" w:rsidR="00896B40" w:rsidRDefault="00EB2B55" w:rsidP="003414BB">
            <w:r w:rsidRPr="00672DBE">
              <w:t xml:space="preserve">• </w:t>
            </w:r>
            <w:r w:rsidR="00896B40">
              <w:t>N</w:t>
            </w:r>
            <w:r w:rsidRPr="00672DBE">
              <w:t xml:space="preserve">eed to address language barriers, improve provider-patient communication, </w:t>
            </w:r>
            <w:r w:rsidR="00896B40">
              <w:t>ensure</w:t>
            </w:r>
            <w:r w:rsidRPr="00672DBE">
              <w:t xml:space="preserve"> appropriate medical </w:t>
            </w:r>
            <w:r w:rsidR="00896B40">
              <w:t>&amp;</w:t>
            </w:r>
            <w:r w:rsidR="00896B40" w:rsidRPr="00672DBE">
              <w:t xml:space="preserve"> </w:t>
            </w:r>
            <w:r w:rsidRPr="00672DBE">
              <w:t>mental health screening</w:t>
            </w:r>
            <w:r w:rsidR="00896B40">
              <w:t>.</w:t>
            </w:r>
          </w:p>
          <w:p w14:paraId="62BB329E" w14:textId="2324EAD1" w:rsidR="00896B40" w:rsidRDefault="00EB2B55" w:rsidP="003414BB">
            <w:r w:rsidRPr="00672DBE">
              <w:t xml:space="preserve">• </w:t>
            </w:r>
            <w:r w:rsidR="00896B40">
              <w:t>I</w:t>
            </w:r>
            <w:r w:rsidRPr="00672DBE">
              <w:t>nter-</w:t>
            </w:r>
            <w:r w:rsidR="00896B40" w:rsidRPr="00672DBE">
              <w:t>organi</w:t>
            </w:r>
            <w:r w:rsidR="00896B40">
              <w:t>s</w:t>
            </w:r>
            <w:r w:rsidR="00896B40" w:rsidRPr="00672DBE">
              <w:t xml:space="preserve">ational </w:t>
            </w:r>
            <w:r w:rsidR="00896B40">
              <w:t xml:space="preserve">awareness &amp; communication </w:t>
            </w:r>
            <w:r w:rsidRPr="00672DBE">
              <w:t>are vital</w:t>
            </w:r>
            <w:r w:rsidR="00896B40">
              <w:t>.</w:t>
            </w:r>
          </w:p>
          <w:p w14:paraId="19712483" w14:textId="3C440053" w:rsidR="00EB2B55" w:rsidRPr="00672DBE" w:rsidRDefault="00EB2B55" w:rsidP="00896B40">
            <w:r w:rsidRPr="00672DBE">
              <w:t xml:space="preserve">• </w:t>
            </w:r>
            <w:r w:rsidR="00896B40">
              <w:t>P</w:t>
            </w:r>
            <w:r w:rsidRPr="00672DBE">
              <w:t xml:space="preserve">roviders </w:t>
            </w:r>
            <w:r w:rsidR="00896B40">
              <w:t>should</w:t>
            </w:r>
            <w:r w:rsidR="00896B40" w:rsidRPr="00672DBE">
              <w:t xml:space="preserve"> </w:t>
            </w:r>
            <w:r w:rsidRPr="00672DBE">
              <w:t>work with community leaders to educate, collaborat</w:t>
            </w:r>
            <w:r w:rsidR="00896B40">
              <w:t>e</w:t>
            </w:r>
            <w:r w:rsidRPr="00672DBE">
              <w:t>, facilitate understanding</w:t>
            </w:r>
            <w:r w:rsidR="00896B40">
              <w:t>,</w:t>
            </w:r>
            <w:r w:rsidRPr="00672DBE">
              <w:t xml:space="preserve"> bolster social support</w:t>
            </w:r>
            <w:r w:rsidR="00896B40">
              <w:t>.</w:t>
            </w:r>
          </w:p>
        </w:tc>
      </w:tr>
      <w:tr w:rsidR="00EB2B55" w:rsidRPr="00672DBE" w14:paraId="72EE401E" w14:textId="77777777" w:rsidTr="008A23BF">
        <w:trPr>
          <w:trHeight w:val="754"/>
        </w:trPr>
        <w:tc>
          <w:tcPr>
            <w:tcW w:w="1268" w:type="dxa"/>
          </w:tcPr>
          <w:p w14:paraId="240E5239" w14:textId="26D8A0EF" w:rsidR="00EB2B55" w:rsidRPr="00672DBE" w:rsidRDefault="00EB2B55" w:rsidP="003414BB">
            <w:r w:rsidRPr="00672DBE">
              <w:t>Hostetter et al.</w:t>
            </w:r>
            <w:r w:rsidR="00DD4DC6">
              <w:t>,</w:t>
            </w:r>
            <w:r w:rsidRPr="00672DBE">
              <w:t xml:space="preserve"> 2022, </w:t>
            </w:r>
          </w:p>
          <w:p w14:paraId="54751F1C" w14:textId="717C1AA5" w:rsidR="00EB2B55" w:rsidRPr="00672DBE" w:rsidRDefault="00EB2B55" w:rsidP="003414BB">
            <w:r w:rsidRPr="00672DBE">
              <w:t>United States</w:t>
            </w:r>
            <w:r w:rsidR="00DD4DC6">
              <w:t xml:space="preserve"> of America</w:t>
            </w:r>
          </w:p>
        </w:tc>
        <w:tc>
          <w:tcPr>
            <w:tcW w:w="2129" w:type="dxa"/>
          </w:tcPr>
          <w:p w14:paraId="65C3F551" w14:textId="66FBA5D7" w:rsidR="00C92E9C" w:rsidRDefault="00EB2B55" w:rsidP="003414BB">
            <w:r w:rsidRPr="00672DBE">
              <w:t xml:space="preserve">To identify primary barriers </w:t>
            </w:r>
            <w:r w:rsidR="00C92E9C">
              <w:t>&amp;</w:t>
            </w:r>
            <w:r w:rsidR="00C92E9C" w:rsidRPr="00672DBE">
              <w:t xml:space="preserve"> </w:t>
            </w:r>
            <w:r w:rsidRPr="00672DBE">
              <w:t xml:space="preserve">facilitators to healthcare access </w:t>
            </w:r>
            <w:r w:rsidR="00C92E9C">
              <w:t>&amp;</w:t>
            </w:r>
            <w:r w:rsidR="00C92E9C" w:rsidRPr="00672DBE">
              <w:t xml:space="preserve"> </w:t>
            </w:r>
            <w:r w:rsidRPr="00672DBE">
              <w:t xml:space="preserve">health literacy </w:t>
            </w:r>
            <w:r w:rsidR="00C92E9C">
              <w:t>in</w:t>
            </w:r>
            <w:r w:rsidR="00C92E9C" w:rsidRPr="00672DBE">
              <w:t xml:space="preserve"> </w:t>
            </w:r>
            <w:r w:rsidRPr="00672DBE">
              <w:t xml:space="preserve">a sample of transgender </w:t>
            </w:r>
            <w:r w:rsidR="00C92E9C">
              <w:t>&amp;</w:t>
            </w:r>
            <w:r w:rsidR="00C92E9C" w:rsidRPr="00672DBE">
              <w:t xml:space="preserve"> </w:t>
            </w:r>
            <w:r w:rsidRPr="00672DBE">
              <w:t xml:space="preserve">nonbinary </w:t>
            </w:r>
            <w:r w:rsidR="00C92E9C">
              <w:t>people.</w:t>
            </w:r>
          </w:p>
          <w:p w14:paraId="2C375D2D" w14:textId="5F162436" w:rsidR="00EB2B55" w:rsidRPr="00672DBE" w:rsidRDefault="00EB2B55" w:rsidP="003414BB">
            <w:r w:rsidRPr="00672DBE">
              <w:t>Qualitative study</w:t>
            </w:r>
            <w:r w:rsidR="005A6E75">
              <w:t>.</w:t>
            </w:r>
            <w:r w:rsidRPr="00672DBE">
              <w:t xml:space="preserve"> </w:t>
            </w:r>
          </w:p>
        </w:tc>
        <w:tc>
          <w:tcPr>
            <w:tcW w:w="1701" w:type="dxa"/>
          </w:tcPr>
          <w:p w14:paraId="62FE3F51" w14:textId="20A7F08E" w:rsidR="00EB2B55" w:rsidRPr="00672DBE" w:rsidRDefault="005A6E75" w:rsidP="003414BB">
            <w:r>
              <w:t xml:space="preserve">7 focus groups, total of </w:t>
            </w:r>
            <w:r w:rsidR="00EB2B55" w:rsidRPr="00672DBE">
              <w:t xml:space="preserve">46 transgender </w:t>
            </w:r>
            <w:r>
              <w:t>&amp;</w:t>
            </w:r>
            <w:r w:rsidRPr="00672DBE">
              <w:t xml:space="preserve"> </w:t>
            </w:r>
            <w:r w:rsidR="00EB2B55" w:rsidRPr="00672DBE">
              <w:t xml:space="preserve">nonbinary </w:t>
            </w:r>
            <w:r>
              <w:t>people.</w:t>
            </w:r>
            <w:r w:rsidR="00EB2B55" w:rsidRPr="00672DBE">
              <w:t xml:space="preserve"> </w:t>
            </w:r>
            <w:r>
              <w:t>U</w:t>
            </w:r>
            <w:r w:rsidR="00EB2B55" w:rsidRPr="00672DBE">
              <w:t xml:space="preserve">rban, suburban, </w:t>
            </w:r>
            <w:r>
              <w:t>&amp;</w:t>
            </w:r>
            <w:r w:rsidRPr="00672DBE">
              <w:t xml:space="preserve"> </w:t>
            </w:r>
            <w:r w:rsidR="00EB2B55" w:rsidRPr="00672DBE">
              <w:t xml:space="preserve">rural locations </w:t>
            </w:r>
            <w:r>
              <w:t>in</w:t>
            </w:r>
            <w:r w:rsidRPr="00672DBE">
              <w:t xml:space="preserve"> </w:t>
            </w:r>
            <w:r w:rsidR="00EB2B55" w:rsidRPr="00672DBE">
              <w:t>Colorado</w:t>
            </w:r>
            <w:r>
              <w:t>.</w:t>
            </w:r>
          </w:p>
        </w:tc>
        <w:tc>
          <w:tcPr>
            <w:tcW w:w="1418" w:type="dxa"/>
          </w:tcPr>
          <w:p w14:paraId="4ECFFA90" w14:textId="65C42AB0" w:rsidR="00EB2B55" w:rsidRPr="00C93560" w:rsidRDefault="00C92E9C" w:rsidP="003414BB">
            <w:r w:rsidRPr="00C93560">
              <w:t>Self-identified gender, well defined.</w:t>
            </w:r>
          </w:p>
        </w:tc>
        <w:tc>
          <w:tcPr>
            <w:tcW w:w="2126" w:type="dxa"/>
          </w:tcPr>
          <w:p w14:paraId="1BCC54FC" w14:textId="31A682A2" w:rsidR="00EB2B55" w:rsidRPr="00672DBE" w:rsidRDefault="00586F93" w:rsidP="003414BB">
            <w:r>
              <w:t>Small</w:t>
            </w:r>
            <w:r w:rsidR="00EB2B55" w:rsidRPr="00672DBE">
              <w:t xml:space="preserve"> group</w:t>
            </w:r>
            <w:r>
              <w:t xml:space="preserve"> discussion</w:t>
            </w:r>
            <w:r w:rsidR="00EB2B55" w:rsidRPr="00672DBE">
              <w:t>s</w:t>
            </w:r>
            <w:r>
              <w:t>, 5 primary questions.</w:t>
            </w:r>
            <w:r w:rsidR="00EB2B55" w:rsidRPr="00672DBE">
              <w:t xml:space="preserve"> </w:t>
            </w:r>
          </w:p>
        </w:tc>
        <w:tc>
          <w:tcPr>
            <w:tcW w:w="1985" w:type="dxa"/>
          </w:tcPr>
          <w:p w14:paraId="08E505E4" w14:textId="498F8F87" w:rsidR="00EB2B55" w:rsidRPr="00672DBE" w:rsidRDefault="00586F93" w:rsidP="003414BB">
            <w:r>
              <w:t>E</w:t>
            </w:r>
            <w:r w:rsidR="00EB2B55" w:rsidRPr="00672DBE">
              <w:t xml:space="preserve">xperiences finding </w:t>
            </w:r>
            <w:r>
              <w:t>&amp;</w:t>
            </w:r>
            <w:r w:rsidRPr="00672DBE">
              <w:t xml:space="preserve"> </w:t>
            </w:r>
            <w:r w:rsidR="00EB2B55" w:rsidRPr="00672DBE">
              <w:t xml:space="preserve">using healthcare information </w:t>
            </w:r>
            <w:r>
              <w:t>&amp;</w:t>
            </w:r>
            <w:r w:rsidRPr="00672DBE">
              <w:t xml:space="preserve"> </w:t>
            </w:r>
            <w:r w:rsidR="00EB2B55" w:rsidRPr="00672DBE">
              <w:t>services</w:t>
            </w:r>
            <w:r>
              <w:t>.</w:t>
            </w:r>
          </w:p>
        </w:tc>
        <w:tc>
          <w:tcPr>
            <w:tcW w:w="4761" w:type="dxa"/>
          </w:tcPr>
          <w:p w14:paraId="23FDD5A0" w14:textId="555A2AC2" w:rsidR="00EB2B55" w:rsidRPr="008A23BF" w:rsidRDefault="00EB2B55" w:rsidP="00B164C0">
            <w:r w:rsidRPr="008A23BF">
              <w:t xml:space="preserve">• Participants </w:t>
            </w:r>
            <w:r w:rsidR="00B164C0">
              <w:t>worked not only to</w:t>
            </w:r>
            <w:r w:rsidRPr="008A23BF">
              <w:t xml:space="preserve"> increase their own health literacy </w:t>
            </w:r>
            <w:r w:rsidR="00B164C0">
              <w:t>but also</w:t>
            </w:r>
            <w:r w:rsidR="00B164C0" w:rsidRPr="008A23BF">
              <w:t xml:space="preserve"> </w:t>
            </w:r>
            <w:r w:rsidRPr="008A23BF">
              <w:t>that of their medical providers</w:t>
            </w:r>
            <w:r w:rsidR="00B164C0">
              <w:t>; often found lack of provider health literacy.</w:t>
            </w:r>
          </w:p>
          <w:p w14:paraId="36FF35E6" w14:textId="364C9759" w:rsidR="00B164C0" w:rsidRDefault="00B164C0" w:rsidP="00B164C0">
            <w:pPr>
              <w:pStyle w:val="NormalWeb"/>
              <w:spacing w:before="0" w:beforeAutospacing="0" w:after="0" w:afterAutospacing="0"/>
              <w:rPr>
                <w:rFonts w:asciiTheme="minorHAnsi" w:hAnsiTheme="minorHAnsi" w:cstheme="minorHAnsi"/>
                <w:sz w:val="22"/>
                <w:szCs w:val="22"/>
              </w:rPr>
            </w:pPr>
            <w:r w:rsidRPr="008A23BF">
              <w:rPr>
                <w:rFonts w:asciiTheme="minorHAnsi" w:hAnsiTheme="minorHAnsi" w:cstheme="minorHAnsi"/>
                <w:sz w:val="22"/>
                <w:szCs w:val="22"/>
              </w:rPr>
              <w:t>• Barriers to accessing care</w:t>
            </w:r>
            <w:r>
              <w:rPr>
                <w:rFonts w:asciiTheme="minorHAnsi" w:hAnsiTheme="minorHAnsi" w:cstheme="minorHAnsi"/>
                <w:sz w:val="22"/>
                <w:szCs w:val="22"/>
              </w:rPr>
              <w:t xml:space="preserve">: </w:t>
            </w:r>
            <w:r w:rsidRPr="00702CBA">
              <w:rPr>
                <w:rFonts w:asciiTheme="minorHAnsi" w:hAnsiTheme="minorHAnsi" w:cstheme="minorHAnsi"/>
                <w:sz w:val="22"/>
                <w:szCs w:val="22"/>
              </w:rPr>
              <w:t xml:space="preserve">difficulty identifying </w:t>
            </w:r>
            <w:r>
              <w:rPr>
                <w:rFonts w:asciiTheme="minorHAnsi" w:hAnsiTheme="minorHAnsi" w:cstheme="minorHAnsi"/>
                <w:sz w:val="22"/>
                <w:szCs w:val="22"/>
              </w:rPr>
              <w:t>&amp;</w:t>
            </w:r>
            <w:r w:rsidRPr="00702CBA">
              <w:rPr>
                <w:rFonts w:asciiTheme="minorHAnsi" w:hAnsiTheme="minorHAnsi" w:cstheme="minorHAnsi"/>
                <w:sz w:val="22"/>
                <w:szCs w:val="22"/>
              </w:rPr>
              <w:t xml:space="preserve"> physically reaching care, </w:t>
            </w:r>
            <w:r>
              <w:rPr>
                <w:rFonts w:asciiTheme="minorHAnsi" w:hAnsiTheme="minorHAnsi" w:cstheme="minorHAnsi"/>
                <w:sz w:val="22"/>
                <w:szCs w:val="22"/>
              </w:rPr>
              <w:t>cost &amp;</w:t>
            </w:r>
            <w:r w:rsidRPr="00702CBA">
              <w:rPr>
                <w:rFonts w:asciiTheme="minorHAnsi" w:hAnsiTheme="minorHAnsi" w:cstheme="minorHAnsi"/>
                <w:sz w:val="22"/>
                <w:szCs w:val="22"/>
              </w:rPr>
              <w:t xml:space="preserve"> insurance, negative experiences with healthcare providers </w:t>
            </w:r>
            <w:r>
              <w:rPr>
                <w:rFonts w:asciiTheme="minorHAnsi" w:hAnsiTheme="minorHAnsi" w:cstheme="minorHAnsi"/>
                <w:sz w:val="22"/>
                <w:szCs w:val="22"/>
              </w:rPr>
              <w:t>&amp;</w:t>
            </w:r>
            <w:r w:rsidRPr="00702CBA">
              <w:rPr>
                <w:rFonts w:asciiTheme="minorHAnsi" w:hAnsiTheme="minorHAnsi" w:cstheme="minorHAnsi"/>
                <w:sz w:val="22"/>
                <w:szCs w:val="22"/>
              </w:rPr>
              <w:t xml:space="preserve"> staff, exclusionary forms </w:t>
            </w:r>
            <w:r>
              <w:rPr>
                <w:rFonts w:asciiTheme="minorHAnsi" w:hAnsiTheme="minorHAnsi" w:cstheme="minorHAnsi"/>
                <w:sz w:val="22"/>
                <w:szCs w:val="22"/>
              </w:rPr>
              <w:t>&amp;</w:t>
            </w:r>
            <w:r w:rsidRPr="00702CBA">
              <w:rPr>
                <w:rFonts w:asciiTheme="minorHAnsi" w:hAnsiTheme="minorHAnsi" w:cstheme="minorHAnsi"/>
                <w:sz w:val="22"/>
                <w:szCs w:val="22"/>
              </w:rPr>
              <w:t xml:space="preserve"> processes.</w:t>
            </w:r>
          </w:p>
          <w:p w14:paraId="3C4D0CBB" w14:textId="4EDF5972" w:rsidR="00B164C0" w:rsidRPr="00E827C1" w:rsidRDefault="00B164C0" w:rsidP="00E827C1">
            <w:pPr>
              <w:pStyle w:val="NormalWeb"/>
              <w:spacing w:before="0" w:beforeAutospacing="0" w:after="0" w:afterAutospacing="0"/>
              <w:rPr>
                <w:rFonts w:asciiTheme="minorHAnsi" w:hAnsiTheme="minorHAnsi" w:cstheme="minorHAnsi"/>
                <w:sz w:val="22"/>
                <w:szCs w:val="22"/>
              </w:rPr>
            </w:pPr>
            <w:r w:rsidRPr="00702CBA">
              <w:rPr>
                <w:rFonts w:asciiTheme="minorHAnsi" w:hAnsiTheme="minorHAnsi" w:cstheme="minorHAnsi"/>
                <w:sz w:val="22"/>
                <w:szCs w:val="22"/>
              </w:rPr>
              <w:t xml:space="preserve">• </w:t>
            </w:r>
            <w:r>
              <w:rPr>
                <w:rFonts w:asciiTheme="minorHAnsi" w:hAnsiTheme="minorHAnsi" w:cstheme="minorHAnsi"/>
                <w:sz w:val="22"/>
                <w:szCs w:val="22"/>
              </w:rPr>
              <w:t>F</w:t>
            </w:r>
            <w:r w:rsidRPr="008A23BF">
              <w:rPr>
                <w:rFonts w:asciiTheme="minorHAnsi" w:hAnsiTheme="minorHAnsi" w:cstheme="minorHAnsi"/>
                <w:sz w:val="22"/>
                <w:szCs w:val="22"/>
              </w:rPr>
              <w:t>acilitators to accessing care</w:t>
            </w:r>
            <w:r>
              <w:rPr>
                <w:rFonts w:asciiTheme="minorHAnsi" w:hAnsiTheme="minorHAnsi" w:cstheme="minorHAnsi"/>
                <w:sz w:val="22"/>
                <w:szCs w:val="22"/>
              </w:rPr>
              <w:t xml:space="preserve">: </w:t>
            </w:r>
            <w:r w:rsidRPr="008A23BF">
              <w:rPr>
                <w:rFonts w:asciiTheme="minorHAnsi" w:hAnsiTheme="minorHAnsi" w:cstheme="minorHAnsi"/>
                <w:sz w:val="22"/>
                <w:szCs w:val="22"/>
              </w:rPr>
              <w:t xml:space="preserve"> positive experiences with healthcare providers </w:t>
            </w:r>
            <w:r>
              <w:rPr>
                <w:rFonts w:asciiTheme="minorHAnsi" w:hAnsiTheme="minorHAnsi" w:cstheme="minorHAnsi"/>
                <w:sz w:val="22"/>
                <w:szCs w:val="22"/>
              </w:rPr>
              <w:t xml:space="preserve">&amp; </w:t>
            </w:r>
            <w:r w:rsidRPr="008A23BF">
              <w:rPr>
                <w:rFonts w:asciiTheme="minorHAnsi" w:hAnsiTheme="minorHAnsi" w:cstheme="minorHAnsi"/>
                <w:sz w:val="22"/>
                <w:szCs w:val="22"/>
              </w:rPr>
              <w:t>staff</w:t>
            </w:r>
            <w:r>
              <w:rPr>
                <w:rFonts w:asciiTheme="minorHAnsi" w:hAnsiTheme="minorHAnsi" w:cstheme="minorHAnsi"/>
                <w:sz w:val="22"/>
                <w:szCs w:val="22"/>
              </w:rPr>
              <w:t>,</w:t>
            </w:r>
            <w:r w:rsidRPr="008A23BF">
              <w:rPr>
                <w:rFonts w:asciiTheme="minorHAnsi" w:hAnsiTheme="minorHAnsi" w:cstheme="minorHAnsi"/>
                <w:sz w:val="22"/>
                <w:szCs w:val="22"/>
              </w:rPr>
              <w:t xml:space="preserve"> inclusive forms </w:t>
            </w:r>
            <w:r>
              <w:rPr>
                <w:rFonts w:asciiTheme="minorHAnsi" w:hAnsiTheme="minorHAnsi" w:cstheme="minorHAnsi"/>
                <w:sz w:val="22"/>
                <w:szCs w:val="22"/>
              </w:rPr>
              <w:t>&amp;</w:t>
            </w:r>
            <w:r w:rsidRPr="008A23BF">
              <w:rPr>
                <w:rFonts w:asciiTheme="minorHAnsi" w:hAnsiTheme="minorHAnsi" w:cstheme="minorHAnsi"/>
                <w:sz w:val="22"/>
                <w:szCs w:val="22"/>
              </w:rPr>
              <w:t xml:space="preserve"> processes. </w:t>
            </w:r>
          </w:p>
        </w:tc>
      </w:tr>
      <w:tr w:rsidR="00EB2B55" w:rsidRPr="00672DBE" w14:paraId="1252A7CB" w14:textId="77777777" w:rsidTr="008A23BF">
        <w:trPr>
          <w:trHeight w:val="2592"/>
        </w:trPr>
        <w:tc>
          <w:tcPr>
            <w:tcW w:w="1268" w:type="dxa"/>
            <w:hideMark/>
          </w:tcPr>
          <w:p w14:paraId="391EA51A" w14:textId="77777777" w:rsidR="00EB2B55" w:rsidRPr="00672DBE" w:rsidRDefault="00EB2B55" w:rsidP="003414BB">
            <w:r w:rsidRPr="00672DBE">
              <w:lastRenderedPageBreak/>
              <w:t xml:space="preserve">Ireland &amp; </w:t>
            </w:r>
            <w:proofErr w:type="spellStart"/>
            <w:r w:rsidRPr="00672DBE">
              <w:t>Maypilama</w:t>
            </w:r>
            <w:proofErr w:type="spellEnd"/>
            <w:r w:rsidRPr="00672DBE">
              <w:t>, 2020, Australia</w:t>
            </w:r>
          </w:p>
        </w:tc>
        <w:tc>
          <w:tcPr>
            <w:tcW w:w="2129" w:type="dxa"/>
            <w:hideMark/>
          </w:tcPr>
          <w:p w14:paraId="7F034239" w14:textId="525C5ADA" w:rsidR="00EB2B55" w:rsidRPr="00051B8B" w:rsidRDefault="00EB2B55" w:rsidP="001E38C9">
            <w:pPr>
              <w:rPr>
                <w:rFonts w:cstheme="minorHAnsi"/>
              </w:rPr>
            </w:pPr>
            <w:r w:rsidRPr="00051B8B">
              <w:rPr>
                <w:rFonts w:cstheme="minorHAnsi"/>
              </w:rPr>
              <w:t xml:space="preserve">To demonstrate </w:t>
            </w:r>
            <w:r w:rsidRPr="00295724">
              <w:rPr>
                <w:rFonts w:cstheme="minorHAnsi"/>
              </w:rPr>
              <w:t>develop</w:t>
            </w:r>
            <w:r w:rsidR="001E38C9" w:rsidRPr="00025AE3">
              <w:rPr>
                <w:rFonts w:cstheme="minorHAnsi"/>
              </w:rPr>
              <w:t>ment of</w:t>
            </w:r>
            <w:r w:rsidRPr="00051B8B">
              <w:rPr>
                <w:rFonts w:cstheme="minorHAnsi"/>
              </w:rPr>
              <w:t xml:space="preserve"> a reproductive health literacy framework for </w:t>
            </w:r>
            <w:proofErr w:type="spellStart"/>
            <w:r w:rsidRPr="00051B8B">
              <w:rPr>
                <w:rFonts w:cstheme="minorHAnsi"/>
              </w:rPr>
              <w:t>Yolnu</w:t>
            </w:r>
            <w:proofErr w:type="spellEnd"/>
            <w:r w:rsidR="001E38C9" w:rsidRPr="00051B8B">
              <w:rPr>
                <w:rFonts w:cstheme="minorHAnsi"/>
              </w:rPr>
              <w:t xml:space="preserve"> </w:t>
            </w:r>
            <w:r w:rsidRPr="00295724">
              <w:rPr>
                <w:rFonts w:cstheme="minorHAnsi"/>
              </w:rPr>
              <w:t xml:space="preserve">(Indigenous) women </w:t>
            </w:r>
            <w:r w:rsidR="001E38C9" w:rsidRPr="00025AE3">
              <w:rPr>
                <w:rFonts w:cstheme="minorHAnsi"/>
              </w:rPr>
              <w:t>in the</w:t>
            </w:r>
            <w:r w:rsidRPr="00051B8B">
              <w:rPr>
                <w:rFonts w:cstheme="minorHAnsi"/>
              </w:rPr>
              <w:t xml:space="preserve"> Northern </w:t>
            </w:r>
            <w:r w:rsidR="001E38C9" w:rsidRPr="00025AE3">
              <w:rPr>
                <w:rFonts w:cstheme="minorHAnsi"/>
              </w:rPr>
              <w:t>Territory</w:t>
            </w:r>
            <w:r w:rsidR="001E38C9" w:rsidRPr="00295724">
              <w:rPr>
                <w:rFonts w:cstheme="minorHAnsi"/>
              </w:rPr>
              <w:t xml:space="preserve">: </w:t>
            </w:r>
            <w:r w:rsidR="001E38C9" w:rsidRPr="008A23BF">
              <w:rPr>
                <w:rFonts w:cstheme="minorHAnsi"/>
              </w:rPr>
              <w:t>“Caring for Mum on Country”.</w:t>
            </w:r>
          </w:p>
          <w:p w14:paraId="3B1090C0" w14:textId="3C164353" w:rsidR="001E38C9" w:rsidRPr="00025AE3" w:rsidRDefault="00EB2B55" w:rsidP="001E38C9">
            <w:r w:rsidRPr="00295724">
              <w:rPr>
                <w:rFonts w:cstheme="minorHAnsi"/>
              </w:rPr>
              <w:t>Participatory action research (</w:t>
            </w:r>
            <w:r w:rsidR="001E38C9" w:rsidRPr="0017388B">
              <w:rPr>
                <w:rFonts w:cstheme="minorHAnsi"/>
              </w:rPr>
              <w:t xml:space="preserve">qualitative </w:t>
            </w:r>
            <w:r w:rsidRPr="008A23BF">
              <w:rPr>
                <w:rFonts w:cstheme="minorHAnsi"/>
              </w:rPr>
              <w:t>study)</w:t>
            </w:r>
            <w:r w:rsidR="001E38C9" w:rsidRPr="008A23BF">
              <w:rPr>
                <w:rFonts w:cstheme="minorHAnsi"/>
              </w:rPr>
              <w:t>.</w:t>
            </w:r>
          </w:p>
        </w:tc>
        <w:tc>
          <w:tcPr>
            <w:tcW w:w="1701" w:type="dxa"/>
            <w:hideMark/>
          </w:tcPr>
          <w:p w14:paraId="0A1571A1" w14:textId="3D2190BC" w:rsidR="00E8770C" w:rsidRPr="008A23BF" w:rsidRDefault="00EB2B55" w:rsidP="003414BB">
            <w:r w:rsidRPr="008A23BF">
              <w:t xml:space="preserve">53 </w:t>
            </w:r>
            <w:proofErr w:type="spellStart"/>
            <w:r w:rsidRPr="008A23BF">
              <w:t>Yolŋu</w:t>
            </w:r>
            <w:proofErr w:type="spellEnd"/>
            <w:r w:rsidRPr="008A23BF">
              <w:t xml:space="preserve"> women</w:t>
            </w:r>
            <w:r w:rsidR="00E8770C" w:rsidRPr="008A23BF">
              <w:t xml:space="preserve">, </w:t>
            </w:r>
            <w:r w:rsidRPr="008A23BF">
              <w:t xml:space="preserve">one </w:t>
            </w:r>
            <w:proofErr w:type="spellStart"/>
            <w:r w:rsidRPr="008A23BF">
              <w:t>Yolŋu</w:t>
            </w:r>
            <w:proofErr w:type="spellEnd"/>
            <w:r w:rsidRPr="008A23BF">
              <w:t xml:space="preserve"> ma</w:t>
            </w:r>
            <w:r w:rsidR="00E8770C" w:rsidRPr="008A23BF">
              <w:t>n.</w:t>
            </w:r>
          </w:p>
          <w:p w14:paraId="058DDBF6" w14:textId="60F860FE" w:rsidR="007C2840" w:rsidRPr="008A23BF" w:rsidRDefault="007C2840" w:rsidP="003414BB">
            <w:proofErr w:type="gramStart"/>
            <w:r w:rsidRPr="008A23BF">
              <w:t>North East</w:t>
            </w:r>
            <w:proofErr w:type="gramEnd"/>
            <w:r w:rsidRPr="008A23BF">
              <w:t xml:space="preserve"> Arnhem Land.</w:t>
            </w:r>
          </w:p>
        </w:tc>
        <w:tc>
          <w:tcPr>
            <w:tcW w:w="1418" w:type="dxa"/>
            <w:hideMark/>
          </w:tcPr>
          <w:p w14:paraId="2E3C2769" w14:textId="33ADD175" w:rsidR="00EB2B55" w:rsidRPr="00025AE3" w:rsidRDefault="00E8770C" w:rsidP="003414BB">
            <w:r w:rsidRPr="00FB66CC">
              <w:t>Binary sex assumed. Noted as limitation.</w:t>
            </w:r>
          </w:p>
        </w:tc>
        <w:tc>
          <w:tcPr>
            <w:tcW w:w="2126" w:type="dxa"/>
            <w:hideMark/>
          </w:tcPr>
          <w:p w14:paraId="54C0C614" w14:textId="4988FAAF" w:rsidR="00EB2B55" w:rsidRPr="00025AE3" w:rsidRDefault="0092405E" w:rsidP="003414BB">
            <w:r w:rsidRPr="00025AE3">
              <w:t>Iterative anthropological methods, e.g., fieldwork, i</w:t>
            </w:r>
            <w:r w:rsidR="00EB2B55" w:rsidRPr="00025AE3">
              <w:t>n-depth interview</w:t>
            </w:r>
            <w:r w:rsidRPr="00025AE3">
              <w:t>, discussions.</w:t>
            </w:r>
            <w:r w:rsidR="00EB2B55" w:rsidRPr="00025AE3">
              <w:t xml:space="preserve"> </w:t>
            </w:r>
            <w:r w:rsidRPr="00025AE3">
              <w:t xml:space="preserve">Conducted in 7 </w:t>
            </w:r>
            <w:r w:rsidR="00EB2B55" w:rsidRPr="00025AE3">
              <w:t>languages</w:t>
            </w:r>
            <w:r w:rsidRPr="00025AE3">
              <w:t xml:space="preserve"> (including English) with translator where necessary.</w:t>
            </w:r>
          </w:p>
        </w:tc>
        <w:tc>
          <w:tcPr>
            <w:tcW w:w="1985" w:type="dxa"/>
            <w:hideMark/>
          </w:tcPr>
          <w:p w14:paraId="54AF2E50" w14:textId="3C928D20" w:rsidR="00EB2B55" w:rsidRPr="00025AE3" w:rsidRDefault="00025AE3" w:rsidP="00025AE3">
            <w:r w:rsidRPr="00025AE3">
              <w:t xml:space="preserve">Reproductive health </w:t>
            </w:r>
            <w:r w:rsidR="00EB2B55" w:rsidRPr="00025AE3">
              <w:t xml:space="preserve">literacy </w:t>
            </w:r>
            <w:r w:rsidRPr="00025AE3">
              <w:t xml:space="preserve">&amp; </w:t>
            </w:r>
            <w:r w:rsidR="00EB2B55" w:rsidRPr="00025AE3">
              <w:t xml:space="preserve">knowledge. </w:t>
            </w:r>
          </w:p>
        </w:tc>
        <w:tc>
          <w:tcPr>
            <w:tcW w:w="4761" w:type="dxa"/>
            <w:hideMark/>
          </w:tcPr>
          <w:p w14:paraId="7960390E" w14:textId="1EDB4D97" w:rsidR="00025AE3" w:rsidRDefault="00025AE3" w:rsidP="003414BB">
            <w:r w:rsidRPr="00025AE3">
              <w:t xml:space="preserve">• Culturally responsive framework that privileges </w:t>
            </w:r>
            <w:proofErr w:type="spellStart"/>
            <w:r w:rsidRPr="008A23BF">
              <w:t>Yolŋu</w:t>
            </w:r>
            <w:proofErr w:type="spellEnd"/>
            <w:r w:rsidRPr="008A23BF">
              <w:t xml:space="preserve"> culture &amp; knowledge </w:t>
            </w:r>
            <w:r>
              <w:t>can improve reproductive health.</w:t>
            </w:r>
          </w:p>
          <w:p w14:paraId="476BEC3C" w14:textId="4DA8F034" w:rsidR="00025AE3" w:rsidRPr="00025AE3" w:rsidRDefault="00025AE3" w:rsidP="003414BB">
            <w:r w:rsidRPr="00025AE3">
              <w:t>•</w:t>
            </w:r>
            <w:r>
              <w:t xml:space="preserve"> Health care providers can learn from 2-way (</w:t>
            </w:r>
            <w:proofErr w:type="spellStart"/>
            <w:r w:rsidRPr="00702CBA">
              <w:t>Yolŋu</w:t>
            </w:r>
            <w:proofErr w:type="spellEnd"/>
            <w:r>
              <w:t xml:space="preserve"> &amp; Western) medical models.</w:t>
            </w:r>
          </w:p>
        </w:tc>
      </w:tr>
      <w:tr w:rsidR="00EB2B55" w:rsidRPr="00672DBE" w14:paraId="61D9054A" w14:textId="77777777" w:rsidTr="008A23BF">
        <w:trPr>
          <w:trHeight w:val="3168"/>
        </w:trPr>
        <w:tc>
          <w:tcPr>
            <w:tcW w:w="1268" w:type="dxa"/>
            <w:hideMark/>
          </w:tcPr>
          <w:p w14:paraId="07FBE31A" w14:textId="22AFA462" w:rsidR="00EB2B55" w:rsidRPr="00672DBE" w:rsidRDefault="00EB2B55" w:rsidP="003414BB">
            <w:r w:rsidRPr="00672DBE">
              <w:t>Jawahar et al.</w:t>
            </w:r>
            <w:r w:rsidR="00DD4DC6">
              <w:t>,</w:t>
            </w:r>
            <w:r w:rsidRPr="00672DBE">
              <w:t xml:space="preserve"> 2023, Australia</w:t>
            </w:r>
          </w:p>
        </w:tc>
        <w:tc>
          <w:tcPr>
            <w:tcW w:w="2129" w:type="dxa"/>
            <w:hideMark/>
          </w:tcPr>
          <w:p w14:paraId="65441371" w14:textId="4C2283B0" w:rsidR="00EB2B55" w:rsidRPr="00672DBE" w:rsidRDefault="00EB2B55" w:rsidP="003414BB">
            <w:r w:rsidRPr="00672DBE">
              <w:t xml:space="preserve">To describe a health literacy development </w:t>
            </w:r>
            <w:r w:rsidR="002139EF">
              <w:t xml:space="preserve">project </w:t>
            </w:r>
            <w:r w:rsidRPr="00672DBE">
              <w:t xml:space="preserve">that </w:t>
            </w:r>
            <w:r w:rsidR="002139EF">
              <w:t>is</w:t>
            </w:r>
            <w:r w:rsidR="002139EF" w:rsidRPr="00672DBE">
              <w:t xml:space="preserve"> </w:t>
            </w:r>
            <w:r w:rsidRPr="00672DBE">
              <w:t xml:space="preserve">culturally and linguistically relevant </w:t>
            </w:r>
            <w:r w:rsidR="002139EF">
              <w:t>to former-</w:t>
            </w:r>
            <w:r w:rsidRPr="00672DBE">
              <w:t xml:space="preserve">refugee communities using Ophelia (Optimizing Health Literacy </w:t>
            </w:r>
            <w:r w:rsidR="002139EF">
              <w:t>&amp;</w:t>
            </w:r>
            <w:r w:rsidR="002139EF" w:rsidRPr="00672DBE">
              <w:t xml:space="preserve"> </w:t>
            </w:r>
            <w:r w:rsidRPr="00672DBE">
              <w:t>Access) process</w:t>
            </w:r>
            <w:r w:rsidR="002139EF">
              <w:t>.</w:t>
            </w:r>
          </w:p>
          <w:p w14:paraId="7FAABC53" w14:textId="6322C443" w:rsidR="00EB2B55" w:rsidRPr="00672DBE" w:rsidRDefault="00EB2B55" w:rsidP="003414BB">
            <w:r w:rsidRPr="00672DBE">
              <w:t>Research protocol (</w:t>
            </w:r>
            <w:r w:rsidR="00461E1A">
              <w:t>q</w:t>
            </w:r>
            <w:r w:rsidR="00461E1A" w:rsidRPr="00672DBE">
              <w:t>ualitative</w:t>
            </w:r>
            <w:r w:rsidR="00461E1A">
              <w:t xml:space="preserve"> methods</w:t>
            </w:r>
            <w:r w:rsidRPr="00672DBE">
              <w:t>)</w:t>
            </w:r>
            <w:r w:rsidR="00461E1A">
              <w:t>.</w:t>
            </w:r>
          </w:p>
        </w:tc>
        <w:tc>
          <w:tcPr>
            <w:tcW w:w="1701" w:type="dxa"/>
            <w:hideMark/>
          </w:tcPr>
          <w:p w14:paraId="11AFFD65" w14:textId="3A3375A0" w:rsidR="00060315" w:rsidRDefault="00060315" w:rsidP="003414BB">
            <w:r>
              <w:t>Former r</w:t>
            </w:r>
            <w:r w:rsidRPr="00672DBE">
              <w:t xml:space="preserve">efugee </w:t>
            </w:r>
            <w:r w:rsidR="00EB2B55" w:rsidRPr="00672DBE">
              <w:t>community</w:t>
            </w:r>
            <w:r>
              <w:t>:</w:t>
            </w:r>
            <w:r w:rsidR="00EB2B55" w:rsidRPr="00672DBE">
              <w:t xml:space="preserve"> Karen people from Myanmar</w:t>
            </w:r>
            <w:r>
              <w:t xml:space="preserve"> aged 18+, living in Melbourne.</w:t>
            </w:r>
          </w:p>
          <w:p w14:paraId="5407BA08" w14:textId="6975BBDB" w:rsidR="00EB2B55" w:rsidRPr="00672DBE" w:rsidRDefault="00EB2B55" w:rsidP="003414BB"/>
        </w:tc>
        <w:tc>
          <w:tcPr>
            <w:tcW w:w="1418" w:type="dxa"/>
            <w:hideMark/>
          </w:tcPr>
          <w:p w14:paraId="4778A4BD" w14:textId="64B4C1E2" w:rsidR="00EB2B55" w:rsidRPr="00672DBE" w:rsidRDefault="00D46F25" w:rsidP="003414BB">
            <w:r>
              <w:t xml:space="preserve">No </w:t>
            </w:r>
            <w:proofErr w:type="gramStart"/>
            <w:r>
              <w:t>definition;</w:t>
            </w:r>
            <w:proofErr w:type="gramEnd"/>
            <w:r>
              <w:t xml:space="preserve"> </w:t>
            </w:r>
            <w:r w:rsidR="009865A6">
              <w:t xml:space="preserve">binary </w:t>
            </w:r>
            <w:r>
              <w:t>“gender” appears to be used for “sex”.</w:t>
            </w:r>
          </w:p>
        </w:tc>
        <w:tc>
          <w:tcPr>
            <w:tcW w:w="2126" w:type="dxa"/>
            <w:hideMark/>
          </w:tcPr>
          <w:p w14:paraId="7A54CCB6" w14:textId="057EE893" w:rsidR="00EB2B55" w:rsidRPr="00672DBE" w:rsidRDefault="00EB2B55" w:rsidP="003414BB">
            <w:r w:rsidRPr="00672DBE">
              <w:t>Semi-structured interview</w:t>
            </w:r>
            <w:r w:rsidR="00190889">
              <w:t>s</w:t>
            </w:r>
            <w:r w:rsidRPr="00672DBE">
              <w:t xml:space="preserve"> based on the Conversational Health Literacy </w:t>
            </w:r>
            <w:r w:rsidR="00190889">
              <w:t>&amp;</w:t>
            </w:r>
            <w:r w:rsidR="00190889" w:rsidRPr="00672DBE">
              <w:t xml:space="preserve"> </w:t>
            </w:r>
            <w:r w:rsidRPr="00672DBE">
              <w:t>Assessment Tool (CHAT)</w:t>
            </w:r>
            <w:r w:rsidR="00190889">
              <w:t>.</w:t>
            </w:r>
          </w:p>
        </w:tc>
        <w:tc>
          <w:tcPr>
            <w:tcW w:w="1985" w:type="dxa"/>
            <w:hideMark/>
          </w:tcPr>
          <w:p w14:paraId="223E4B18" w14:textId="36C0C182" w:rsidR="00EB2B55" w:rsidRPr="008A23BF" w:rsidRDefault="00EB2B55" w:rsidP="003414BB">
            <w:r w:rsidRPr="008A23BF">
              <w:t xml:space="preserve">Supportive professional </w:t>
            </w:r>
            <w:r w:rsidR="00E04651">
              <w:t>&amp;</w:t>
            </w:r>
            <w:r w:rsidR="00E04651" w:rsidRPr="008A23BF">
              <w:t xml:space="preserve"> </w:t>
            </w:r>
            <w:r w:rsidRPr="008A23BF">
              <w:t xml:space="preserve">personal relationships, health behaviours, access to health information, use of health services, health promotion barriers </w:t>
            </w:r>
            <w:r w:rsidR="00E04651">
              <w:t>&amp;</w:t>
            </w:r>
            <w:r w:rsidR="00E04651" w:rsidRPr="008A23BF">
              <w:t xml:space="preserve"> </w:t>
            </w:r>
            <w:r w:rsidRPr="008A23BF">
              <w:t>support</w:t>
            </w:r>
            <w:r w:rsidR="00E462E1">
              <w:t>.</w:t>
            </w:r>
          </w:p>
        </w:tc>
        <w:tc>
          <w:tcPr>
            <w:tcW w:w="4761" w:type="dxa"/>
            <w:hideMark/>
          </w:tcPr>
          <w:p w14:paraId="0FA8823D" w14:textId="69F79C73" w:rsidR="00EB2B55" w:rsidRPr="00672DBE" w:rsidRDefault="00E04651" w:rsidP="003414BB">
            <w:r>
              <w:t>Expected outcome:</w:t>
            </w:r>
          </w:p>
          <w:p w14:paraId="4E991575" w14:textId="217E2938" w:rsidR="00EB2B55" w:rsidRPr="00672DBE" w:rsidRDefault="00EB2B55" w:rsidP="003414BB">
            <w:r w:rsidRPr="00672DBE">
              <w:t xml:space="preserve">• Will develop modified Ophelia framework by </w:t>
            </w:r>
            <w:r w:rsidR="00E04651" w:rsidRPr="00672DBE">
              <w:t>co</w:t>
            </w:r>
            <w:r w:rsidR="00E04651">
              <w:t>-</w:t>
            </w:r>
            <w:r w:rsidRPr="00672DBE">
              <w:t>designing contextually</w:t>
            </w:r>
            <w:r w:rsidR="00E04651">
              <w:t>,</w:t>
            </w:r>
            <w:r w:rsidRPr="00672DBE">
              <w:t xml:space="preserve"> culturally appropriate</w:t>
            </w:r>
            <w:r w:rsidR="00E04651">
              <w:t>, &amp;</w:t>
            </w:r>
            <w:r w:rsidRPr="00672DBE">
              <w:t xml:space="preserve"> meaningful action ideas to respond to identified health literacy strengths, needs, </w:t>
            </w:r>
            <w:r w:rsidR="00E04651">
              <w:t>&amp;</w:t>
            </w:r>
            <w:r w:rsidR="00E04651" w:rsidRPr="00672DBE">
              <w:t xml:space="preserve"> </w:t>
            </w:r>
            <w:r w:rsidRPr="00672DBE">
              <w:t>preferences of the community.</w:t>
            </w:r>
          </w:p>
        </w:tc>
      </w:tr>
      <w:tr w:rsidR="00EB2B55" w:rsidRPr="00672DBE" w14:paraId="2AC7EA08" w14:textId="77777777" w:rsidTr="00E827C1">
        <w:trPr>
          <w:cantSplit/>
        </w:trPr>
        <w:tc>
          <w:tcPr>
            <w:tcW w:w="1268" w:type="dxa"/>
            <w:hideMark/>
          </w:tcPr>
          <w:p w14:paraId="5DACD547" w14:textId="42145C46" w:rsidR="00EB2B55" w:rsidRPr="00672DBE" w:rsidRDefault="00EB2B55" w:rsidP="003414BB">
            <w:r w:rsidRPr="00672DBE">
              <w:lastRenderedPageBreak/>
              <w:t>Si</w:t>
            </w:r>
            <w:r w:rsidR="00DD63E9">
              <w:t>v</w:t>
            </w:r>
            <w:r w:rsidRPr="00672DBE">
              <w:t>ertsen et al.</w:t>
            </w:r>
            <w:r w:rsidR="00DD4DC6">
              <w:t>,</w:t>
            </w:r>
            <w:r w:rsidRPr="00672DBE">
              <w:t xml:space="preserve"> 2021, Australia</w:t>
            </w:r>
            <w:r w:rsidR="00DD63E9">
              <w:t>.</w:t>
            </w:r>
          </w:p>
        </w:tc>
        <w:tc>
          <w:tcPr>
            <w:tcW w:w="2129" w:type="dxa"/>
            <w:hideMark/>
          </w:tcPr>
          <w:p w14:paraId="6949B3FB" w14:textId="747E06FB" w:rsidR="00DD63E9" w:rsidRDefault="00EB2B55" w:rsidP="003414BB">
            <w:r w:rsidRPr="00672DBE">
              <w:t xml:space="preserve">To investigate community women's knowledge </w:t>
            </w:r>
            <w:r w:rsidR="00DD63E9">
              <w:t>&amp;</w:t>
            </w:r>
            <w:r w:rsidR="00DD63E9" w:rsidRPr="00672DBE">
              <w:t xml:space="preserve"> </w:t>
            </w:r>
            <w:r w:rsidRPr="00672DBE">
              <w:t xml:space="preserve">experiences of women's health community </w:t>
            </w:r>
            <w:proofErr w:type="gramStart"/>
            <w:r w:rsidRPr="00672DBE">
              <w:t>services</w:t>
            </w:r>
            <w:r w:rsidR="00DD63E9">
              <w:t>,</w:t>
            </w:r>
            <w:r w:rsidRPr="00672DBE">
              <w:t xml:space="preserve"> </w:t>
            </w:r>
            <w:r w:rsidR="00DD63E9">
              <w:t>&amp;</w:t>
            </w:r>
            <w:proofErr w:type="gramEnd"/>
            <w:r w:rsidR="00DD63E9">
              <w:t xml:space="preserve"> </w:t>
            </w:r>
            <w:r w:rsidRPr="00672DBE">
              <w:t xml:space="preserve">identify gaps in community </w:t>
            </w:r>
            <w:r w:rsidR="00DD63E9" w:rsidRPr="00672DBE">
              <w:t>women</w:t>
            </w:r>
            <w:r w:rsidR="00DD63E9">
              <w:t>’s</w:t>
            </w:r>
            <w:r w:rsidR="00DD63E9" w:rsidRPr="00672DBE">
              <w:t xml:space="preserve"> </w:t>
            </w:r>
            <w:r w:rsidRPr="00672DBE">
              <w:t>health programs</w:t>
            </w:r>
            <w:r w:rsidR="00DD63E9">
              <w:t>.</w:t>
            </w:r>
          </w:p>
          <w:p w14:paraId="4A7EE620" w14:textId="21DEC95D" w:rsidR="00EB2B55" w:rsidRPr="00672DBE" w:rsidRDefault="00DD63E9" w:rsidP="003414BB">
            <w:r>
              <w:t>Q</w:t>
            </w:r>
            <w:r w:rsidR="00EB2B55" w:rsidRPr="00672DBE">
              <w:t>ualitative study</w:t>
            </w:r>
            <w:r>
              <w:t>.</w:t>
            </w:r>
          </w:p>
        </w:tc>
        <w:tc>
          <w:tcPr>
            <w:tcW w:w="1701" w:type="dxa"/>
            <w:hideMark/>
          </w:tcPr>
          <w:p w14:paraId="014F3198" w14:textId="015D5A82" w:rsidR="00EB2B55" w:rsidRPr="00672DBE" w:rsidRDefault="00EB2B55" w:rsidP="003414BB">
            <w:r w:rsidRPr="00672DBE">
              <w:t xml:space="preserve">13 women's health service clients </w:t>
            </w:r>
            <w:r w:rsidR="007F0794">
              <w:t xml:space="preserve">aged </w:t>
            </w:r>
            <w:r w:rsidR="007F0794" w:rsidRPr="00672DBE">
              <w:t>18</w:t>
            </w:r>
            <w:r w:rsidR="007F0794">
              <w:t xml:space="preserve">- 74 </w:t>
            </w:r>
            <w:r w:rsidRPr="00672DBE">
              <w:t>years attending clinics in Northern New South Wales Local Health District (NNSWLHD)</w:t>
            </w:r>
            <w:r w:rsidR="007F0794">
              <w:t>.</w:t>
            </w:r>
          </w:p>
        </w:tc>
        <w:tc>
          <w:tcPr>
            <w:tcW w:w="1418" w:type="dxa"/>
            <w:hideMark/>
          </w:tcPr>
          <w:p w14:paraId="562E5122" w14:textId="615020B7" w:rsidR="00EB2B55" w:rsidRPr="00672DBE" w:rsidRDefault="009E3A29" w:rsidP="003414BB">
            <w:r>
              <w:t xml:space="preserve">Clients of women’s health services: </w:t>
            </w:r>
            <w:proofErr w:type="spellStart"/>
            <w:r>
              <w:t>ie</w:t>
            </w:r>
            <w:proofErr w:type="spellEnd"/>
            <w:r>
              <w:t xml:space="preserve"> self-identified. No definition of sex or gender.</w:t>
            </w:r>
          </w:p>
        </w:tc>
        <w:tc>
          <w:tcPr>
            <w:tcW w:w="2126" w:type="dxa"/>
            <w:noWrap/>
            <w:hideMark/>
          </w:tcPr>
          <w:p w14:paraId="49EB790B" w14:textId="5A0400FE" w:rsidR="00EB2B55" w:rsidRPr="00672DBE" w:rsidRDefault="009E3A29" w:rsidP="003414BB">
            <w:r>
              <w:t>Semi-structured i</w:t>
            </w:r>
            <w:r w:rsidR="00EB2B55" w:rsidRPr="00672DBE">
              <w:t>nterview</w:t>
            </w:r>
            <w:r>
              <w:t>: 6 questions.</w:t>
            </w:r>
          </w:p>
        </w:tc>
        <w:tc>
          <w:tcPr>
            <w:tcW w:w="1985" w:type="dxa"/>
            <w:hideMark/>
          </w:tcPr>
          <w:p w14:paraId="4B19472F" w14:textId="59128A92" w:rsidR="00E60C42" w:rsidRDefault="00E60C42" w:rsidP="003414BB">
            <w:r>
              <w:t>Knowledge of women’s healthcare needs &amp; their experience of services.</w:t>
            </w:r>
          </w:p>
          <w:p w14:paraId="698F6B51" w14:textId="0A19D502" w:rsidR="00EB2B55" w:rsidRPr="00672DBE" w:rsidRDefault="00EB2B55" w:rsidP="003414BB"/>
        </w:tc>
        <w:tc>
          <w:tcPr>
            <w:tcW w:w="4761" w:type="dxa"/>
            <w:hideMark/>
          </w:tcPr>
          <w:p w14:paraId="7AC6600E" w14:textId="02E02827" w:rsidR="00EB2B55" w:rsidRPr="00295724" w:rsidRDefault="00EB2B55" w:rsidP="005567CF">
            <w:pPr>
              <w:rPr>
                <w:rFonts w:cstheme="minorHAnsi"/>
              </w:rPr>
            </w:pPr>
            <w:r w:rsidRPr="00295724">
              <w:rPr>
                <w:rFonts w:cstheme="minorHAnsi"/>
              </w:rPr>
              <w:t xml:space="preserve">• </w:t>
            </w:r>
            <w:r w:rsidR="005567CF">
              <w:rPr>
                <w:rFonts w:cstheme="minorHAnsi"/>
              </w:rPr>
              <w:t>W</w:t>
            </w:r>
            <w:r w:rsidRPr="00051B8B">
              <w:rPr>
                <w:rFonts w:cstheme="minorHAnsi"/>
              </w:rPr>
              <w:t xml:space="preserve">omen </w:t>
            </w:r>
            <w:r w:rsidR="005567CF" w:rsidRPr="00702CBA">
              <w:rPr>
                <w:rFonts w:cstheme="minorHAnsi"/>
              </w:rPr>
              <w:t xml:space="preserve">in rural </w:t>
            </w:r>
            <w:r w:rsidR="005567CF">
              <w:rPr>
                <w:rFonts w:cstheme="minorHAnsi"/>
              </w:rPr>
              <w:t>&amp;</w:t>
            </w:r>
            <w:r w:rsidR="005567CF" w:rsidRPr="00702CBA">
              <w:rPr>
                <w:rFonts w:cstheme="minorHAnsi"/>
              </w:rPr>
              <w:t xml:space="preserve"> regional Australia </w:t>
            </w:r>
            <w:r w:rsidRPr="00051B8B">
              <w:rPr>
                <w:rFonts w:cstheme="minorHAnsi"/>
              </w:rPr>
              <w:t xml:space="preserve">experienced </w:t>
            </w:r>
            <w:r w:rsidRPr="00295724">
              <w:rPr>
                <w:rFonts w:cstheme="minorHAnsi"/>
              </w:rPr>
              <w:t>deficits in services, lengthy wait times</w:t>
            </w:r>
            <w:r w:rsidR="005567CF">
              <w:rPr>
                <w:rFonts w:cstheme="minorHAnsi"/>
              </w:rPr>
              <w:t>,</w:t>
            </w:r>
            <w:r w:rsidRPr="00051B8B">
              <w:rPr>
                <w:rFonts w:cstheme="minorHAnsi"/>
              </w:rPr>
              <w:t xml:space="preserve"> poor access.  </w:t>
            </w:r>
          </w:p>
          <w:p w14:paraId="3C8B1C31" w14:textId="0097FAC4" w:rsidR="005567CF" w:rsidRDefault="005567CF" w:rsidP="005567CF">
            <w:pPr>
              <w:pStyle w:val="NormalWeb"/>
              <w:spacing w:before="0" w:beforeAutospacing="0" w:after="0" w:afterAutospacing="0"/>
              <w:rPr>
                <w:rFonts w:asciiTheme="minorHAnsi" w:hAnsiTheme="minorHAnsi" w:cstheme="minorHAnsi"/>
                <w:sz w:val="22"/>
                <w:szCs w:val="22"/>
              </w:rPr>
            </w:pPr>
            <w:r w:rsidRPr="00A85BAD">
              <w:rPr>
                <w:rFonts w:asciiTheme="minorHAnsi" w:hAnsiTheme="minorHAnsi" w:cstheme="minorHAnsi"/>
                <w:sz w:val="22"/>
                <w:szCs w:val="22"/>
              </w:rPr>
              <w:t xml:space="preserve">• Women </w:t>
            </w:r>
            <w:r>
              <w:rPr>
                <w:rFonts w:asciiTheme="minorHAnsi" w:hAnsiTheme="minorHAnsi" w:cstheme="minorHAnsi"/>
                <w:sz w:val="22"/>
                <w:szCs w:val="22"/>
              </w:rPr>
              <w:t>want</w:t>
            </w:r>
            <w:r w:rsidRPr="00A85BAD">
              <w:rPr>
                <w:rFonts w:asciiTheme="minorHAnsi" w:hAnsiTheme="minorHAnsi" w:cstheme="minorHAnsi"/>
                <w:sz w:val="22"/>
                <w:szCs w:val="22"/>
              </w:rPr>
              <w:t xml:space="preserve"> better access</w:t>
            </w:r>
            <w:r>
              <w:rPr>
                <w:rFonts w:asciiTheme="minorHAnsi" w:hAnsiTheme="minorHAnsi" w:cstheme="minorHAnsi"/>
                <w:sz w:val="22"/>
                <w:szCs w:val="22"/>
              </w:rPr>
              <w:t xml:space="preserve"> &amp;</w:t>
            </w:r>
            <w:r w:rsidRPr="00A85BAD">
              <w:rPr>
                <w:rFonts w:asciiTheme="minorHAnsi" w:hAnsiTheme="minorHAnsi" w:cstheme="minorHAnsi"/>
                <w:sz w:val="22"/>
                <w:szCs w:val="22"/>
              </w:rPr>
              <w:t xml:space="preserve"> more awareness of women</w:t>
            </w:r>
            <w:r>
              <w:rPr>
                <w:rFonts w:asciiTheme="minorHAnsi" w:hAnsiTheme="minorHAnsi" w:cstheme="minorHAnsi"/>
                <w:sz w:val="22"/>
                <w:szCs w:val="22"/>
              </w:rPr>
              <w:t>-</w:t>
            </w:r>
            <w:r w:rsidRPr="00A85BAD">
              <w:rPr>
                <w:rFonts w:asciiTheme="minorHAnsi" w:hAnsiTheme="minorHAnsi" w:cstheme="minorHAnsi"/>
                <w:sz w:val="22"/>
                <w:szCs w:val="22"/>
              </w:rPr>
              <w:t>specific services</w:t>
            </w:r>
            <w:r>
              <w:rPr>
                <w:rFonts w:asciiTheme="minorHAnsi" w:hAnsiTheme="minorHAnsi" w:cstheme="minorHAnsi"/>
                <w:sz w:val="22"/>
                <w:szCs w:val="22"/>
              </w:rPr>
              <w:t>.</w:t>
            </w:r>
          </w:p>
          <w:p w14:paraId="6FC45149" w14:textId="315B29C1" w:rsidR="005567CF" w:rsidRPr="00A85BAD" w:rsidRDefault="005567CF" w:rsidP="00A85BAD">
            <w:pPr>
              <w:pStyle w:val="NormalWeb"/>
              <w:spacing w:before="0" w:beforeAutospacing="0" w:after="0" w:afterAutospacing="0"/>
              <w:rPr>
                <w:rFonts w:asciiTheme="minorHAnsi" w:hAnsiTheme="minorHAnsi" w:cstheme="minorHAnsi"/>
                <w:sz w:val="22"/>
                <w:szCs w:val="22"/>
              </w:rPr>
            </w:pPr>
            <w:r w:rsidRPr="00702CBA">
              <w:rPr>
                <w:rFonts w:asciiTheme="minorHAnsi" w:hAnsiTheme="minorHAnsi" w:cstheme="minorHAnsi"/>
                <w:sz w:val="22"/>
                <w:szCs w:val="22"/>
              </w:rPr>
              <w:t xml:space="preserve">• </w:t>
            </w:r>
            <w:r>
              <w:rPr>
                <w:rFonts w:asciiTheme="minorHAnsi" w:hAnsiTheme="minorHAnsi" w:cstheme="minorHAnsi"/>
                <w:sz w:val="22"/>
                <w:szCs w:val="22"/>
              </w:rPr>
              <w:t>Women want to be heard on the</w:t>
            </w:r>
            <w:r w:rsidRPr="00A85BAD">
              <w:rPr>
                <w:rFonts w:asciiTheme="minorHAnsi" w:hAnsiTheme="minorHAnsi" w:cstheme="minorHAnsi"/>
                <w:sz w:val="22"/>
                <w:szCs w:val="22"/>
              </w:rPr>
              <w:t xml:space="preserve"> health services </w:t>
            </w:r>
            <w:r>
              <w:rPr>
                <w:rFonts w:asciiTheme="minorHAnsi" w:hAnsiTheme="minorHAnsi" w:cstheme="minorHAnsi"/>
                <w:sz w:val="22"/>
                <w:szCs w:val="22"/>
              </w:rPr>
              <w:t>they</w:t>
            </w:r>
            <w:r w:rsidRPr="00A85BAD">
              <w:rPr>
                <w:rFonts w:asciiTheme="minorHAnsi" w:hAnsiTheme="minorHAnsi" w:cstheme="minorHAnsi"/>
                <w:sz w:val="22"/>
                <w:szCs w:val="22"/>
              </w:rPr>
              <w:t xml:space="preserve"> </w:t>
            </w:r>
            <w:r>
              <w:rPr>
                <w:rFonts w:asciiTheme="minorHAnsi" w:hAnsiTheme="minorHAnsi" w:cstheme="minorHAnsi"/>
                <w:sz w:val="22"/>
                <w:szCs w:val="22"/>
              </w:rPr>
              <w:t>need</w:t>
            </w:r>
            <w:r w:rsidRPr="00A85BAD">
              <w:rPr>
                <w:rFonts w:asciiTheme="minorHAnsi" w:hAnsiTheme="minorHAnsi" w:cstheme="minorHAnsi"/>
                <w:sz w:val="22"/>
                <w:szCs w:val="22"/>
              </w:rPr>
              <w:t xml:space="preserve">. </w:t>
            </w:r>
          </w:p>
          <w:p w14:paraId="596F4FC9" w14:textId="2D221365" w:rsidR="005567CF" w:rsidRPr="00A85BAD" w:rsidRDefault="005567CF" w:rsidP="00A85BAD">
            <w:pPr>
              <w:pStyle w:val="NormalWeb"/>
              <w:spacing w:before="0" w:beforeAutospacing="0" w:after="0" w:afterAutospacing="0"/>
              <w:rPr>
                <w:rFonts w:asciiTheme="minorHAnsi" w:hAnsiTheme="minorHAnsi" w:cstheme="minorHAnsi"/>
                <w:sz w:val="22"/>
                <w:szCs w:val="22"/>
              </w:rPr>
            </w:pPr>
            <w:r w:rsidRPr="00A85BAD">
              <w:rPr>
                <w:rFonts w:asciiTheme="minorHAnsi" w:hAnsiTheme="minorHAnsi" w:cstheme="minorHAnsi"/>
                <w:sz w:val="22"/>
                <w:szCs w:val="22"/>
              </w:rPr>
              <w:t xml:space="preserve">• Registered nurses need skills training </w:t>
            </w:r>
            <w:r>
              <w:rPr>
                <w:rFonts w:asciiTheme="minorHAnsi" w:hAnsiTheme="minorHAnsi" w:cstheme="minorHAnsi"/>
                <w:sz w:val="22"/>
                <w:szCs w:val="22"/>
              </w:rPr>
              <w:t>&amp;</w:t>
            </w:r>
            <w:r w:rsidRPr="00A85BAD">
              <w:rPr>
                <w:rFonts w:asciiTheme="minorHAnsi" w:hAnsiTheme="minorHAnsi" w:cstheme="minorHAnsi"/>
                <w:sz w:val="22"/>
                <w:szCs w:val="22"/>
              </w:rPr>
              <w:t xml:space="preserve"> support</w:t>
            </w:r>
            <w:r>
              <w:rPr>
                <w:rFonts w:asciiTheme="minorHAnsi" w:hAnsiTheme="minorHAnsi" w:cstheme="minorHAnsi"/>
                <w:sz w:val="22"/>
                <w:szCs w:val="22"/>
              </w:rPr>
              <w:t xml:space="preserve"> to be able to conduct research</w:t>
            </w:r>
            <w:r w:rsidRPr="00A85BAD">
              <w:rPr>
                <w:rFonts w:asciiTheme="minorHAnsi" w:hAnsiTheme="minorHAnsi" w:cstheme="minorHAnsi"/>
                <w:sz w:val="22"/>
                <w:szCs w:val="22"/>
              </w:rPr>
              <w:t xml:space="preserve">. </w:t>
            </w:r>
          </w:p>
          <w:p w14:paraId="1E54AC03" w14:textId="62FEA82E" w:rsidR="005567CF" w:rsidRPr="00A85BAD" w:rsidRDefault="005567CF" w:rsidP="00A85BAD">
            <w:pPr>
              <w:pStyle w:val="NormalWeb"/>
              <w:spacing w:before="0" w:beforeAutospacing="0" w:after="0" w:afterAutospacing="0"/>
              <w:rPr>
                <w:rFonts w:asciiTheme="minorHAnsi" w:hAnsiTheme="minorHAnsi" w:cstheme="minorHAnsi"/>
                <w:sz w:val="22"/>
                <w:szCs w:val="22"/>
              </w:rPr>
            </w:pPr>
            <w:r w:rsidRPr="00A85BAD">
              <w:rPr>
                <w:rFonts w:asciiTheme="minorHAnsi" w:hAnsiTheme="minorHAnsi" w:cstheme="minorHAnsi"/>
                <w:sz w:val="22"/>
                <w:szCs w:val="22"/>
              </w:rPr>
              <w:t xml:space="preserve">• </w:t>
            </w:r>
            <w:r>
              <w:rPr>
                <w:rFonts w:asciiTheme="minorHAnsi" w:hAnsiTheme="minorHAnsi" w:cstheme="minorHAnsi"/>
                <w:sz w:val="22"/>
                <w:szCs w:val="22"/>
              </w:rPr>
              <w:t>Engagement of c</w:t>
            </w:r>
            <w:r w:rsidRPr="00A85BAD">
              <w:rPr>
                <w:rFonts w:asciiTheme="minorHAnsi" w:hAnsiTheme="minorHAnsi" w:cstheme="minorHAnsi"/>
                <w:sz w:val="22"/>
                <w:szCs w:val="22"/>
              </w:rPr>
              <w:t xml:space="preserve">ommunity nurses </w:t>
            </w:r>
            <w:r>
              <w:rPr>
                <w:rFonts w:asciiTheme="minorHAnsi" w:hAnsiTheme="minorHAnsi" w:cstheme="minorHAnsi"/>
                <w:sz w:val="22"/>
                <w:szCs w:val="22"/>
              </w:rPr>
              <w:t>in research could lead</w:t>
            </w:r>
            <w:r w:rsidRPr="00A85BAD">
              <w:rPr>
                <w:rFonts w:asciiTheme="minorHAnsi" w:hAnsiTheme="minorHAnsi" w:cstheme="minorHAnsi"/>
                <w:sz w:val="22"/>
                <w:szCs w:val="22"/>
              </w:rPr>
              <w:t xml:space="preserve"> to better care. </w:t>
            </w:r>
          </w:p>
          <w:p w14:paraId="4574BEC8" w14:textId="77777777" w:rsidR="005567CF" w:rsidRPr="00051B8B" w:rsidRDefault="005567CF" w:rsidP="005567CF">
            <w:pPr>
              <w:rPr>
                <w:rFonts w:cstheme="minorHAnsi"/>
              </w:rPr>
            </w:pPr>
          </w:p>
        </w:tc>
      </w:tr>
    </w:tbl>
    <w:p w14:paraId="5269F38C" w14:textId="77777777" w:rsidR="00EB2B55" w:rsidRPr="00672DBE" w:rsidRDefault="00EB2B55" w:rsidP="003414BB"/>
    <w:p w14:paraId="45B11601" w14:textId="215C8521" w:rsidR="00B53A26" w:rsidRPr="00672DBE" w:rsidRDefault="00B53A26">
      <w:r w:rsidRPr="00672DBE">
        <w:br w:type="page"/>
      </w:r>
    </w:p>
    <w:p w14:paraId="0ABB6F07" w14:textId="202E37AB" w:rsidR="00EB2B55" w:rsidRPr="00672DBE" w:rsidRDefault="00A471B8" w:rsidP="003414BB">
      <w:pPr>
        <w:rPr>
          <w:b/>
          <w:sz w:val="24"/>
          <w:szCs w:val="24"/>
        </w:rPr>
      </w:pPr>
      <w:r>
        <w:rPr>
          <w:b/>
          <w:sz w:val="24"/>
          <w:szCs w:val="24"/>
        </w:rPr>
        <w:lastRenderedPageBreak/>
        <w:t xml:space="preserve">Table B5. </w:t>
      </w:r>
      <w:r w:rsidR="00EB2B55" w:rsidRPr="00672DBE">
        <w:rPr>
          <w:b/>
          <w:sz w:val="24"/>
          <w:szCs w:val="24"/>
        </w:rPr>
        <w:t>Q</w:t>
      </w:r>
      <w:r w:rsidR="005253AB">
        <w:rPr>
          <w:b/>
          <w:sz w:val="24"/>
          <w:szCs w:val="24"/>
        </w:rPr>
        <w:t xml:space="preserve">uestion </w:t>
      </w:r>
      <w:r w:rsidR="00EB2B55" w:rsidRPr="00672DBE">
        <w:rPr>
          <w:b/>
          <w:sz w:val="24"/>
          <w:szCs w:val="24"/>
        </w:rPr>
        <w:t>5</w:t>
      </w:r>
      <w:r w:rsidR="005253AB">
        <w:rPr>
          <w:b/>
          <w:sz w:val="24"/>
          <w:szCs w:val="24"/>
        </w:rPr>
        <w:t xml:space="preserve">: </w:t>
      </w:r>
      <w:r w:rsidR="00EB2B55" w:rsidRPr="00672DBE">
        <w:rPr>
          <w:b/>
          <w:sz w:val="24"/>
          <w:szCs w:val="24"/>
        </w:rPr>
        <w:t xml:space="preserve">What are the gaps in data collection? e.g. instances where standard reporting does not include disaggregation by sex and/or gender and identify disparities in health outcomes </w:t>
      </w:r>
      <w:proofErr w:type="gramStart"/>
      <w:r w:rsidR="00EB2B55" w:rsidRPr="00672DBE">
        <w:rPr>
          <w:b/>
          <w:sz w:val="24"/>
          <w:szCs w:val="24"/>
        </w:rPr>
        <w:t>on the basis of</w:t>
      </w:r>
      <w:proofErr w:type="gramEnd"/>
      <w:r w:rsidR="00EB2B55" w:rsidRPr="00672DBE">
        <w:rPr>
          <w:b/>
          <w:sz w:val="24"/>
          <w:szCs w:val="24"/>
        </w:rPr>
        <w:t xml:space="preserve"> sex.</w:t>
      </w:r>
    </w:p>
    <w:tbl>
      <w:tblPr>
        <w:tblStyle w:val="TableGrid"/>
        <w:tblW w:w="0" w:type="auto"/>
        <w:tblLayout w:type="fixed"/>
        <w:tblLook w:val="04A0" w:firstRow="1" w:lastRow="0" w:firstColumn="1" w:lastColumn="0" w:noHBand="0" w:noVBand="1"/>
      </w:tblPr>
      <w:tblGrid>
        <w:gridCol w:w="1555"/>
        <w:gridCol w:w="2409"/>
        <w:gridCol w:w="2410"/>
        <w:gridCol w:w="2693"/>
        <w:gridCol w:w="6321"/>
      </w:tblGrid>
      <w:tr w:rsidR="00EB2B55" w:rsidRPr="00672DBE" w14:paraId="521AA8D0" w14:textId="77777777" w:rsidTr="00A85BAD">
        <w:trPr>
          <w:trHeight w:val="936"/>
          <w:tblHeader/>
        </w:trPr>
        <w:tc>
          <w:tcPr>
            <w:tcW w:w="1555" w:type="dxa"/>
            <w:hideMark/>
          </w:tcPr>
          <w:p w14:paraId="539F03A8" w14:textId="6CFBC649" w:rsidR="00EB2B55" w:rsidRPr="00672DBE" w:rsidRDefault="00EB2B55" w:rsidP="003414BB">
            <w:pPr>
              <w:rPr>
                <w:b/>
                <w:bCs/>
              </w:rPr>
            </w:pPr>
            <w:r w:rsidRPr="00672DBE">
              <w:rPr>
                <w:b/>
                <w:bCs/>
              </w:rPr>
              <w:t xml:space="preserve">Author, </w:t>
            </w:r>
            <w:r w:rsidR="004D70D9">
              <w:rPr>
                <w:b/>
                <w:bCs/>
              </w:rPr>
              <w:t>y</w:t>
            </w:r>
            <w:r w:rsidR="004D70D9" w:rsidRPr="00672DBE">
              <w:rPr>
                <w:b/>
                <w:bCs/>
              </w:rPr>
              <w:t>ear</w:t>
            </w:r>
            <w:r w:rsidRPr="00672DBE">
              <w:rPr>
                <w:b/>
                <w:bCs/>
              </w:rPr>
              <w:t xml:space="preserve">, </w:t>
            </w:r>
            <w:r w:rsidR="004D70D9">
              <w:rPr>
                <w:b/>
                <w:bCs/>
              </w:rPr>
              <w:t>c</w:t>
            </w:r>
            <w:r w:rsidR="004D70D9" w:rsidRPr="00672DBE">
              <w:rPr>
                <w:b/>
                <w:bCs/>
              </w:rPr>
              <w:t>ountry</w:t>
            </w:r>
          </w:p>
        </w:tc>
        <w:tc>
          <w:tcPr>
            <w:tcW w:w="2409" w:type="dxa"/>
            <w:hideMark/>
          </w:tcPr>
          <w:p w14:paraId="165C3301" w14:textId="11F2C7B9" w:rsidR="00EB2B55" w:rsidRPr="00672DBE" w:rsidRDefault="00EB2B55" w:rsidP="003414BB">
            <w:pPr>
              <w:rPr>
                <w:b/>
                <w:bCs/>
              </w:rPr>
            </w:pPr>
            <w:r w:rsidRPr="00672DBE">
              <w:rPr>
                <w:b/>
                <w:bCs/>
              </w:rPr>
              <w:t>Aim</w:t>
            </w:r>
            <w:r w:rsidR="004D70D9">
              <w:rPr>
                <w:b/>
                <w:bCs/>
              </w:rPr>
              <w:t>,</w:t>
            </w:r>
            <w:r w:rsidRPr="00672DBE">
              <w:rPr>
                <w:b/>
                <w:bCs/>
              </w:rPr>
              <w:t xml:space="preserve"> design</w:t>
            </w:r>
          </w:p>
        </w:tc>
        <w:tc>
          <w:tcPr>
            <w:tcW w:w="2410" w:type="dxa"/>
            <w:noWrap/>
            <w:hideMark/>
          </w:tcPr>
          <w:p w14:paraId="6A1D6136" w14:textId="77777777" w:rsidR="00EB2B55" w:rsidRPr="00672DBE" w:rsidRDefault="00EB2B55" w:rsidP="003414BB">
            <w:pPr>
              <w:rPr>
                <w:b/>
                <w:bCs/>
              </w:rPr>
            </w:pPr>
            <w:r w:rsidRPr="00672DBE">
              <w:rPr>
                <w:b/>
                <w:bCs/>
              </w:rPr>
              <w:t>Search strategy</w:t>
            </w:r>
          </w:p>
        </w:tc>
        <w:tc>
          <w:tcPr>
            <w:tcW w:w="2693" w:type="dxa"/>
            <w:hideMark/>
          </w:tcPr>
          <w:p w14:paraId="04274922" w14:textId="468A04B2" w:rsidR="00EB2B55" w:rsidRPr="00672DBE" w:rsidRDefault="004D70D9" w:rsidP="003414BB">
            <w:pPr>
              <w:rPr>
                <w:b/>
                <w:bCs/>
              </w:rPr>
            </w:pPr>
            <w:r w:rsidRPr="00672DBE">
              <w:rPr>
                <w:b/>
                <w:bCs/>
              </w:rPr>
              <w:t>N</w:t>
            </w:r>
            <w:r>
              <w:rPr>
                <w:b/>
                <w:bCs/>
              </w:rPr>
              <w:t>umber</w:t>
            </w:r>
            <w:r w:rsidRPr="00672DBE">
              <w:rPr>
                <w:b/>
                <w:bCs/>
              </w:rPr>
              <w:t xml:space="preserve"> </w:t>
            </w:r>
            <w:r w:rsidR="00EB2B55" w:rsidRPr="00672DBE">
              <w:rPr>
                <w:b/>
                <w:bCs/>
              </w:rPr>
              <w:t xml:space="preserve">of </w:t>
            </w:r>
            <w:r>
              <w:rPr>
                <w:b/>
                <w:bCs/>
              </w:rPr>
              <w:t>paper</w:t>
            </w:r>
            <w:r w:rsidRPr="00672DBE">
              <w:rPr>
                <w:b/>
                <w:bCs/>
              </w:rPr>
              <w:t xml:space="preserve">s </w:t>
            </w:r>
            <w:r w:rsidR="00EB2B55" w:rsidRPr="00672DBE">
              <w:rPr>
                <w:b/>
                <w:bCs/>
              </w:rPr>
              <w:t>included</w:t>
            </w:r>
          </w:p>
        </w:tc>
        <w:tc>
          <w:tcPr>
            <w:tcW w:w="6321" w:type="dxa"/>
            <w:noWrap/>
            <w:hideMark/>
          </w:tcPr>
          <w:p w14:paraId="722D6222" w14:textId="37E2EEF7" w:rsidR="00EB2B55" w:rsidRPr="00672DBE" w:rsidRDefault="00EB2B55" w:rsidP="003414BB">
            <w:pPr>
              <w:rPr>
                <w:b/>
                <w:bCs/>
              </w:rPr>
            </w:pPr>
            <w:r w:rsidRPr="00672DBE">
              <w:rPr>
                <w:b/>
                <w:bCs/>
              </w:rPr>
              <w:t>Results</w:t>
            </w:r>
            <w:r w:rsidR="004D70D9">
              <w:rPr>
                <w:b/>
                <w:bCs/>
              </w:rPr>
              <w:t>/</w:t>
            </w:r>
            <w:r w:rsidRPr="00672DBE">
              <w:rPr>
                <w:b/>
                <w:bCs/>
              </w:rPr>
              <w:t>main findings</w:t>
            </w:r>
          </w:p>
        </w:tc>
      </w:tr>
      <w:tr w:rsidR="00EB2B55" w:rsidRPr="00672DBE" w14:paraId="16DC534E" w14:textId="77777777" w:rsidTr="00A85BAD">
        <w:trPr>
          <w:trHeight w:val="2244"/>
        </w:trPr>
        <w:tc>
          <w:tcPr>
            <w:tcW w:w="1555" w:type="dxa"/>
            <w:noWrap/>
            <w:hideMark/>
          </w:tcPr>
          <w:p w14:paraId="63CB1425" w14:textId="50F93F88" w:rsidR="00EB2B55" w:rsidRPr="00672DBE" w:rsidRDefault="00EB2B55" w:rsidP="003414BB">
            <w:r w:rsidRPr="00672DBE">
              <w:t>Antequera et al.</w:t>
            </w:r>
            <w:r w:rsidR="00951871">
              <w:t>,</w:t>
            </w:r>
            <w:r w:rsidRPr="00672DBE">
              <w:t xml:space="preserve"> 2022</w:t>
            </w:r>
            <w:r w:rsidR="00951871">
              <w:t>, international</w:t>
            </w:r>
          </w:p>
        </w:tc>
        <w:tc>
          <w:tcPr>
            <w:tcW w:w="2409" w:type="dxa"/>
            <w:hideMark/>
          </w:tcPr>
          <w:p w14:paraId="45B8BD49" w14:textId="730FB70E" w:rsidR="00696814" w:rsidRDefault="00EB2B55" w:rsidP="003414BB">
            <w:r w:rsidRPr="00672DBE">
              <w:t xml:space="preserve">To describe extent to which sex is analysed </w:t>
            </w:r>
            <w:r w:rsidR="00B074C6">
              <w:t>&amp;</w:t>
            </w:r>
            <w:r w:rsidR="00B074C6" w:rsidRPr="00672DBE">
              <w:t xml:space="preserve"> </w:t>
            </w:r>
            <w:r w:rsidRPr="00672DBE">
              <w:t>reported in a cross-section of Cochrane systematic reviews (SRs) of interventions</w:t>
            </w:r>
            <w:r w:rsidR="00B074C6">
              <w:t>; to</w:t>
            </w:r>
            <w:r w:rsidRPr="00672DBE">
              <w:t xml:space="preserve"> assess association with gender </w:t>
            </w:r>
            <w:r w:rsidR="00B074C6">
              <w:t xml:space="preserve">(=sex) </w:t>
            </w:r>
            <w:r w:rsidRPr="00672DBE">
              <w:t>of main authors</w:t>
            </w:r>
            <w:r w:rsidR="00696814">
              <w:t>.</w:t>
            </w:r>
          </w:p>
          <w:p w14:paraId="00D0AE74" w14:textId="1B38F1CE" w:rsidR="00EB2B55" w:rsidRPr="00672DBE" w:rsidRDefault="00B074C6" w:rsidP="003414BB">
            <w:r>
              <w:t>Systematic literature review.</w:t>
            </w:r>
          </w:p>
        </w:tc>
        <w:tc>
          <w:tcPr>
            <w:tcW w:w="2410" w:type="dxa"/>
            <w:hideMark/>
          </w:tcPr>
          <w:p w14:paraId="60C157E7" w14:textId="742ABF8E" w:rsidR="00EB2B55" w:rsidRPr="00672DBE" w:rsidRDefault="00EB2B55" w:rsidP="003414BB">
            <w:r w:rsidRPr="00672DBE">
              <w:t>Searched SRs published 2018 in Cochrane Database of Systematic Reviews</w:t>
            </w:r>
            <w:r w:rsidR="000D5045">
              <w:t>.</w:t>
            </w:r>
          </w:p>
        </w:tc>
        <w:tc>
          <w:tcPr>
            <w:tcW w:w="2693" w:type="dxa"/>
            <w:hideMark/>
          </w:tcPr>
          <w:p w14:paraId="745628DC" w14:textId="52A7B9F6" w:rsidR="00EB2B55" w:rsidRPr="00672DBE" w:rsidRDefault="00EB2B55" w:rsidP="003414BB">
            <w:r w:rsidRPr="00672DBE">
              <w:t xml:space="preserve">516 </w:t>
            </w:r>
            <w:r w:rsidR="000D5045">
              <w:t xml:space="preserve">eligible </w:t>
            </w:r>
            <w:r w:rsidRPr="00672DBE">
              <w:t>reviews of interventions</w:t>
            </w:r>
            <w:r w:rsidR="000D5045">
              <w:t>.</w:t>
            </w:r>
            <w:r w:rsidRPr="00672DBE">
              <w:t xml:space="preserve"> </w:t>
            </w:r>
          </w:p>
        </w:tc>
        <w:tc>
          <w:tcPr>
            <w:tcW w:w="6321" w:type="dxa"/>
            <w:hideMark/>
          </w:tcPr>
          <w:p w14:paraId="3D52FA7C" w14:textId="27101131" w:rsidR="000D5045" w:rsidRDefault="000D5045" w:rsidP="000D5045">
            <w:pPr>
              <w:pStyle w:val="NormalWeb"/>
              <w:spacing w:before="0" w:beforeAutospacing="0" w:after="0" w:afterAutospacing="0"/>
              <w:rPr>
                <w:rFonts w:asciiTheme="minorHAnsi" w:hAnsiTheme="minorHAnsi" w:cstheme="minorHAnsi"/>
                <w:sz w:val="22"/>
                <w:szCs w:val="22"/>
              </w:rPr>
            </w:pPr>
            <w:r w:rsidRPr="00672DBE">
              <w:t xml:space="preserve">• </w:t>
            </w:r>
            <w:r w:rsidRPr="00A85BAD">
              <w:rPr>
                <w:rFonts w:asciiTheme="minorHAnsi" w:hAnsiTheme="minorHAnsi" w:cstheme="minorHAnsi"/>
                <w:sz w:val="22"/>
                <w:szCs w:val="22"/>
              </w:rPr>
              <w:t>Sex consideration</w:t>
            </w:r>
            <w:r>
              <w:rPr>
                <w:rFonts w:asciiTheme="minorHAnsi" w:hAnsiTheme="minorHAnsi" w:cstheme="minorHAnsi"/>
                <w:sz w:val="22"/>
                <w:szCs w:val="22"/>
              </w:rPr>
              <w:t xml:space="preserve"> was</w:t>
            </w:r>
            <w:r w:rsidRPr="00A85BAD">
              <w:rPr>
                <w:rFonts w:asciiTheme="minorHAnsi" w:hAnsiTheme="minorHAnsi" w:cstheme="minorHAnsi"/>
                <w:sz w:val="22"/>
                <w:szCs w:val="22"/>
              </w:rPr>
              <w:t xml:space="preserve"> </w:t>
            </w:r>
            <w:r>
              <w:rPr>
                <w:rFonts w:asciiTheme="minorHAnsi" w:hAnsiTheme="minorHAnsi" w:cstheme="minorHAnsi"/>
                <w:sz w:val="22"/>
                <w:szCs w:val="22"/>
              </w:rPr>
              <w:t>frequently missing from</w:t>
            </w:r>
            <w:r w:rsidRPr="00A85BAD">
              <w:rPr>
                <w:rFonts w:asciiTheme="minorHAnsi" w:hAnsiTheme="minorHAnsi" w:cstheme="minorHAnsi"/>
                <w:sz w:val="22"/>
                <w:szCs w:val="22"/>
              </w:rPr>
              <w:t xml:space="preserve"> Cochrane SRs</w:t>
            </w:r>
            <w:r>
              <w:rPr>
                <w:rFonts w:asciiTheme="minorHAnsi" w:hAnsiTheme="minorHAnsi" w:cstheme="minorHAnsi"/>
                <w:sz w:val="22"/>
                <w:szCs w:val="22"/>
              </w:rPr>
              <w:t>.</w:t>
            </w:r>
          </w:p>
          <w:p w14:paraId="3EB431B4" w14:textId="1C153021" w:rsidR="000D5045" w:rsidRDefault="00EB2B55" w:rsidP="003414BB">
            <w:r w:rsidRPr="00672DBE">
              <w:t>• 56 reviews included sex-related reporting in the abstract, 90 considered sex in their design, 380 provided sex-disaggregated descriptive data, 142 reported main outcomes or performed subgroup analyses by sex, 76 discussed potential impact of sex or the lack of such on the interpretations of findings</w:t>
            </w:r>
            <w:r w:rsidR="000D5045">
              <w:t>.</w:t>
            </w:r>
          </w:p>
          <w:p w14:paraId="2F2C72C5" w14:textId="77777777" w:rsidR="000D5045" w:rsidRPr="00702CBA" w:rsidRDefault="000D5045" w:rsidP="000D5045">
            <w:pPr>
              <w:pStyle w:val="NormalWeb"/>
              <w:spacing w:before="0" w:beforeAutospacing="0" w:after="0" w:afterAutospacing="0"/>
              <w:rPr>
                <w:rFonts w:asciiTheme="minorHAnsi" w:hAnsiTheme="minorHAnsi" w:cstheme="minorHAnsi"/>
                <w:sz w:val="22"/>
                <w:szCs w:val="22"/>
              </w:rPr>
            </w:pPr>
            <w:r w:rsidRPr="00672DBE">
              <w:t xml:space="preserve">• </w:t>
            </w:r>
            <w:r w:rsidRPr="00702CBA">
              <w:rPr>
                <w:rFonts w:asciiTheme="minorHAnsi" w:hAnsiTheme="minorHAnsi" w:cstheme="minorHAnsi"/>
                <w:sz w:val="22"/>
                <w:szCs w:val="22"/>
              </w:rPr>
              <w:t xml:space="preserve">Structured guidance </w:t>
            </w:r>
            <w:r>
              <w:rPr>
                <w:rFonts w:asciiTheme="minorHAnsi" w:hAnsiTheme="minorHAnsi" w:cstheme="minorHAnsi"/>
                <w:sz w:val="22"/>
                <w:szCs w:val="22"/>
              </w:rPr>
              <w:t>on</w:t>
            </w:r>
            <w:r w:rsidRPr="00702CBA">
              <w:rPr>
                <w:rFonts w:asciiTheme="minorHAnsi" w:hAnsiTheme="minorHAnsi" w:cstheme="minorHAnsi"/>
                <w:sz w:val="22"/>
                <w:szCs w:val="22"/>
              </w:rPr>
              <w:t xml:space="preserve"> sex‐related analysis </w:t>
            </w:r>
            <w:r>
              <w:rPr>
                <w:rFonts w:asciiTheme="minorHAnsi" w:hAnsiTheme="minorHAnsi" w:cstheme="minorHAnsi"/>
                <w:sz w:val="22"/>
                <w:szCs w:val="22"/>
              </w:rPr>
              <w:t>&amp;</w:t>
            </w:r>
            <w:r w:rsidRPr="00702CBA">
              <w:rPr>
                <w:rFonts w:asciiTheme="minorHAnsi" w:hAnsiTheme="minorHAnsi" w:cstheme="minorHAnsi"/>
                <w:sz w:val="22"/>
                <w:szCs w:val="22"/>
              </w:rPr>
              <w:t xml:space="preserve"> reporting is needed to enhance the external validity of findings. </w:t>
            </w:r>
          </w:p>
          <w:p w14:paraId="0B229D82" w14:textId="6086AB62" w:rsidR="000D5045" w:rsidRDefault="00EB2B55" w:rsidP="003414BB">
            <w:r w:rsidRPr="00672DBE">
              <w:t>• Women represented 53.1%</w:t>
            </w:r>
            <w:r w:rsidR="000D5045">
              <w:t xml:space="preserve"> &amp;</w:t>
            </w:r>
            <w:r w:rsidRPr="00672DBE">
              <w:t xml:space="preserve"> 42.2% of first </w:t>
            </w:r>
            <w:r w:rsidR="000D5045">
              <w:t>&amp;</w:t>
            </w:r>
            <w:r w:rsidR="000D5045" w:rsidRPr="00672DBE">
              <w:t xml:space="preserve"> </w:t>
            </w:r>
            <w:r w:rsidRPr="00672DBE">
              <w:t>last authorships, respectively</w:t>
            </w:r>
            <w:r w:rsidR="000D5045">
              <w:t>.</w:t>
            </w:r>
          </w:p>
          <w:p w14:paraId="286A7377" w14:textId="64DCF94F" w:rsidR="00EB2B55" w:rsidRPr="00672DBE" w:rsidRDefault="00EB2B55" w:rsidP="003414BB">
            <w:r w:rsidRPr="00672DBE">
              <w:t xml:space="preserve">• Women authors (first </w:t>
            </w:r>
            <w:r w:rsidR="000D5045">
              <w:t>&amp;</w:t>
            </w:r>
            <w:r w:rsidR="000D5045" w:rsidRPr="00672DBE">
              <w:t xml:space="preserve"> </w:t>
            </w:r>
            <w:r w:rsidRPr="00672DBE">
              <w:t xml:space="preserve">last) </w:t>
            </w:r>
            <w:r w:rsidR="000D5045">
              <w:t>more likely</w:t>
            </w:r>
            <w:r w:rsidRPr="00672DBE">
              <w:t xml:space="preserve"> to report sex in at least one of review sections (OR 2.05; CI 95% 1.12-3.75, P=0.020) than </w:t>
            </w:r>
            <w:r w:rsidR="000D5045">
              <w:t>no women in those positions</w:t>
            </w:r>
            <w:r w:rsidRPr="00672DBE">
              <w:t xml:space="preserve">. </w:t>
            </w:r>
          </w:p>
        </w:tc>
      </w:tr>
      <w:tr w:rsidR="00EB2B55" w:rsidRPr="00672DBE" w14:paraId="2111BE4E" w14:textId="77777777" w:rsidTr="00A85BAD">
        <w:trPr>
          <w:trHeight w:val="2892"/>
        </w:trPr>
        <w:tc>
          <w:tcPr>
            <w:tcW w:w="1555" w:type="dxa"/>
            <w:hideMark/>
          </w:tcPr>
          <w:p w14:paraId="1D749E38" w14:textId="18A8098C" w:rsidR="00EB2B55" w:rsidRPr="00672DBE" w:rsidRDefault="00EB2B55" w:rsidP="003414BB">
            <w:r w:rsidRPr="00672DBE">
              <w:t>Antequera et al.</w:t>
            </w:r>
            <w:r w:rsidR="00951871">
              <w:t>,</w:t>
            </w:r>
            <w:r w:rsidRPr="00672DBE">
              <w:t xml:space="preserve"> 2020</w:t>
            </w:r>
            <w:r w:rsidR="00951871">
              <w:t>, international</w:t>
            </w:r>
          </w:p>
        </w:tc>
        <w:tc>
          <w:tcPr>
            <w:tcW w:w="2409" w:type="dxa"/>
            <w:hideMark/>
          </w:tcPr>
          <w:p w14:paraId="15BE9A4A" w14:textId="0C5528C3" w:rsidR="00DA0AA5" w:rsidRDefault="00EB2B55" w:rsidP="003414BB">
            <w:r w:rsidRPr="00672DBE">
              <w:t xml:space="preserve">To assess female representation in primary studies underpinning recommendations from clinical guidelines </w:t>
            </w:r>
            <w:r w:rsidR="00DA0AA5">
              <w:t>&amp;</w:t>
            </w:r>
            <w:r w:rsidR="00DA0AA5" w:rsidRPr="00672DBE">
              <w:t xml:space="preserve"> </w:t>
            </w:r>
            <w:r w:rsidRPr="00672DBE">
              <w:t>systematic reviews for sepsis treatment in adults</w:t>
            </w:r>
            <w:r w:rsidR="00DA0AA5">
              <w:t>.</w:t>
            </w:r>
          </w:p>
          <w:p w14:paraId="5C7FAC87" w14:textId="1B2FB187" w:rsidR="00DA0AA5" w:rsidRDefault="00EB2B55" w:rsidP="003414BB">
            <w:r w:rsidRPr="00672DBE">
              <w:t xml:space="preserve"> Bibliometric study</w:t>
            </w:r>
            <w:r w:rsidR="00DA0AA5">
              <w:t>.</w:t>
            </w:r>
          </w:p>
          <w:p w14:paraId="1DE69DBE" w14:textId="0FBA4005" w:rsidR="00EB2B55" w:rsidRPr="00672DBE" w:rsidRDefault="00EB2B55" w:rsidP="003414BB"/>
        </w:tc>
        <w:tc>
          <w:tcPr>
            <w:tcW w:w="2410" w:type="dxa"/>
            <w:hideMark/>
          </w:tcPr>
          <w:p w14:paraId="333E3BDF" w14:textId="4A627912" w:rsidR="00EB2B55" w:rsidRPr="00672DBE" w:rsidRDefault="00EB2B55" w:rsidP="003414BB">
            <w:r w:rsidRPr="00672DBE">
              <w:t>SRs on sepsis treatment published in the Cochrane Database of Systematic Reviews (CDSR). Removed studies pertaining to sex-specific diseases</w:t>
            </w:r>
            <w:r w:rsidR="00DA0AA5">
              <w:t>,</w:t>
            </w:r>
            <w:r w:rsidRPr="00672DBE">
              <w:t xml:space="preserve"> included quasi</w:t>
            </w:r>
            <w:r w:rsidR="00DA0AA5">
              <w:t>-</w:t>
            </w:r>
            <w:r w:rsidRPr="00672DBE">
              <w:t>randomi</w:t>
            </w:r>
            <w:r w:rsidR="00DA0AA5">
              <w:t>s</w:t>
            </w:r>
            <w:r w:rsidRPr="00672DBE">
              <w:t xml:space="preserve">ed, </w:t>
            </w:r>
            <w:r w:rsidR="00DA0AA5" w:rsidRPr="00672DBE">
              <w:t>randomi</w:t>
            </w:r>
            <w:r w:rsidR="00DA0AA5">
              <w:t>s</w:t>
            </w:r>
            <w:r w:rsidR="00DA0AA5" w:rsidRPr="00672DBE">
              <w:t xml:space="preserve">ed </w:t>
            </w:r>
            <w:r w:rsidRPr="00672DBE">
              <w:t xml:space="preserve">clinical trials (RCTs), </w:t>
            </w:r>
            <w:r w:rsidR="00DA0AA5">
              <w:t xml:space="preserve">&amp; </w:t>
            </w:r>
            <w:r w:rsidRPr="00672DBE">
              <w:t>observational studies. Analysed female</w:t>
            </w:r>
            <w:r w:rsidR="00DA0AA5">
              <w:t xml:space="preserve"> </w:t>
            </w:r>
            <w:r w:rsidRPr="00672DBE">
              <w:t xml:space="preserve">participation-to-prevalence ratio (PPR). </w:t>
            </w:r>
          </w:p>
        </w:tc>
        <w:tc>
          <w:tcPr>
            <w:tcW w:w="2693" w:type="dxa"/>
            <w:hideMark/>
          </w:tcPr>
          <w:p w14:paraId="758B962D" w14:textId="2174094C" w:rsidR="00EB2B55" w:rsidRPr="00672DBE" w:rsidRDefault="00EB2B55" w:rsidP="003414BB">
            <w:r w:rsidRPr="00672DBE">
              <w:t xml:space="preserve">277 studies published 1973 </w:t>
            </w:r>
            <w:r w:rsidR="00DA0AA5">
              <w:t>-</w:t>
            </w:r>
            <w:r w:rsidR="00DA0AA5" w:rsidRPr="00672DBE">
              <w:t xml:space="preserve"> </w:t>
            </w:r>
            <w:r w:rsidRPr="00672DBE">
              <w:t>2017.</w:t>
            </w:r>
          </w:p>
        </w:tc>
        <w:tc>
          <w:tcPr>
            <w:tcW w:w="6321" w:type="dxa"/>
            <w:hideMark/>
          </w:tcPr>
          <w:p w14:paraId="645BE21D" w14:textId="43D8105F" w:rsidR="006C4CE0" w:rsidRDefault="00EB2B55" w:rsidP="003414BB">
            <w:r w:rsidRPr="00672DBE">
              <w:t xml:space="preserve">• </w:t>
            </w:r>
            <w:r w:rsidR="006C4CE0">
              <w:t>Sex data available for</w:t>
            </w:r>
            <w:r w:rsidRPr="00672DBE">
              <w:t xml:space="preserve"> 246 studies</w:t>
            </w:r>
            <w:r w:rsidR="006C4CE0">
              <w:t>;</w:t>
            </w:r>
            <w:r w:rsidRPr="00672DBE">
              <w:t xml:space="preserve"> share of female participation was 40%</w:t>
            </w:r>
            <w:r w:rsidR="006C4CE0">
              <w:t>.</w:t>
            </w:r>
          </w:p>
          <w:p w14:paraId="0C2D8DB0" w14:textId="2C465DF4" w:rsidR="006C4CE0" w:rsidRDefault="00EB2B55" w:rsidP="003414BB">
            <w:r w:rsidRPr="00672DBE">
              <w:t xml:space="preserve">• </w:t>
            </w:r>
            <w:r w:rsidR="006C4CE0">
              <w:t>Women</w:t>
            </w:r>
            <w:r w:rsidRPr="00672DBE">
              <w:t xml:space="preserve"> under-represented relative to their share of the sepsis population (female </w:t>
            </w:r>
            <w:r w:rsidR="006C4CE0">
              <w:t>PPR</w:t>
            </w:r>
            <w:r w:rsidRPr="00672DBE">
              <w:t>: 0.78)</w:t>
            </w:r>
            <w:r w:rsidR="006C4CE0">
              <w:t>.</w:t>
            </w:r>
          </w:p>
          <w:p w14:paraId="070D3716" w14:textId="2CD43291" w:rsidR="00EB2B55" w:rsidRPr="00672DBE" w:rsidRDefault="00EB2B55" w:rsidP="003414BB">
            <w:r w:rsidRPr="00672DBE">
              <w:t>• 57 studies reported sex</w:t>
            </w:r>
            <w:r w:rsidR="006C4CE0">
              <w:t>-</w:t>
            </w:r>
            <w:r w:rsidRPr="00672DBE">
              <w:t>disaggregated results</w:t>
            </w:r>
            <w:r w:rsidR="006C4CE0">
              <w:t>.</w:t>
            </w:r>
          </w:p>
          <w:p w14:paraId="6CE524A7" w14:textId="63A4A2B7" w:rsidR="006C4CE0" w:rsidRDefault="00EB2B55" w:rsidP="003414BB">
            <w:r w:rsidRPr="00672DBE">
              <w:t xml:space="preserve">• In univariate analyses, non-intensive care unit setting </w:t>
            </w:r>
            <w:r w:rsidR="006C4CE0">
              <w:t>&amp;</w:t>
            </w:r>
            <w:r w:rsidR="006C4CE0" w:rsidRPr="00672DBE">
              <w:t xml:space="preserve"> </w:t>
            </w:r>
            <w:r w:rsidRPr="00672DBE">
              <w:t>consideration of other social health determinants were significantly associated with greater female participation (P &lt; 0.001 and P = 0.023, respectively)</w:t>
            </w:r>
            <w:r w:rsidR="006C4CE0">
              <w:t>.</w:t>
            </w:r>
          </w:p>
          <w:p w14:paraId="2106E87D" w14:textId="6C6FD8F3" w:rsidR="00EB2B55" w:rsidRPr="00672DBE" w:rsidRDefault="00EB2B55" w:rsidP="003414BB">
            <w:r w:rsidRPr="00672DBE">
              <w:t>• In regression models, studies published 996 or later were likely to report sex</w:t>
            </w:r>
            <w:r w:rsidR="006C4CE0">
              <w:t>;</w:t>
            </w:r>
            <w:r w:rsidRPr="00672DBE">
              <w:t xml:space="preserve"> RCTs were unlikely to do so (P = 0.019 and P &lt; 0.001, respectively). </w:t>
            </w:r>
          </w:p>
        </w:tc>
      </w:tr>
      <w:tr w:rsidR="00EB2B55" w:rsidRPr="00672DBE" w14:paraId="37F0EE59" w14:textId="77777777" w:rsidTr="00A85BAD">
        <w:trPr>
          <w:trHeight w:val="3756"/>
        </w:trPr>
        <w:tc>
          <w:tcPr>
            <w:tcW w:w="1555" w:type="dxa"/>
            <w:noWrap/>
            <w:hideMark/>
          </w:tcPr>
          <w:p w14:paraId="40BE8755" w14:textId="0E240121" w:rsidR="00EB2B55" w:rsidRPr="00672DBE" w:rsidRDefault="00EB2B55" w:rsidP="003414BB">
            <w:proofErr w:type="spellStart"/>
            <w:r w:rsidRPr="00672DBE">
              <w:lastRenderedPageBreak/>
              <w:t>Barlek</w:t>
            </w:r>
            <w:proofErr w:type="spellEnd"/>
            <w:r w:rsidRPr="00672DBE">
              <w:t xml:space="preserve"> et al.</w:t>
            </w:r>
            <w:r w:rsidR="00951871">
              <w:t>,</w:t>
            </w:r>
            <w:r w:rsidRPr="00672DBE">
              <w:t xml:space="preserve"> 2022</w:t>
            </w:r>
            <w:r w:rsidR="00951871">
              <w:t>, international</w:t>
            </w:r>
          </w:p>
        </w:tc>
        <w:tc>
          <w:tcPr>
            <w:tcW w:w="2409" w:type="dxa"/>
            <w:hideMark/>
          </w:tcPr>
          <w:p w14:paraId="39645A8F" w14:textId="6BC4AA2B" w:rsidR="006B46F9" w:rsidRDefault="00EB2B55" w:rsidP="003414BB">
            <w:r w:rsidRPr="00672DBE">
              <w:t xml:space="preserve">To identify the prevalence of sex inclusiveness of participants in human clinical trials after the passage of National Institutes of Health </w:t>
            </w:r>
            <w:r w:rsidR="00D4078E">
              <w:t xml:space="preserve">(NIH) </w:t>
            </w:r>
            <w:r w:rsidR="006B46F9">
              <w:t>&amp;</w:t>
            </w:r>
            <w:r w:rsidR="006B46F9" w:rsidRPr="00672DBE">
              <w:t xml:space="preserve"> </w:t>
            </w:r>
            <w:r w:rsidRPr="00672DBE">
              <w:t xml:space="preserve">United States Congress policies in 2015 </w:t>
            </w:r>
            <w:r w:rsidR="006B46F9">
              <w:t>&amp;</w:t>
            </w:r>
            <w:r w:rsidR="006B46F9" w:rsidRPr="00672DBE">
              <w:t xml:space="preserve"> </w:t>
            </w:r>
            <w:r w:rsidRPr="00672DBE">
              <w:t>2016 to increase female enrolment in clinical research</w:t>
            </w:r>
            <w:r w:rsidR="006B46F9">
              <w:t>.</w:t>
            </w:r>
          </w:p>
          <w:p w14:paraId="685AAF47" w14:textId="72263D0F" w:rsidR="00EB2B55" w:rsidRPr="00051B8B" w:rsidRDefault="00EB2B55" w:rsidP="00AD6218">
            <w:pPr>
              <w:autoSpaceDE w:val="0"/>
              <w:autoSpaceDN w:val="0"/>
              <w:adjustRightInd w:val="0"/>
              <w:rPr>
                <w:rFonts w:cstheme="minorHAnsi"/>
              </w:rPr>
            </w:pPr>
            <w:r w:rsidRPr="00AD6218">
              <w:rPr>
                <w:rFonts w:cstheme="minorHAnsi"/>
              </w:rPr>
              <w:t>Observational analysis</w:t>
            </w:r>
            <w:r w:rsidR="00624A42" w:rsidRPr="00AD6218">
              <w:rPr>
                <w:rFonts w:cstheme="minorHAnsi"/>
              </w:rPr>
              <w:t xml:space="preserve"> of data from registered clinical trials</w:t>
            </w:r>
            <w:r w:rsidR="00624A42">
              <w:rPr>
                <w:rFonts w:cstheme="minorHAnsi"/>
              </w:rPr>
              <w:t xml:space="preserve"> </w:t>
            </w:r>
            <w:r w:rsidR="00624A42" w:rsidRPr="00AD6218">
              <w:rPr>
                <w:rFonts w:cstheme="minorHAnsi"/>
              </w:rPr>
              <w:t xml:space="preserve">published in </w:t>
            </w:r>
            <w:r w:rsidR="00624A42">
              <w:rPr>
                <w:rFonts w:cstheme="minorHAnsi"/>
              </w:rPr>
              <w:t>3</w:t>
            </w:r>
            <w:r w:rsidR="00624A42" w:rsidRPr="00AD6218">
              <w:rPr>
                <w:rFonts w:cstheme="minorHAnsi"/>
              </w:rPr>
              <w:t xml:space="preserve"> high-impact biomedical journals.</w:t>
            </w:r>
          </w:p>
        </w:tc>
        <w:tc>
          <w:tcPr>
            <w:tcW w:w="2410" w:type="dxa"/>
            <w:hideMark/>
          </w:tcPr>
          <w:p w14:paraId="7A032A1B" w14:textId="396DF108" w:rsidR="00EB2B55" w:rsidRPr="00AD6218" w:rsidRDefault="00E739A4" w:rsidP="00AD6218">
            <w:pPr>
              <w:autoSpaceDE w:val="0"/>
              <w:autoSpaceDN w:val="0"/>
              <w:adjustRightInd w:val="0"/>
              <w:rPr>
                <w:rFonts w:cstheme="minorHAnsi"/>
              </w:rPr>
            </w:pPr>
            <w:r w:rsidRPr="00AD6218">
              <w:rPr>
                <w:rFonts w:cstheme="minorHAnsi"/>
              </w:rPr>
              <w:t>All original manuscripts involving human clinical research that allowed for enrolment of eligible female &amp; male participants published in the</w:t>
            </w:r>
            <w:r w:rsidR="00EB2B55" w:rsidRPr="00051B8B">
              <w:rPr>
                <w:rFonts w:cstheme="minorHAnsi"/>
              </w:rPr>
              <w:t xml:space="preserve"> </w:t>
            </w:r>
            <w:r w:rsidR="00EB2B55" w:rsidRPr="00295724">
              <w:rPr>
                <w:rFonts w:cstheme="minorHAnsi"/>
              </w:rPr>
              <w:t>Journal of the America</w:t>
            </w:r>
            <w:r w:rsidR="00EB2B55" w:rsidRPr="0017388B">
              <w:rPr>
                <w:rFonts w:cstheme="minorHAnsi"/>
              </w:rPr>
              <w:t>n Medical</w:t>
            </w:r>
            <w:r w:rsidRPr="00AD6218">
              <w:rPr>
                <w:rFonts w:cstheme="minorHAnsi"/>
              </w:rPr>
              <w:t xml:space="preserve"> </w:t>
            </w:r>
            <w:r w:rsidR="00EB2B55" w:rsidRPr="00AD6218">
              <w:rPr>
                <w:rFonts w:cstheme="minorHAnsi"/>
              </w:rPr>
              <w:t>Association (JAMA), The Lancet, The New England Journal</w:t>
            </w:r>
            <w:r w:rsidRPr="00AD6218">
              <w:rPr>
                <w:rFonts w:cstheme="minorHAnsi"/>
              </w:rPr>
              <w:t xml:space="preserve"> </w:t>
            </w:r>
            <w:r w:rsidR="00EB2B55" w:rsidRPr="00AD6218">
              <w:rPr>
                <w:rFonts w:cstheme="minorHAnsi"/>
              </w:rPr>
              <w:t>of Medicine</w:t>
            </w:r>
            <w:r w:rsidRPr="00AD6218">
              <w:rPr>
                <w:rFonts w:cstheme="minorHAnsi"/>
              </w:rPr>
              <w:t>,</w:t>
            </w:r>
            <w:r w:rsidR="00EB2B55" w:rsidRPr="00AD6218">
              <w:rPr>
                <w:rFonts w:cstheme="minorHAnsi"/>
              </w:rPr>
              <w:t xml:space="preserve"> </w:t>
            </w:r>
            <w:r w:rsidRPr="00AD6218">
              <w:rPr>
                <w:rFonts w:cstheme="minorHAnsi"/>
              </w:rPr>
              <w:t xml:space="preserve">1 </w:t>
            </w:r>
            <w:r w:rsidR="00EB2B55" w:rsidRPr="00AD6218">
              <w:rPr>
                <w:rFonts w:cstheme="minorHAnsi"/>
              </w:rPr>
              <w:t xml:space="preserve">Jan 2015 </w:t>
            </w:r>
            <w:r w:rsidRPr="00AD6218">
              <w:rPr>
                <w:rFonts w:cstheme="minorHAnsi"/>
              </w:rPr>
              <w:t xml:space="preserve">– 31 </w:t>
            </w:r>
            <w:r w:rsidR="00EB2B55" w:rsidRPr="00AD6218">
              <w:rPr>
                <w:rFonts w:cstheme="minorHAnsi"/>
              </w:rPr>
              <w:t>Dec 2019</w:t>
            </w:r>
            <w:r w:rsidRPr="00AD6218">
              <w:rPr>
                <w:rFonts w:cstheme="minorHAnsi"/>
              </w:rPr>
              <w:t xml:space="preserve">. </w:t>
            </w:r>
          </w:p>
        </w:tc>
        <w:tc>
          <w:tcPr>
            <w:tcW w:w="2693" w:type="dxa"/>
            <w:hideMark/>
          </w:tcPr>
          <w:p w14:paraId="66733C8D" w14:textId="49C493D3" w:rsidR="00EB2B55" w:rsidRPr="00672DBE" w:rsidRDefault="00262A35" w:rsidP="003414BB">
            <w:r w:rsidRPr="00672DBE">
              <w:t>1442</w:t>
            </w:r>
            <w:r w:rsidR="00EB2B55" w:rsidRPr="00672DBE">
              <w:t xml:space="preserve"> manuscripts with 4,765,783 human subjects.</w:t>
            </w:r>
          </w:p>
        </w:tc>
        <w:tc>
          <w:tcPr>
            <w:tcW w:w="6321" w:type="dxa"/>
            <w:hideMark/>
          </w:tcPr>
          <w:p w14:paraId="71BE7418" w14:textId="2C5E02C3" w:rsidR="00D4078E" w:rsidRPr="00051B8B" w:rsidRDefault="00D4078E" w:rsidP="003414BB">
            <w:pPr>
              <w:rPr>
                <w:rFonts w:cstheme="minorHAnsi"/>
              </w:rPr>
            </w:pPr>
            <w:r w:rsidRPr="00051B8B">
              <w:rPr>
                <w:rFonts w:cstheme="minorHAnsi"/>
              </w:rPr>
              <w:t xml:space="preserve">• </w:t>
            </w:r>
            <w:r w:rsidRPr="00AD6218">
              <w:rPr>
                <w:rFonts w:cstheme="minorHAnsi"/>
              </w:rPr>
              <w:t>Sex bias remains prevalent in human clinical research trials, despite improvements in NIH-funded trials.</w:t>
            </w:r>
          </w:p>
          <w:p w14:paraId="15DA7951" w14:textId="676F367B" w:rsidR="00D4078E" w:rsidRDefault="00EB2B55" w:rsidP="003414BB">
            <w:r w:rsidRPr="00672DBE">
              <w:t xml:space="preserve">• More </w:t>
            </w:r>
            <w:r w:rsidR="00D4078E" w:rsidRPr="00672DBE">
              <w:t>m</w:t>
            </w:r>
            <w:r w:rsidR="00D4078E">
              <w:t>en</w:t>
            </w:r>
            <w:r w:rsidR="00D4078E" w:rsidRPr="00672DBE">
              <w:t xml:space="preserve"> </w:t>
            </w:r>
            <w:r w:rsidRPr="00672DBE">
              <w:t xml:space="preserve">(56%) than </w:t>
            </w:r>
            <w:r w:rsidR="00D4078E">
              <w:t>women</w:t>
            </w:r>
            <w:r w:rsidRPr="00672DBE">
              <w:t xml:space="preserve"> (44%) included in all </w:t>
            </w:r>
            <w:r w:rsidR="00D4078E">
              <w:t>3</w:t>
            </w:r>
            <w:r w:rsidR="00D4078E" w:rsidRPr="00672DBE">
              <w:t xml:space="preserve"> </w:t>
            </w:r>
            <w:r w:rsidRPr="00672DBE">
              <w:t>journals (P &lt; 0.0001)</w:t>
            </w:r>
            <w:r w:rsidR="00D4078E">
              <w:t>.</w:t>
            </w:r>
          </w:p>
          <w:p w14:paraId="6DE6D90B" w14:textId="4424B384" w:rsidR="00EB2B55" w:rsidRPr="00672DBE" w:rsidRDefault="00EB2B55" w:rsidP="003414BB">
            <w:r w:rsidRPr="00672DBE">
              <w:t xml:space="preserve">• Sex matching more than 80% was found in 24.6% of publications. </w:t>
            </w:r>
          </w:p>
          <w:p w14:paraId="516E6ABC" w14:textId="1AEEFF4B" w:rsidR="00D7308C" w:rsidRDefault="00D7308C" w:rsidP="003414BB">
            <w:r w:rsidRPr="00672DBE">
              <w:t xml:space="preserve">• </w:t>
            </w:r>
            <w:r>
              <w:t>In</w:t>
            </w:r>
            <w:r w:rsidR="00EB2B55" w:rsidRPr="00672DBE">
              <w:t xml:space="preserve"> studies funded by industry</w:t>
            </w:r>
            <w:r>
              <w:t xml:space="preserve"> (43.7%)</w:t>
            </w:r>
            <w:r w:rsidR="00EB2B55" w:rsidRPr="00672DBE">
              <w:t xml:space="preserve">, more </w:t>
            </w:r>
            <w:r w:rsidRPr="00672DBE">
              <w:t>m</w:t>
            </w:r>
            <w:r>
              <w:t>en</w:t>
            </w:r>
            <w:r w:rsidRPr="00672DBE">
              <w:t xml:space="preserve"> </w:t>
            </w:r>
            <w:r w:rsidR="00EB2B55" w:rsidRPr="00672DBE">
              <w:t xml:space="preserve">than </w:t>
            </w:r>
            <w:r>
              <w:t>women</w:t>
            </w:r>
            <w:r w:rsidRPr="00672DBE">
              <w:t xml:space="preserve"> </w:t>
            </w:r>
            <w:r w:rsidR="00EB2B55" w:rsidRPr="00672DBE">
              <w:t>(60.8% vs 39.2%, P &lt; 0.0001) were enrolled</w:t>
            </w:r>
            <w:r>
              <w:t>.</w:t>
            </w:r>
          </w:p>
          <w:p w14:paraId="78C042F8" w14:textId="21374509" w:rsidR="00D7308C" w:rsidRDefault="00EB2B55" w:rsidP="003414BB">
            <w:r w:rsidRPr="00672DBE">
              <w:t xml:space="preserve">• NIH funded 10.2% of studies enrolling significantly more </w:t>
            </w:r>
            <w:r w:rsidR="00D7308C">
              <w:t>women</w:t>
            </w:r>
            <w:r w:rsidR="00D7308C" w:rsidRPr="00672DBE">
              <w:t xml:space="preserve"> </w:t>
            </w:r>
            <w:r w:rsidRPr="00672DBE">
              <w:t xml:space="preserve">than </w:t>
            </w:r>
            <w:r w:rsidR="00D7308C" w:rsidRPr="00672DBE">
              <w:t>m</w:t>
            </w:r>
            <w:r w:rsidR="00D7308C">
              <w:t>en</w:t>
            </w:r>
            <w:r w:rsidR="00D7308C" w:rsidRPr="00672DBE">
              <w:t xml:space="preserve"> </w:t>
            </w:r>
            <w:r w:rsidRPr="00672DBE">
              <w:t>(52.7% vs 47.3%, P &lt; 0.0001)</w:t>
            </w:r>
            <w:r w:rsidR="00D7308C">
              <w:t>.</w:t>
            </w:r>
          </w:p>
          <w:p w14:paraId="6B7CAA06" w14:textId="7CC9350A" w:rsidR="00D7308C" w:rsidRDefault="00EB2B55" w:rsidP="003414BB">
            <w:r w:rsidRPr="00672DBE">
              <w:t xml:space="preserve">• North America </w:t>
            </w:r>
            <w:r w:rsidR="00D7308C">
              <w:t>&amp;</w:t>
            </w:r>
            <w:r w:rsidR="00D7308C" w:rsidRPr="00672DBE">
              <w:t xml:space="preserve"> </w:t>
            </w:r>
            <w:r w:rsidRPr="00672DBE">
              <w:t xml:space="preserve">Europe contributed 82.6% of the studies enrolling significantly more </w:t>
            </w:r>
            <w:r w:rsidR="00D7308C" w:rsidRPr="00672DBE">
              <w:t>m</w:t>
            </w:r>
            <w:r w:rsidR="00D7308C">
              <w:t>en</w:t>
            </w:r>
            <w:r w:rsidR="00D7308C" w:rsidRPr="00672DBE">
              <w:t xml:space="preserve"> </w:t>
            </w:r>
            <w:r w:rsidRPr="00672DBE">
              <w:t xml:space="preserve">than </w:t>
            </w:r>
            <w:r w:rsidR="00D7308C">
              <w:t>women.</w:t>
            </w:r>
          </w:p>
          <w:p w14:paraId="19B6132D" w14:textId="01FE5143" w:rsidR="00D7308C" w:rsidRDefault="00EB2B55" w:rsidP="003414BB">
            <w:r w:rsidRPr="00672DBE">
              <w:t xml:space="preserve"> • The US contributed most studies (36.1%) enrolling significantly more </w:t>
            </w:r>
            <w:r w:rsidR="00D7308C" w:rsidRPr="00672DBE">
              <w:t>m</w:t>
            </w:r>
            <w:r w:rsidR="00D7308C">
              <w:t>en</w:t>
            </w:r>
            <w:r w:rsidR="00D7308C" w:rsidRPr="00672DBE">
              <w:t xml:space="preserve"> </w:t>
            </w:r>
            <w:r w:rsidRPr="00672DBE">
              <w:t xml:space="preserve">than </w:t>
            </w:r>
            <w:r w:rsidR="00D7308C">
              <w:t>women</w:t>
            </w:r>
            <w:r w:rsidR="00D7308C" w:rsidRPr="00672DBE">
              <w:t xml:space="preserve"> </w:t>
            </w:r>
            <w:r w:rsidRPr="00672DBE">
              <w:t>(55.5% vs 45.5%, P &lt; 0.0001)</w:t>
            </w:r>
            <w:r w:rsidR="00D7308C">
              <w:t>.</w:t>
            </w:r>
          </w:p>
          <w:p w14:paraId="2E76A463" w14:textId="6BE0E50D" w:rsidR="00D7308C" w:rsidRDefault="00EB2B55" w:rsidP="003414BB">
            <w:r w:rsidRPr="00672DBE">
              <w:t xml:space="preserve">• </w:t>
            </w:r>
            <w:r w:rsidR="00D7308C">
              <w:t>Of medical specialties, c</w:t>
            </w:r>
            <w:r w:rsidR="00D7308C" w:rsidRPr="00672DBE">
              <w:t xml:space="preserve">ardiovascular </w:t>
            </w:r>
            <w:r w:rsidRPr="00672DBE">
              <w:t xml:space="preserve">disease </w:t>
            </w:r>
            <w:r w:rsidR="00D7308C">
              <w:t>had</w:t>
            </w:r>
            <w:r w:rsidRPr="00672DBE">
              <w:t xml:space="preserve"> most manuscripts (19%) enrolling significantly more </w:t>
            </w:r>
            <w:r w:rsidR="00D7308C" w:rsidRPr="00672DBE">
              <w:t>m</w:t>
            </w:r>
            <w:r w:rsidR="00D7308C">
              <w:t>en</w:t>
            </w:r>
            <w:r w:rsidR="00D7308C" w:rsidRPr="00672DBE">
              <w:t xml:space="preserve"> </w:t>
            </w:r>
            <w:r w:rsidRPr="00672DBE">
              <w:t xml:space="preserve">than </w:t>
            </w:r>
            <w:r w:rsidR="00D7308C">
              <w:t>women</w:t>
            </w:r>
            <w:r w:rsidRPr="00672DBE">
              <w:t xml:space="preserve"> (64.9% vs 35.1%, P &lt; 0.0001)</w:t>
            </w:r>
            <w:r w:rsidR="00D7308C">
              <w:t>.</w:t>
            </w:r>
          </w:p>
          <w:p w14:paraId="4C216372" w14:textId="3C7D2BE2" w:rsidR="00EB2B55" w:rsidRPr="00672DBE" w:rsidRDefault="00EB2B55" w:rsidP="003414BB"/>
        </w:tc>
      </w:tr>
      <w:tr w:rsidR="00EB2B55" w:rsidRPr="00672DBE" w14:paraId="119C5D79" w14:textId="77777777" w:rsidTr="00A85BAD">
        <w:trPr>
          <w:trHeight w:val="3900"/>
        </w:trPr>
        <w:tc>
          <w:tcPr>
            <w:tcW w:w="1555" w:type="dxa"/>
            <w:noWrap/>
            <w:hideMark/>
          </w:tcPr>
          <w:p w14:paraId="30F48F52" w14:textId="1EA48DEB" w:rsidR="00EB2B55" w:rsidRPr="00672DBE" w:rsidRDefault="00EB2B55" w:rsidP="003414BB">
            <w:r w:rsidRPr="00672DBE">
              <w:t>Day et al., 2019</w:t>
            </w:r>
            <w:r w:rsidR="00951871">
              <w:t>, international</w:t>
            </w:r>
          </w:p>
        </w:tc>
        <w:tc>
          <w:tcPr>
            <w:tcW w:w="2409" w:type="dxa"/>
            <w:hideMark/>
          </w:tcPr>
          <w:p w14:paraId="4CD8329F" w14:textId="414865D5" w:rsidR="00A74CA0" w:rsidRDefault="00EB2B55" w:rsidP="00A74CA0">
            <w:r w:rsidRPr="00672DBE">
              <w:t>To</w:t>
            </w:r>
            <w:r w:rsidR="00A74CA0">
              <w:t xml:space="preserve"> identify the extent to which sex &amp; gender impact research findings by </w:t>
            </w:r>
            <w:r w:rsidR="00A74CA0" w:rsidRPr="00672DBE">
              <w:t>examin</w:t>
            </w:r>
            <w:r w:rsidR="00A74CA0">
              <w:t>ing</w:t>
            </w:r>
            <w:r w:rsidR="00A74CA0" w:rsidRPr="00672DBE">
              <w:t xml:space="preserve"> </w:t>
            </w:r>
            <w:r w:rsidRPr="00672DBE">
              <w:t xml:space="preserve">original investigations on diabetes for the integration of sex </w:t>
            </w:r>
            <w:r w:rsidR="00A74CA0">
              <w:t>&amp;</w:t>
            </w:r>
            <w:r w:rsidR="00A74CA0" w:rsidRPr="00672DBE">
              <w:t xml:space="preserve"> </w:t>
            </w:r>
            <w:r w:rsidRPr="00672DBE">
              <w:t>gender in study reporting</w:t>
            </w:r>
            <w:r w:rsidR="00A74CA0">
              <w:t>.</w:t>
            </w:r>
          </w:p>
          <w:p w14:paraId="312AFF1A" w14:textId="375ED9D9" w:rsidR="00EB2B55" w:rsidRPr="00672DBE" w:rsidRDefault="00EB2B55" w:rsidP="00051B8B">
            <w:r w:rsidRPr="00672DBE">
              <w:t xml:space="preserve">Literature review </w:t>
            </w:r>
          </w:p>
        </w:tc>
        <w:tc>
          <w:tcPr>
            <w:tcW w:w="2410" w:type="dxa"/>
            <w:hideMark/>
          </w:tcPr>
          <w:p w14:paraId="4C79078A" w14:textId="75145673" w:rsidR="00A74CA0" w:rsidRDefault="00A74CA0" w:rsidP="003414BB">
            <w:r>
              <w:t xml:space="preserve">Sought </w:t>
            </w:r>
            <w:r w:rsidR="00EB2B55" w:rsidRPr="00672DBE">
              <w:t xml:space="preserve">original investigations on diabetes published </w:t>
            </w:r>
            <w:r>
              <w:t>1</w:t>
            </w:r>
            <w:r w:rsidRPr="00672DBE">
              <w:t xml:space="preserve"> </w:t>
            </w:r>
            <w:r w:rsidR="00EB2B55" w:rsidRPr="00672DBE">
              <w:t>Jan</w:t>
            </w:r>
            <w:r>
              <w:t xml:space="preserve"> - 31</w:t>
            </w:r>
            <w:r w:rsidR="00EB2B55" w:rsidRPr="00672DBE">
              <w:t xml:space="preserve"> Dec 2015</w:t>
            </w:r>
            <w:r>
              <w:t xml:space="preserve"> </w:t>
            </w:r>
            <w:r w:rsidR="00EB2B55" w:rsidRPr="00672DBE">
              <w:t xml:space="preserve">in the top </w:t>
            </w:r>
            <w:r>
              <w:t>5</w:t>
            </w:r>
            <w:r w:rsidRPr="00672DBE">
              <w:t xml:space="preserve"> </w:t>
            </w:r>
            <w:r w:rsidR="00EB2B55" w:rsidRPr="00672DBE">
              <w:t xml:space="preserve">general medicine journals </w:t>
            </w:r>
            <w:r>
              <w:t>&amp;</w:t>
            </w:r>
            <w:r w:rsidRPr="00672DBE">
              <w:t xml:space="preserve"> </w:t>
            </w:r>
            <w:r w:rsidR="00EB2B55" w:rsidRPr="00672DBE">
              <w:t xml:space="preserve">top </w:t>
            </w:r>
            <w:r>
              <w:t>5</w:t>
            </w:r>
            <w:r w:rsidRPr="00672DBE">
              <w:t xml:space="preserve"> </w:t>
            </w:r>
            <w:r w:rsidR="00EB2B55" w:rsidRPr="00672DBE">
              <w:t>diabetes-specific journals (2015 impact factor)</w:t>
            </w:r>
            <w:r>
              <w:t>.</w:t>
            </w:r>
          </w:p>
          <w:p w14:paraId="598958C4" w14:textId="170B01E3" w:rsidR="00EB2B55" w:rsidRPr="00672DBE" w:rsidRDefault="00EB2B55" w:rsidP="003414BB">
            <w:r w:rsidRPr="00672DBE">
              <w:t xml:space="preserve">Data extracted on sex </w:t>
            </w:r>
            <w:r w:rsidR="00A74CA0">
              <w:t>&amp;</w:t>
            </w:r>
            <w:r w:rsidR="00A74CA0" w:rsidRPr="00672DBE">
              <w:t xml:space="preserve"> </w:t>
            </w:r>
            <w:r w:rsidRPr="00672DBE">
              <w:t xml:space="preserve">gender integration </w:t>
            </w:r>
            <w:r w:rsidR="00A74CA0">
              <w:t>in</w:t>
            </w:r>
            <w:r w:rsidRPr="00672DBE">
              <w:t xml:space="preserve"> title, abstract, introduction, methods, results, discussion, </w:t>
            </w:r>
            <w:r w:rsidR="00A74CA0">
              <w:t>&amp;</w:t>
            </w:r>
            <w:r w:rsidR="00A74CA0" w:rsidRPr="00672DBE">
              <w:t xml:space="preserve"> </w:t>
            </w:r>
            <w:r w:rsidRPr="00672DBE">
              <w:t>limitations.</w:t>
            </w:r>
          </w:p>
        </w:tc>
        <w:tc>
          <w:tcPr>
            <w:tcW w:w="2693" w:type="dxa"/>
            <w:hideMark/>
          </w:tcPr>
          <w:p w14:paraId="051F4C9F" w14:textId="11FCE9F8" w:rsidR="00EB2B55" w:rsidRPr="00672DBE" w:rsidRDefault="00EB2B55" w:rsidP="003414BB">
            <w:r w:rsidRPr="00672DBE">
              <w:t xml:space="preserve">155 </w:t>
            </w:r>
            <w:r w:rsidR="00A74CA0">
              <w:t>papers reporting</w:t>
            </w:r>
            <w:r w:rsidRPr="00672DBE">
              <w:t xml:space="preserve"> 115 </w:t>
            </w:r>
            <w:r w:rsidR="00A74CA0" w:rsidRPr="00672DBE">
              <w:t>randomi</w:t>
            </w:r>
            <w:r w:rsidR="00A74CA0">
              <w:t>s</w:t>
            </w:r>
            <w:r w:rsidR="00A74CA0" w:rsidRPr="00672DBE">
              <w:t xml:space="preserve">ed </w:t>
            </w:r>
            <w:r w:rsidRPr="00672DBE">
              <w:t xml:space="preserve">controlled trials (RCTs) </w:t>
            </w:r>
            <w:r w:rsidR="00A74CA0">
              <w:t>&amp;</w:t>
            </w:r>
            <w:r w:rsidR="00A74CA0" w:rsidRPr="00672DBE">
              <w:t xml:space="preserve"> </w:t>
            </w:r>
            <w:r w:rsidRPr="00672DBE">
              <w:t>40 observational studies.</w:t>
            </w:r>
          </w:p>
        </w:tc>
        <w:tc>
          <w:tcPr>
            <w:tcW w:w="6321" w:type="dxa"/>
            <w:hideMark/>
          </w:tcPr>
          <w:p w14:paraId="1AE7E2BA" w14:textId="50418E79" w:rsidR="005677CE" w:rsidRPr="00051B8B" w:rsidRDefault="005677CE" w:rsidP="003414BB">
            <w:pPr>
              <w:rPr>
                <w:rFonts w:cstheme="minorHAnsi"/>
              </w:rPr>
            </w:pPr>
            <w:r w:rsidRPr="00051B8B">
              <w:rPr>
                <w:rFonts w:cstheme="minorHAnsi"/>
              </w:rPr>
              <w:t xml:space="preserve">• </w:t>
            </w:r>
            <w:r w:rsidRPr="00AD6218">
              <w:rPr>
                <w:rFonts w:cstheme="minorHAnsi"/>
                <w:color w:val="131413"/>
              </w:rPr>
              <w:t xml:space="preserve">Sex </w:t>
            </w:r>
            <w:r>
              <w:rPr>
                <w:rFonts w:cstheme="minorHAnsi"/>
                <w:color w:val="131413"/>
              </w:rPr>
              <w:t>&amp;</w:t>
            </w:r>
            <w:r w:rsidRPr="00AD6218">
              <w:rPr>
                <w:rFonts w:cstheme="minorHAnsi"/>
                <w:color w:val="131413"/>
              </w:rPr>
              <w:t xml:space="preserve"> gender are poorly integrated in current diabetes original investigations.</w:t>
            </w:r>
          </w:p>
          <w:p w14:paraId="7249997A" w14:textId="4093C8D4" w:rsidR="005677CE" w:rsidRDefault="00EB2B55" w:rsidP="003414BB">
            <w:r w:rsidRPr="00672DBE">
              <w:t xml:space="preserve">• </w:t>
            </w:r>
            <w:r w:rsidR="005677CE">
              <w:t>S</w:t>
            </w:r>
            <w:r w:rsidRPr="00672DBE">
              <w:t xml:space="preserve">ex </w:t>
            </w:r>
            <w:r w:rsidR="005677CE">
              <w:t>&amp;</w:t>
            </w:r>
            <w:r w:rsidR="005677CE" w:rsidRPr="00672DBE">
              <w:t xml:space="preserve"> </w:t>
            </w:r>
            <w:r w:rsidRPr="00672DBE">
              <w:t>gender were rarely incorporated in article titles, abstracts</w:t>
            </w:r>
            <w:r w:rsidR="005677CE">
              <w:t>,</w:t>
            </w:r>
            <w:r w:rsidRPr="00672DBE">
              <w:t xml:space="preserve"> </w:t>
            </w:r>
            <w:r w:rsidR="005677CE">
              <w:t>&amp;</w:t>
            </w:r>
            <w:r w:rsidR="005677CE" w:rsidRPr="00672DBE">
              <w:t xml:space="preserve"> </w:t>
            </w:r>
            <w:r w:rsidRPr="00672DBE">
              <w:t>introductions. Most methods sections did not describe plans for sex or gender analyses</w:t>
            </w:r>
            <w:r w:rsidR="005677CE">
              <w:t>.</w:t>
            </w:r>
          </w:p>
          <w:p w14:paraId="1AB68AA0" w14:textId="7773C120" w:rsidR="005677CE" w:rsidRDefault="005677CE" w:rsidP="003414BB">
            <w:r w:rsidRPr="00672DBE">
              <w:t xml:space="preserve">• </w:t>
            </w:r>
            <w:r>
              <w:t>M</w:t>
            </w:r>
            <w:r w:rsidR="00EB2B55" w:rsidRPr="00672DBE">
              <w:t>ost articles (151, 97.4%) reported sex and/or gender of participants</w:t>
            </w:r>
            <w:r>
              <w:t>;</w:t>
            </w:r>
            <w:r w:rsidRPr="00672DBE">
              <w:t xml:space="preserve"> </w:t>
            </w:r>
            <w:r w:rsidR="00EB2B55" w:rsidRPr="00672DBE">
              <w:t>only 10 (6.5%) reported all study outcomes separately by sex or gender</w:t>
            </w:r>
            <w:r>
              <w:t>.</w:t>
            </w:r>
          </w:p>
          <w:p w14:paraId="1901370E" w14:textId="50843D06" w:rsidR="005677CE" w:rsidRDefault="00EB2B55" w:rsidP="003414BB">
            <w:r w:rsidRPr="00672DBE">
              <w:t>• Discussion of sex-related issues was incorporated into 21 (13.5%)</w:t>
            </w:r>
            <w:r w:rsidR="005677CE">
              <w:t xml:space="preserve"> reports.</w:t>
            </w:r>
          </w:p>
          <w:p w14:paraId="35F46547" w14:textId="618B23B5" w:rsidR="00EB2B55" w:rsidRPr="00672DBE" w:rsidRDefault="00EB2B55" w:rsidP="003414BB">
            <w:r w:rsidRPr="00672DBE">
              <w:t>• 1</w:t>
            </w:r>
            <w:r w:rsidR="005677CE">
              <w:t xml:space="preserve"> paper</w:t>
            </w:r>
            <w:r w:rsidRPr="00672DBE">
              <w:t xml:space="preserve"> (0.6%) discussed gender-related issues</w:t>
            </w:r>
            <w:r w:rsidR="005677CE">
              <w:t>.</w:t>
            </w:r>
          </w:p>
          <w:p w14:paraId="7BDE136E" w14:textId="31E5C067" w:rsidR="00EB2B55" w:rsidRPr="00672DBE" w:rsidRDefault="00EB2B55" w:rsidP="003414BB">
            <w:r w:rsidRPr="00672DBE">
              <w:t xml:space="preserve">• </w:t>
            </w:r>
            <w:r w:rsidR="005677CE">
              <w:t>Reports</w:t>
            </w:r>
            <w:r w:rsidR="005677CE" w:rsidRPr="00672DBE">
              <w:t xml:space="preserve"> </w:t>
            </w:r>
            <w:r w:rsidRPr="00672DBE">
              <w:t xml:space="preserve">of RCTs performed more poorly on multiple sex or gender assessment metrics compared to observational studies. </w:t>
            </w:r>
          </w:p>
        </w:tc>
      </w:tr>
      <w:tr w:rsidR="00EB2B55" w:rsidRPr="00672DBE" w14:paraId="064A101A" w14:textId="77777777" w:rsidTr="00A85BAD">
        <w:trPr>
          <w:trHeight w:val="2988"/>
        </w:trPr>
        <w:tc>
          <w:tcPr>
            <w:tcW w:w="1555" w:type="dxa"/>
            <w:hideMark/>
          </w:tcPr>
          <w:p w14:paraId="36BA9DD6" w14:textId="77F8A4F3" w:rsidR="00EB2B55" w:rsidRPr="00672DBE" w:rsidRDefault="00EB2B55" w:rsidP="003414BB">
            <w:r w:rsidRPr="00672DBE">
              <w:lastRenderedPageBreak/>
              <w:t>Hallam et al., 2023</w:t>
            </w:r>
            <w:r w:rsidR="00951871">
              <w:t>,</w:t>
            </w:r>
            <w:r w:rsidRPr="00672DBE">
              <w:t xml:space="preserve"> Australia</w:t>
            </w:r>
          </w:p>
        </w:tc>
        <w:tc>
          <w:tcPr>
            <w:tcW w:w="2409" w:type="dxa"/>
            <w:hideMark/>
          </w:tcPr>
          <w:p w14:paraId="45EF921C" w14:textId="0AB0681C" w:rsidR="00AA372F" w:rsidRDefault="00EB2B55" w:rsidP="003414BB">
            <w:r w:rsidRPr="00672DBE">
              <w:t xml:space="preserve">To determine how sex </w:t>
            </w:r>
            <w:r w:rsidR="00AE4265">
              <w:t>&amp;</w:t>
            </w:r>
            <w:r w:rsidR="00AE4265" w:rsidRPr="00672DBE">
              <w:t xml:space="preserve"> </w:t>
            </w:r>
            <w:r w:rsidRPr="00672DBE">
              <w:t>gender are being incorporated into Australian medical research publications</w:t>
            </w:r>
            <w:r w:rsidR="00AA372F">
              <w:t>,</w:t>
            </w:r>
            <w:r w:rsidRPr="00672DBE">
              <w:t xml:space="preserve"> </w:t>
            </w:r>
            <w:r w:rsidR="00AA372F">
              <w:t>&amp;</w:t>
            </w:r>
            <w:r w:rsidR="00AA372F" w:rsidRPr="00672DBE">
              <w:t xml:space="preserve"> </w:t>
            </w:r>
            <w:r w:rsidRPr="00672DBE">
              <w:t>if this is influenced by journals endorsing the International Committee of Medical Journal Editors (ICMJE) guidelines, contain</w:t>
            </w:r>
            <w:r w:rsidR="00AA372F">
              <w:t>ing</w:t>
            </w:r>
            <w:r w:rsidRPr="00672DBE">
              <w:t xml:space="preserve"> criteria for sex </w:t>
            </w:r>
            <w:r w:rsidR="00AA372F">
              <w:t>&amp;</w:t>
            </w:r>
            <w:r w:rsidR="00AA372F" w:rsidRPr="00672DBE">
              <w:t xml:space="preserve"> </w:t>
            </w:r>
            <w:r w:rsidRPr="00672DBE">
              <w:t>gender reporting</w:t>
            </w:r>
            <w:r w:rsidR="00AA372F">
              <w:t>.</w:t>
            </w:r>
          </w:p>
          <w:p w14:paraId="3045DB08" w14:textId="2C96A94E" w:rsidR="00EB2B55" w:rsidRPr="00672DBE" w:rsidRDefault="00EB2B55" w:rsidP="003414BB">
            <w:r w:rsidRPr="00672DBE">
              <w:t>Literature review</w:t>
            </w:r>
            <w:r w:rsidR="00AA372F">
              <w:t>.</w:t>
            </w:r>
          </w:p>
        </w:tc>
        <w:tc>
          <w:tcPr>
            <w:tcW w:w="2410" w:type="dxa"/>
            <w:hideMark/>
          </w:tcPr>
          <w:p w14:paraId="0126ADFA" w14:textId="77777777" w:rsidR="00A277A3" w:rsidRDefault="00EB2B55" w:rsidP="00051B8B">
            <w:r w:rsidRPr="00A277A3">
              <w:rPr>
                <w:rFonts w:cstheme="minorHAnsi"/>
              </w:rPr>
              <w:t>Searched</w:t>
            </w:r>
            <w:r w:rsidR="002C2F77" w:rsidRPr="00A277A3">
              <w:rPr>
                <w:rFonts w:cstheme="minorHAnsi"/>
              </w:rPr>
              <w:t xml:space="preserve"> original research articles published in Australia’s top 10 medical journals in 2020:</w:t>
            </w:r>
            <w:r w:rsidRPr="00A277A3">
              <w:rPr>
                <w:rFonts w:cstheme="minorHAnsi"/>
              </w:rPr>
              <w:t xml:space="preserve"> </w:t>
            </w:r>
          </w:p>
          <w:p w14:paraId="2FBA2585" w14:textId="2ECCC823" w:rsidR="00EB2B55" w:rsidRPr="00051B8B" w:rsidRDefault="00EB2B55" w:rsidP="00051B8B">
            <w:r w:rsidRPr="00A277A3">
              <w:rPr>
                <w:sz w:val="18"/>
                <w:szCs w:val="18"/>
              </w:rPr>
              <w:t>ANZ Journal of Surgery</w:t>
            </w:r>
            <w:r w:rsidR="002C2F77" w:rsidRPr="00A277A3">
              <w:rPr>
                <w:sz w:val="18"/>
                <w:szCs w:val="18"/>
              </w:rPr>
              <w:t xml:space="preserve">, </w:t>
            </w:r>
            <w:r w:rsidRPr="00A277A3">
              <w:rPr>
                <w:sz w:val="18"/>
                <w:szCs w:val="18"/>
              </w:rPr>
              <w:t>Medical Journal of Australia</w:t>
            </w:r>
            <w:r w:rsidR="002C2F77" w:rsidRPr="00A277A3">
              <w:rPr>
                <w:sz w:val="18"/>
                <w:szCs w:val="18"/>
              </w:rPr>
              <w:t>, ANZ</w:t>
            </w:r>
            <w:r w:rsidRPr="00A277A3">
              <w:rPr>
                <w:sz w:val="18"/>
                <w:szCs w:val="18"/>
              </w:rPr>
              <w:t xml:space="preserve"> Journal of Psychiatry</w:t>
            </w:r>
            <w:r w:rsidR="002C2F77" w:rsidRPr="00A277A3">
              <w:rPr>
                <w:sz w:val="18"/>
                <w:szCs w:val="18"/>
              </w:rPr>
              <w:t>, ANZ</w:t>
            </w:r>
            <w:r w:rsidRPr="00A277A3">
              <w:rPr>
                <w:sz w:val="18"/>
                <w:szCs w:val="18"/>
              </w:rPr>
              <w:t xml:space="preserve"> Journal of Public Health</w:t>
            </w:r>
            <w:r w:rsidR="002C2F77" w:rsidRPr="00A277A3">
              <w:rPr>
                <w:sz w:val="18"/>
                <w:szCs w:val="18"/>
              </w:rPr>
              <w:t xml:space="preserve">, </w:t>
            </w:r>
            <w:r w:rsidRPr="00A277A3">
              <w:rPr>
                <w:sz w:val="18"/>
                <w:szCs w:val="18"/>
              </w:rPr>
              <w:t>Respirology</w:t>
            </w:r>
            <w:r w:rsidR="002C2F77" w:rsidRPr="00A277A3">
              <w:rPr>
                <w:sz w:val="18"/>
                <w:szCs w:val="18"/>
              </w:rPr>
              <w:t>,</w:t>
            </w:r>
            <w:r w:rsidRPr="00A277A3">
              <w:rPr>
                <w:sz w:val="18"/>
                <w:szCs w:val="18"/>
              </w:rPr>
              <w:t xml:space="preserve"> Clinical </w:t>
            </w:r>
            <w:r w:rsidR="002C2F77" w:rsidRPr="00A277A3">
              <w:rPr>
                <w:sz w:val="18"/>
                <w:szCs w:val="18"/>
              </w:rPr>
              <w:t xml:space="preserve">&amp; </w:t>
            </w:r>
            <w:r w:rsidRPr="00A277A3">
              <w:rPr>
                <w:sz w:val="18"/>
                <w:szCs w:val="18"/>
              </w:rPr>
              <w:t>Experimental Ophthalmology</w:t>
            </w:r>
            <w:r w:rsidR="002C2F77" w:rsidRPr="00A277A3">
              <w:rPr>
                <w:sz w:val="18"/>
                <w:szCs w:val="18"/>
              </w:rPr>
              <w:t xml:space="preserve">, </w:t>
            </w:r>
            <w:r w:rsidRPr="00A277A3">
              <w:rPr>
                <w:sz w:val="18"/>
                <w:szCs w:val="18"/>
              </w:rPr>
              <w:t xml:space="preserve">Clinical </w:t>
            </w:r>
            <w:r w:rsidR="002C2F77" w:rsidRPr="00A277A3">
              <w:rPr>
                <w:sz w:val="18"/>
                <w:szCs w:val="18"/>
              </w:rPr>
              <w:t xml:space="preserve">&amp; </w:t>
            </w:r>
            <w:r w:rsidRPr="00A277A3">
              <w:rPr>
                <w:sz w:val="18"/>
                <w:szCs w:val="18"/>
              </w:rPr>
              <w:t xml:space="preserve">Experimental Pharmacology </w:t>
            </w:r>
            <w:r w:rsidR="002C2F77" w:rsidRPr="00A277A3">
              <w:rPr>
                <w:sz w:val="18"/>
                <w:szCs w:val="18"/>
              </w:rPr>
              <w:t xml:space="preserve">&amp; </w:t>
            </w:r>
            <w:r w:rsidRPr="00A277A3">
              <w:rPr>
                <w:sz w:val="18"/>
                <w:szCs w:val="18"/>
              </w:rPr>
              <w:t>Physiology</w:t>
            </w:r>
            <w:r w:rsidR="002C2F77" w:rsidRPr="00A277A3">
              <w:rPr>
                <w:sz w:val="18"/>
                <w:szCs w:val="18"/>
              </w:rPr>
              <w:t xml:space="preserve">, </w:t>
            </w:r>
            <w:r w:rsidRPr="00A277A3">
              <w:rPr>
                <w:sz w:val="18"/>
                <w:szCs w:val="18"/>
              </w:rPr>
              <w:t xml:space="preserve">Immunology </w:t>
            </w:r>
            <w:r w:rsidR="002C2F77" w:rsidRPr="00A277A3">
              <w:rPr>
                <w:sz w:val="18"/>
                <w:szCs w:val="18"/>
              </w:rPr>
              <w:t xml:space="preserve">&amp; </w:t>
            </w:r>
            <w:r w:rsidRPr="00A277A3">
              <w:rPr>
                <w:sz w:val="18"/>
                <w:szCs w:val="18"/>
              </w:rPr>
              <w:t>Cell Biology</w:t>
            </w:r>
            <w:r w:rsidR="002C2F77" w:rsidRPr="00A277A3">
              <w:rPr>
                <w:sz w:val="18"/>
                <w:szCs w:val="18"/>
              </w:rPr>
              <w:t xml:space="preserve">, </w:t>
            </w:r>
            <w:r w:rsidRPr="00A277A3">
              <w:rPr>
                <w:sz w:val="18"/>
                <w:szCs w:val="18"/>
              </w:rPr>
              <w:t xml:space="preserve">Journal of Gastroenterology </w:t>
            </w:r>
            <w:r w:rsidR="002C2F77" w:rsidRPr="00A277A3">
              <w:rPr>
                <w:sz w:val="18"/>
                <w:szCs w:val="18"/>
              </w:rPr>
              <w:t xml:space="preserve">&amp; </w:t>
            </w:r>
            <w:r w:rsidRPr="00A277A3">
              <w:rPr>
                <w:sz w:val="18"/>
                <w:szCs w:val="18"/>
              </w:rPr>
              <w:t>Hepatology</w:t>
            </w:r>
            <w:r w:rsidR="002C2F77" w:rsidRPr="00A277A3">
              <w:rPr>
                <w:sz w:val="18"/>
                <w:szCs w:val="18"/>
              </w:rPr>
              <w:t>,</w:t>
            </w:r>
            <w:r w:rsidRPr="00A277A3">
              <w:rPr>
                <w:sz w:val="18"/>
                <w:szCs w:val="18"/>
              </w:rPr>
              <w:t xml:space="preserve"> Journal of Paediatrics </w:t>
            </w:r>
            <w:r w:rsidR="002C2F77" w:rsidRPr="00A277A3">
              <w:rPr>
                <w:sz w:val="18"/>
                <w:szCs w:val="18"/>
              </w:rPr>
              <w:t xml:space="preserve">&amp; </w:t>
            </w:r>
            <w:r w:rsidRPr="00A277A3">
              <w:rPr>
                <w:sz w:val="18"/>
                <w:szCs w:val="18"/>
              </w:rPr>
              <w:t>Child Health</w:t>
            </w:r>
          </w:p>
        </w:tc>
        <w:tc>
          <w:tcPr>
            <w:tcW w:w="2693" w:type="dxa"/>
            <w:hideMark/>
          </w:tcPr>
          <w:p w14:paraId="133E2826" w14:textId="6EAE0841" w:rsidR="00EB2B55" w:rsidRPr="00672DBE" w:rsidRDefault="00EB2B55" w:rsidP="003414BB">
            <w:r w:rsidRPr="00672DBE">
              <w:t xml:space="preserve">1,136 </w:t>
            </w:r>
            <w:r w:rsidR="002C2F77">
              <w:t>papers with</w:t>
            </w:r>
            <w:r w:rsidRPr="00672DBE">
              <w:t xml:space="preserve"> 990 human participant populations.</w:t>
            </w:r>
          </w:p>
        </w:tc>
        <w:tc>
          <w:tcPr>
            <w:tcW w:w="6321" w:type="dxa"/>
            <w:hideMark/>
          </w:tcPr>
          <w:p w14:paraId="64A2441F" w14:textId="58B5BB8F" w:rsidR="00F9225A" w:rsidRPr="00003FCB" w:rsidRDefault="00F9225A" w:rsidP="00003FCB">
            <w:pPr>
              <w:autoSpaceDE w:val="0"/>
              <w:autoSpaceDN w:val="0"/>
              <w:adjustRightInd w:val="0"/>
              <w:rPr>
                <w:rFonts w:cstheme="minorHAnsi"/>
              </w:rPr>
            </w:pPr>
            <w:r w:rsidRPr="00051B8B">
              <w:rPr>
                <w:rFonts w:cstheme="minorHAnsi"/>
              </w:rPr>
              <w:t xml:space="preserve">• </w:t>
            </w:r>
            <w:r w:rsidRPr="00003FCB">
              <w:rPr>
                <w:rFonts w:cstheme="minorHAnsi"/>
              </w:rPr>
              <w:t>Reporting and analysis of sex and gender data in health research in Australian medical journals requires improvement</w:t>
            </w:r>
            <w:r>
              <w:rPr>
                <w:rFonts w:cstheme="minorHAnsi"/>
              </w:rPr>
              <w:t>.</w:t>
            </w:r>
          </w:p>
          <w:p w14:paraId="2C2A9C9C" w14:textId="5AE9711A" w:rsidR="00643F3E" w:rsidRDefault="00EB2B55" w:rsidP="00643F3E">
            <w:r w:rsidRPr="00051B8B">
              <w:rPr>
                <w:rFonts w:cstheme="minorHAnsi"/>
              </w:rPr>
              <w:t xml:space="preserve">• Sex </w:t>
            </w:r>
            <w:r w:rsidR="00643F3E">
              <w:rPr>
                <w:rFonts w:cstheme="minorHAnsi"/>
              </w:rPr>
              <w:t>&amp;</w:t>
            </w:r>
            <w:r w:rsidRPr="00051B8B">
              <w:rPr>
                <w:rFonts w:cstheme="minorHAnsi"/>
              </w:rPr>
              <w:t>/or gender were reported for 873 (88.2%) human populations</w:t>
            </w:r>
            <w:r w:rsidR="00643F3E">
              <w:rPr>
                <w:rFonts w:cstheme="minorHAnsi"/>
              </w:rPr>
              <w:t>;</w:t>
            </w:r>
            <w:r w:rsidRPr="00051B8B">
              <w:rPr>
                <w:rFonts w:cstheme="minorHAnsi"/>
              </w:rPr>
              <w:t xml:space="preserve"> 480 </w:t>
            </w:r>
            <w:r w:rsidR="00643F3E" w:rsidRPr="00295724">
              <w:rPr>
                <w:rFonts w:cstheme="minorHAnsi"/>
              </w:rPr>
              <w:t>us</w:t>
            </w:r>
            <w:r w:rsidR="00643F3E">
              <w:rPr>
                <w:rFonts w:cstheme="minorHAnsi"/>
              </w:rPr>
              <w:t>ed</w:t>
            </w:r>
            <w:r w:rsidR="00643F3E" w:rsidRPr="00051B8B">
              <w:rPr>
                <w:rFonts w:cstheme="minorHAnsi"/>
              </w:rPr>
              <w:t xml:space="preserve"> </w:t>
            </w:r>
            <w:r w:rsidRPr="00051B8B">
              <w:rPr>
                <w:rFonts w:cstheme="minorHAnsi"/>
              </w:rPr>
              <w:t>conflicting terminology</w:t>
            </w:r>
            <w:r w:rsidR="00643F3E">
              <w:rPr>
                <w:rFonts w:cstheme="minorHAnsi"/>
              </w:rPr>
              <w:t>.</w:t>
            </w:r>
            <w:r w:rsidRPr="00672DBE">
              <w:t xml:space="preserve"> </w:t>
            </w:r>
          </w:p>
          <w:p w14:paraId="3FA0CAEE" w14:textId="48A4EAEE" w:rsidR="00643F3E" w:rsidRDefault="00EB2B55" w:rsidP="00643F3E">
            <w:r w:rsidRPr="00672DBE">
              <w:t xml:space="preserve">• Only 14 (1.6%) described how sex </w:t>
            </w:r>
            <w:r w:rsidR="00643F3E">
              <w:t>or</w:t>
            </w:r>
            <w:r w:rsidR="00643F3E" w:rsidRPr="00672DBE">
              <w:t xml:space="preserve"> </w:t>
            </w:r>
            <w:r w:rsidRPr="00672DBE">
              <w:t>gender were determined</w:t>
            </w:r>
            <w:r w:rsidR="00643F3E">
              <w:t>.</w:t>
            </w:r>
          </w:p>
          <w:p w14:paraId="3A50DE24" w14:textId="08EE1AC4" w:rsidR="00053363" w:rsidRDefault="00EB2B55" w:rsidP="00643F3E">
            <w:r w:rsidRPr="00672DBE">
              <w:t xml:space="preserve">• </w:t>
            </w:r>
            <w:r w:rsidR="00643F3E">
              <w:t>P</w:t>
            </w:r>
            <w:r w:rsidRPr="00672DBE">
              <w:t>rimary outcome</w:t>
            </w:r>
            <w:r w:rsidR="00053363">
              <w:t>/</w:t>
            </w:r>
            <w:r w:rsidRPr="00672DBE">
              <w:t xml:space="preserve">key aim was stratified by sex </w:t>
            </w:r>
            <w:r w:rsidR="00053363">
              <w:t>&amp;</w:t>
            </w:r>
            <w:r w:rsidRPr="00672DBE">
              <w:t>/or gender for 249 (29.2%) participant groups</w:t>
            </w:r>
            <w:r w:rsidR="00053363">
              <w:t>;</w:t>
            </w:r>
            <w:r w:rsidRPr="00672DBE">
              <w:t xml:space="preserve"> influence of sex </w:t>
            </w:r>
            <w:r w:rsidR="00053363">
              <w:t>&amp;</w:t>
            </w:r>
            <w:r w:rsidRPr="00672DBE">
              <w:t>/or gender on results was discussed for only 171 (17.3%)</w:t>
            </w:r>
            <w:r w:rsidR="00053363">
              <w:t>.</w:t>
            </w:r>
          </w:p>
          <w:p w14:paraId="5297028F" w14:textId="533FCBB7" w:rsidR="00EB2B55" w:rsidRPr="00672DBE" w:rsidRDefault="00EB2B55" w:rsidP="00051B8B">
            <w:r w:rsidRPr="00672DBE">
              <w:t xml:space="preserve">• </w:t>
            </w:r>
            <w:r w:rsidR="00053363">
              <w:t>N</w:t>
            </w:r>
            <w:r w:rsidRPr="00672DBE">
              <w:t xml:space="preserve">o significant association between endorsement of ICMJE guidelines </w:t>
            </w:r>
            <w:r w:rsidR="00053363">
              <w:t>&amp;</w:t>
            </w:r>
            <w:r w:rsidR="00053363" w:rsidRPr="00672DBE">
              <w:t xml:space="preserve"> </w:t>
            </w:r>
            <w:r w:rsidRPr="00672DBE">
              <w:t xml:space="preserve">adherence to sex </w:t>
            </w:r>
            <w:r w:rsidR="00053363">
              <w:t>&amp;</w:t>
            </w:r>
            <w:r w:rsidR="00053363" w:rsidRPr="00672DBE">
              <w:t xml:space="preserve"> </w:t>
            </w:r>
            <w:r w:rsidRPr="00672DBE">
              <w:t>gender criteria.</w:t>
            </w:r>
          </w:p>
        </w:tc>
      </w:tr>
      <w:tr w:rsidR="00EB2B55" w:rsidRPr="00672DBE" w14:paraId="13351C5E" w14:textId="77777777" w:rsidTr="00A277A3">
        <w:trPr>
          <w:cantSplit/>
        </w:trPr>
        <w:tc>
          <w:tcPr>
            <w:tcW w:w="1555" w:type="dxa"/>
            <w:hideMark/>
          </w:tcPr>
          <w:p w14:paraId="62587B5A" w14:textId="18DF6738" w:rsidR="00EB2B55" w:rsidRPr="00672DBE" w:rsidRDefault="00EB2B55" w:rsidP="003414BB">
            <w:r w:rsidRPr="00672DBE">
              <w:t>Heidari et al.</w:t>
            </w:r>
            <w:r w:rsidR="00951871">
              <w:t>,</w:t>
            </w:r>
            <w:r w:rsidRPr="00672DBE">
              <w:t xml:space="preserve"> 2021</w:t>
            </w:r>
            <w:r w:rsidR="00951871">
              <w:t>, international</w:t>
            </w:r>
          </w:p>
        </w:tc>
        <w:tc>
          <w:tcPr>
            <w:tcW w:w="2409" w:type="dxa"/>
            <w:hideMark/>
          </w:tcPr>
          <w:p w14:paraId="467A82BE" w14:textId="499792F1" w:rsidR="0009022B" w:rsidRPr="00051B8B" w:rsidRDefault="0009022B" w:rsidP="00003FCB">
            <w:pPr>
              <w:autoSpaceDE w:val="0"/>
              <w:autoSpaceDN w:val="0"/>
              <w:adjustRightInd w:val="0"/>
              <w:rPr>
                <w:rFonts w:cstheme="minorHAnsi"/>
              </w:rPr>
            </w:pPr>
            <w:r w:rsidRPr="00003FCB">
              <w:rPr>
                <w:rFonts w:cstheme="minorHAnsi"/>
              </w:rPr>
              <w:t xml:space="preserve">To systematically review published COVID-19 vaccine trials, both interventional </w:t>
            </w:r>
            <w:r>
              <w:rPr>
                <w:rFonts w:cstheme="minorHAnsi"/>
              </w:rPr>
              <w:t>&amp;</w:t>
            </w:r>
            <w:r w:rsidRPr="00003FCB">
              <w:rPr>
                <w:rFonts w:cstheme="minorHAnsi"/>
              </w:rPr>
              <w:t xml:space="preserve"> observational, to assess the quality of reporting of sex </w:t>
            </w:r>
            <w:r>
              <w:rPr>
                <w:rFonts w:cstheme="minorHAnsi"/>
              </w:rPr>
              <w:t>&amp;</w:t>
            </w:r>
            <w:r w:rsidRPr="00003FCB">
              <w:rPr>
                <w:rFonts w:cstheme="minorHAnsi"/>
              </w:rPr>
              <w:t xml:space="preserve"> gender.</w:t>
            </w:r>
          </w:p>
          <w:p w14:paraId="77811797" w14:textId="066EBAFA" w:rsidR="00EB2B55" w:rsidRPr="00672DBE" w:rsidRDefault="00EB2B55" w:rsidP="003414BB">
            <w:r w:rsidRPr="0017388B">
              <w:rPr>
                <w:rFonts w:cstheme="minorHAnsi"/>
              </w:rPr>
              <w:t>Systematic review</w:t>
            </w:r>
            <w:r w:rsidR="0009022B" w:rsidRPr="00003FCB">
              <w:rPr>
                <w:rFonts w:cstheme="minorHAnsi"/>
              </w:rPr>
              <w:t>.</w:t>
            </w:r>
          </w:p>
        </w:tc>
        <w:tc>
          <w:tcPr>
            <w:tcW w:w="2410" w:type="dxa"/>
            <w:hideMark/>
          </w:tcPr>
          <w:p w14:paraId="486EE6E9" w14:textId="0E74659D" w:rsidR="0009022B" w:rsidRDefault="00EB2B55" w:rsidP="003414BB">
            <w:r w:rsidRPr="00672DBE">
              <w:t>Searched PubMed</w:t>
            </w:r>
            <w:r w:rsidR="00527AAD">
              <w:t>, cross-referenced with WHO data</w:t>
            </w:r>
            <w:r w:rsidR="0009022B">
              <w:t>.</w:t>
            </w:r>
          </w:p>
          <w:p w14:paraId="2E72EB46" w14:textId="6107B254" w:rsidR="00EB2B55" w:rsidRPr="00672DBE" w:rsidRDefault="00EB2B55" w:rsidP="003414BB">
            <w:r w:rsidRPr="00672DBE">
              <w:t>Analysed using SAGER guidelines</w:t>
            </w:r>
            <w:r w:rsidR="0009022B">
              <w:t xml:space="preserve"> (Sex &amp; </w:t>
            </w:r>
            <w:r w:rsidR="000853FF">
              <w:t>Gender</w:t>
            </w:r>
            <w:r w:rsidR="0009022B">
              <w:t xml:space="preserve"> Equity in Research).</w:t>
            </w:r>
          </w:p>
        </w:tc>
        <w:tc>
          <w:tcPr>
            <w:tcW w:w="2693" w:type="dxa"/>
            <w:hideMark/>
          </w:tcPr>
          <w:p w14:paraId="09B8BA2B" w14:textId="526D9E1E" w:rsidR="00EB2B55" w:rsidRPr="00051B8B" w:rsidRDefault="00527AAD" w:rsidP="00003FCB">
            <w:pPr>
              <w:autoSpaceDE w:val="0"/>
              <w:autoSpaceDN w:val="0"/>
              <w:adjustRightInd w:val="0"/>
              <w:rPr>
                <w:rFonts w:cstheme="minorHAnsi"/>
              </w:rPr>
            </w:pPr>
            <w:r w:rsidRPr="0017388B">
              <w:rPr>
                <w:rFonts w:cstheme="minorHAnsi"/>
              </w:rPr>
              <w:t>75</w:t>
            </w:r>
            <w:r w:rsidRPr="00003FCB">
              <w:rPr>
                <w:rFonts w:cstheme="minorHAnsi"/>
              </w:rPr>
              <w:t xml:space="preserve"> papers reporting 42 interventional studies &amp; 33 observational studies.</w:t>
            </w:r>
          </w:p>
        </w:tc>
        <w:tc>
          <w:tcPr>
            <w:tcW w:w="6321" w:type="dxa"/>
            <w:hideMark/>
          </w:tcPr>
          <w:p w14:paraId="5E0FA12B" w14:textId="0BCD2489" w:rsidR="00527AAD" w:rsidRPr="00051B8B" w:rsidRDefault="00527AAD" w:rsidP="003414BB">
            <w:pPr>
              <w:rPr>
                <w:rFonts w:cstheme="minorHAnsi"/>
              </w:rPr>
            </w:pPr>
            <w:r w:rsidRPr="00051B8B">
              <w:rPr>
                <w:rFonts w:cstheme="minorHAnsi"/>
              </w:rPr>
              <w:t xml:space="preserve">• </w:t>
            </w:r>
            <w:r w:rsidRPr="00003FCB">
              <w:rPr>
                <w:rFonts w:cstheme="minorHAnsi"/>
              </w:rPr>
              <w:t>Sex and gender have implications for COVID-19 vaccine efficacy; poor reporting of sex &amp; gender has implications for recovery from COVID-19 &amp; public health.</w:t>
            </w:r>
          </w:p>
          <w:p w14:paraId="5BA1A92B" w14:textId="0A5454D0" w:rsidR="00527AAD" w:rsidRPr="00003FCB" w:rsidRDefault="00527AAD" w:rsidP="003414BB">
            <w:pPr>
              <w:rPr>
                <w:rFonts w:cstheme="minorHAnsi"/>
              </w:rPr>
            </w:pPr>
            <w:r w:rsidRPr="00295724">
              <w:rPr>
                <w:rFonts w:cstheme="minorHAnsi"/>
              </w:rPr>
              <w:t xml:space="preserve">• </w:t>
            </w:r>
            <w:r w:rsidR="00EB2B55" w:rsidRPr="00295724">
              <w:rPr>
                <w:rFonts w:cstheme="minorHAnsi"/>
              </w:rPr>
              <w:t>O</w:t>
            </w:r>
            <w:r w:rsidR="00EB2B55" w:rsidRPr="0017388B">
              <w:rPr>
                <w:rFonts w:cstheme="minorHAnsi"/>
              </w:rPr>
              <w:t xml:space="preserve">nly 17 articles (24%) </w:t>
            </w:r>
            <w:proofErr w:type="gramStart"/>
            <w:r w:rsidR="00EB2B55" w:rsidRPr="0017388B">
              <w:rPr>
                <w:rFonts w:cstheme="minorHAnsi"/>
              </w:rPr>
              <w:t xml:space="preserve">presented </w:t>
            </w:r>
            <w:r w:rsidR="00EB2B55" w:rsidRPr="00003FCB">
              <w:rPr>
                <w:rFonts w:cstheme="minorHAnsi"/>
              </w:rPr>
              <w:t xml:space="preserve"> main</w:t>
            </w:r>
            <w:proofErr w:type="gramEnd"/>
            <w:r w:rsidR="00EB2B55" w:rsidRPr="00003FCB">
              <w:rPr>
                <w:rFonts w:cstheme="minorHAnsi"/>
              </w:rPr>
              <w:t xml:space="preserve"> outcome data disaggregated by sex</w:t>
            </w:r>
            <w:r w:rsidRPr="00003FCB">
              <w:rPr>
                <w:rFonts w:cstheme="minorHAnsi"/>
              </w:rPr>
              <w:t>.</w:t>
            </w:r>
          </w:p>
          <w:p w14:paraId="0ECAC004" w14:textId="41C52A8E" w:rsidR="00EB2B55" w:rsidRPr="00672DBE" w:rsidRDefault="00527AAD" w:rsidP="003414BB">
            <w:r w:rsidRPr="00003FCB">
              <w:rPr>
                <w:rFonts w:cstheme="minorHAnsi"/>
              </w:rPr>
              <w:t>•</w:t>
            </w:r>
            <w:r>
              <w:rPr>
                <w:rFonts w:cstheme="minorHAnsi"/>
              </w:rPr>
              <w:t xml:space="preserve"> O</w:t>
            </w:r>
            <w:r w:rsidR="00EB2B55" w:rsidRPr="00295724">
              <w:rPr>
                <w:rFonts w:cstheme="minorHAnsi"/>
              </w:rPr>
              <w:t xml:space="preserve">nly 13% included any discussion of implications of their study for women </w:t>
            </w:r>
            <w:r>
              <w:rPr>
                <w:rFonts w:cstheme="minorHAnsi"/>
              </w:rPr>
              <w:t>&amp;</w:t>
            </w:r>
            <w:r w:rsidRPr="00051B8B">
              <w:rPr>
                <w:rFonts w:cstheme="minorHAnsi"/>
              </w:rPr>
              <w:t xml:space="preserve"> </w:t>
            </w:r>
            <w:r w:rsidR="00EB2B55" w:rsidRPr="00051B8B">
              <w:rPr>
                <w:rFonts w:cstheme="minorHAnsi"/>
              </w:rPr>
              <w:t>men.</w:t>
            </w:r>
          </w:p>
        </w:tc>
      </w:tr>
      <w:tr w:rsidR="00EB2B55" w:rsidRPr="00672DBE" w14:paraId="14279B83" w14:textId="77777777" w:rsidTr="00A277A3">
        <w:trPr>
          <w:cantSplit/>
        </w:trPr>
        <w:tc>
          <w:tcPr>
            <w:tcW w:w="1555" w:type="dxa"/>
            <w:noWrap/>
            <w:hideMark/>
          </w:tcPr>
          <w:p w14:paraId="778DFD7D" w14:textId="7FAED62C" w:rsidR="00EB2B55" w:rsidRPr="00672DBE" w:rsidRDefault="00EB2B55" w:rsidP="003414BB">
            <w:r w:rsidRPr="00672DBE">
              <w:lastRenderedPageBreak/>
              <w:t>Heidari et al.</w:t>
            </w:r>
            <w:r w:rsidR="00951871">
              <w:t>,</w:t>
            </w:r>
            <w:r w:rsidRPr="00672DBE">
              <w:t xml:space="preserve"> 2016</w:t>
            </w:r>
            <w:r w:rsidR="00951871">
              <w:t>, international</w:t>
            </w:r>
          </w:p>
        </w:tc>
        <w:tc>
          <w:tcPr>
            <w:tcW w:w="2409" w:type="dxa"/>
            <w:hideMark/>
          </w:tcPr>
          <w:p w14:paraId="11279187" w14:textId="152A1532" w:rsidR="007B726D" w:rsidRDefault="00EB2B55" w:rsidP="003414BB">
            <w:r w:rsidRPr="00672DBE">
              <w:t xml:space="preserve">To describe the rationale for an international set of guidelines to encourage a more systematic approach to the reporting of sex </w:t>
            </w:r>
            <w:r w:rsidR="007B726D">
              <w:t>&amp;</w:t>
            </w:r>
            <w:r w:rsidR="007B726D" w:rsidRPr="00672DBE">
              <w:t xml:space="preserve"> </w:t>
            </w:r>
            <w:r w:rsidRPr="00672DBE">
              <w:t>gender in research across disciplines</w:t>
            </w:r>
            <w:r w:rsidR="007B726D">
              <w:t>.</w:t>
            </w:r>
          </w:p>
          <w:p w14:paraId="1D429F38" w14:textId="4B806CEC" w:rsidR="00EB2B55" w:rsidRPr="00672DBE" w:rsidRDefault="00EB2B55" w:rsidP="003414BB">
            <w:r w:rsidRPr="00672DBE">
              <w:t>Internet survey</w:t>
            </w:r>
            <w:r w:rsidR="007B726D">
              <w:t>,</w:t>
            </w:r>
            <w:r w:rsidRPr="00672DBE">
              <w:t xml:space="preserve"> literature search</w:t>
            </w:r>
          </w:p>
        </w:tc>
        <w:tc>
          <w:tcPr>
            <w:tcW w:w="2410" w:type="dxa"/>
            <w:hideMark/>
          </w:tcPr>
          <w:p w14:paraId="57A7AE2D" w14:textId="4BD61168" w:rsidR="00F20667" w:rsidRPr="0014317F" w:rsidRDefault="00F20667" w:rsidP="00A277A3">
            <w:pPr>
              <w:autoSpaceDE w:val="0"/>
              <w:autoSpaceDN w:val="0"/>
              <w:adjustRightInd w:val="0"/>
              <w:rPr>
                <w:rFonts w:cstheme="minorHAnsi"/>
              </w:rPr>
            </w:pPr>
            <w:r w:rsidRPr="0014317F">
              <w:rPr>
                <w:rFonts w:cstheme="minorHAnsi"/>
              </w:rPr>
              <w:t xml:space="preserve">Panel of 13 experts </w:t>
            </w:r>
            <w:r w:rsidR="00A277A3">
              <w:rPr>
                <w:rFonts w:cstheme="minorHAnsi"/>
              </w:rPr>
              <w:t>from</w:t>
            </w:r>
            <w:r w:rsidRPr="0014317F">
              <w:rPr>
                <w:rFonts w:cstheme="minorHAnsi"/>
              </w:rPr>
              <w:t xml:space="preserve"> 9 countries developed guidelines through series of teleconferences, conference presentations, 2-day workshop. </w:t>
            </w:r>
            <w:r w:rsidR="00A277A3">
              <w:rPr>
                <w:rFonts w:cstheme="minorHAnsi"/>
              </w:rPr>
              <w:t>I</w:t>
            </w:r>
            <w:r w:rsidRPr="0014317F">
              <w:rPr>
                <w:rFonts w:cstheme="minorHAnsi"/>
              </w:rPr>
              <w:t>nternet survey of 716 journal editors, scientists, other members of international publishing community.</w:t>
            </w:r>
            <w:r w:rsidR="00A277A3">
              <w:rPr>
                <w:rFonts w:cstheme="minorHAnsi"/>
              </w:rPr>
              <w:t xml:space="preserve"> </w:t>
            </w:r>
            <w:r w:rsidRPr="0014317F">
              <w:rPr>
                <w:rFonts w:cstheme="minorHAnsi"/>
              </w:rPr>
              <w:t>Literature search on sex &amp; gender policies in scientific publishing.</w:t>
            </w:r>
          </w:p>
          <w:p w14:paraId="1FE2F618" w14:textId="67571B26" w:rsidR="00EB2B55" w:rsidRPr="00672DBE" w:rsidRDefault="00EB2B55" w:rsidP="00F20667">
            <w:r w:rsidRPr="00672DBE">
              <w:t xml:space="preserve">(No </w:t>
            </w:r>
            <w:r w:rsidR="0012290E">
              <w:t>details of</w:t>
            </w:r>
            <w:r w:rsidR="0012290E" w:rsidRPr="00672DBE">
              <w:t xml:space="preserve"> </w:t>
            </w:r>
            <w:r w:rsidRPr="00672DBE">
              <w:t>databases or journals reported</w:t>
            </w:r>
            <w:r w:rsidR="0012290E">
              <w:t>.</w:t>
            </w:r>
            <w:r w:rsidRPr="00672DBE">
              <w:t>)</w:t>
            </w:r>
          </w:p>
        </w:tc>
        <w:tc>
          <w:tcPr>
            <w:tcW w:w="2693" w:type="dxa"/>
            <w:hideMark/>
          </w:tcPr>
          <w:p w14:paraId="1546CA1E" w14:textId="13B95D0B" w:rsidR="00287908" w:rsidRDefault="002C3576" w:rsidP="003414BB">
            <w:r>
              <w:t>Not reported.</w:t>
            </w:r>
          </w:p>
          <w:p w14:paraId="6107CCE2" w14:textId="6127CB8A" w:rsidR="00EB2B55" w:rsidRPr="00672DBE" w:rsidRDefault="00287908" w:rsidP="003414BB">
            <w:r>
              <w:t>100 journals included.</w:t>
            </w:r>
            <w:r w:rsidR="00EB2B55" w:rsidRPr="00672DBE">
              <w:t xml:space="preserve"> </w:t>
            </w:r>
          </w:p>
        </w:tc>
        <w:tc>
          <w:tcPr>
            <w:tcW w:w="6321" w:type="dxa"/>
            <w:hideMark/>
          </w:tcPr>
          <w:p w14:paraId="110E5309" w14:textId="7373AA4F" w:rsidR="00287908" w:rsidRDefault="00287908" w:rsidP="003414BB">
            <w:r w:rsidRPr="00051B8B">
              <w:rPr>
                <w:rFonts w:cstheme="minorHAnsi"/>
              </w:rPr>
              <w:t xml:space="preserve">• Necessity for </w:t>
            </w:r>
            <w:r w:rsidRPr="00295724">
              <w:rPr>
                <w:rFonts w:cstheme="minorHAnsi"/>
              </w:rPr>
              <w:t>guidelines to ensure sex &amp; gender information is reported</w:t>
            </w:r>
            <w:r w:rsidRPr="0014317F">
              <w:rPr>
                <w:rFonts w:cstheme="minorHAnsi"/>
              </w:rPr>
              <w:t xml:space="preserve"> in study design, data analyses, results. interpretation of findings</w:t>
            </w:r>
            <w:r>
              <w:rPr>
                <w:rFonts w:ascii="FhhlgjAdvTTb5929f4c" w:hAnsi="FhhlgjAdvTTb5929f4c" w:cs="FhhlgjAdvTTb5929f4c"/>
                <w:sz w:val="20"/>
                <w:szCs w:val="20"/>
              </w:rPr>
              <w:t>.</w:t>
            </w:r>
          </w:p>
          <w:p w14:paraId="62E901FB" w14:textId="415A9E37" w:rsidR="00287908" w:rsidRDefault="00EB2B55" w:rsidP="003414BB">
            <w:r w:rsidRPr="00672DBE">
              <w:t xml:space="preserve">• </w:t>
            </w:r>
            <w:r w:rsidR="00287908">
              <w:t>A</w:t>
            </w:r>
            <w:r w:rsidRPr="00672DBE">
              <w:t xml:space="preserve">verage proportion of respondents in each of the </w:t>
            </w:r>
            <w:r w:rsidR="00287908">
              <w:t>4</w:t>
            </w:r>
            <w:r w:rsidR="00287908" w:rsidRPr="00672DBE">
              <w:t xml:space="preserve"> </w:t>
            </w:r>
            <w:r w:rsidR="00287908">
              <w:t>sample</w:t>
            </w:r>
            <w:r w:rsidR="00287908" w:rsidRPr="00672DBE">
              <w:t xml:space="preserve">s </w:t>
            </w:r>
            <w:r w:rsidRPr="00672DBE">
              <w:t xml:space="preserve">who reported having sex </w:t>
            </w:r>
            <w:r w:rsidR="00287908">
              <w:t>&amp;</w:t>
            </w:r>
            <w:r w:rsidRPr="00672DBE">
              <w:t>/or gender policies at their journals was 7%</w:t>
            </w:r>
            <w:r w:rsidR="00287908">
              <w:t>.</w:t>
            </w:r>
          </w:p>
          <w:p w14:paraId="3DE3D0CE" w14:textId="101737B6" w:rsidR="00287908" w:rsidRDefault="00EB2B55" w:rsidP="003414BB">
            <w:r w:rsidRPr="00672DBE">
              <w:t xml:space="preserve">• In the random sample of 100 journals </w:t>
            </w:r>
            <w:r w:rsidR="00287908">
              <w:t>&amp;</w:t>
            </w:r>
            <w:r w:rsidR="00287908" w:rsidRPr="00672DBE">
              <w:t xml:space="preserve"> </w:t>
            </w:r>
            <w:r w:rsidRPr="00672DBE">
              <w:t xml:space="preserve">the EASE </w:t>
            </w:r>
            <w:r w:rsidR="00287908">
              <w:t>&amp;</w:t>
            </w:r>
            <w:r w:rsidR="00287908" w:rsidRPr="00672DBE">
              <w:t xml:space="preserve"> </w:t>
            </w:r>
            <w:r w:rsidRPr="00672DBE">
              <w:t xml:space="preserve">ISAJE groups, </w:t>
            </w:r>
            <w:r w:rsidR="00287908">
              <w:t>most</w:t>
            </w:r>
            <w:r w:rsidRPr="00672DBE">
              <w:t xml:space="preserve"> (75 %) were unsure or unwilling to introduce sex </w:t>
            </w:r>
            <w:r w:rsidR="00287908">
              <w:t>&amp;</w:t>
            </w:r>
            <w:r w:rsidR="00287908" w:rsidRPr="00672DBE">
              <w:t xml:space="preserve"> </w:t>
            </w:r>
            <w:r w:rsidRPr="00672DBE">
              <w:t>gender considerations as requirements in Instructions for Authors</w:t>
            </w:r>
            <w:r w:rsidR="00287908">
              <w:t>.</w:t>
            </w:r>
          </w:p>
          <w:p w14:paraId="182B5D33" w14:textId="39205E1D" w:rsidR="00287908" w:rsidRDefault="00EB2B55" w:rsidP="003414BB">
            <w:r w:rsidRPr="00672DBE">
              <w:t xml:space="preserve">• Female respondents were more likely to support sex </w:t>
            </w:r>
            <w:r w:rsidR="00287908">
              <w:t>&amp;</w:t>
            </w:r>
            <w:r w:rsidR="00287908" w:rsidRPr="00672DBE">
              <w:t xml:space="preserve"> </w:t>
            </w:r>
            <w:r w:rsidRPr="00672DBE">
              <w:t>gender reporting policies than male respondents</w:t>
            </w:r>
            <w:r w:rsidR="00287908">
              <w:t>.</w:t>
            </w:r>
          </w:p>
          <w:p w14:paraId="034BF5F6" w14:textId="29C74232" w:rsidR="00EB2B55" w:rsidRPr="00672DBE" w:rsidRDefault="00EB2B55" w:rsidP="003414BB"/>
        </w:tc>
      </w:tr>
      <w:tr w:rsidR="00EB2B55" w:rsidRPr="00672DBE" w14:paraId="4CBE3E29" w14:textId="77777777" w:rsidTr="00DB191B">
        <w:trPr>
          <w:cantSplit/>
        </w:trPr>
        <w:tc>
          <w:tcPr>
            <w:tcW w:w="1555" w:type="dxa"/>
            <w:hideMark/>
          </w:tcPr>
          <w:p w14:paraId="4E85AC76" w14:textId="16824ADF" w:rsidR="00EB2B55" w:rsidRPr="00672DBE" w:rsidRDefault="00EB2B55" w:rsidP="003414BB">
            <w:r w:rsidRPr="00672DBE">
              <w:t>Mansukhani et al.</w:t>
            </w:r>
            <w:r w:rsidR="00951871">
              <w:t>,</w:t>
            </w:r>
            <w:r w:rsidRPr="00672DBE">
              <w:t xml:space="preserve"> 2016</w:t>
            </w:r>
            <w:r w:rsidR="00951871">
              <w:t>, international</w:t>
            </w:r>
          </w:p>
        </w:tc>
        <w:tc>
          <w:tcPr>
            <w:tcW w:w="2409" w:type="dxa"/>
            <w:hideMark/>
          </w:tcPr>
          <w:p w14:paraId="7935FA5D" w14:textId="20210506" w:rsidR="00EB2B55" w:rsidRPr="00672DBE" w:rsidRDefault="00EB2B55" w:rsidP="003414BB">
            <w:r w:rsidRPr="00672DBE">
              <w:t xml:space="preserve">To determine if sex bias exists in human surgical clinical research, to determine if data are reported </w:t>
            </w:r>
            <w:r w:rsidR="00E946B6">
              <w:t>&amp;</w:t>
            </w:r>
            <w:r w:rsidR="00E946B6" w:rsidRPr="00672DBE">
              <w:t xml:space="preserve"> </w:t>
            </w:r>
            <w:r w:rsidRPr="00672DBE">
              <w:t xml:space="preserve">analysed using sex as an independent variable, </w:t>
            </w:r>
            <w:r w:rsidR="00AD320C">
              <w:t>&amp;</w:t>
            </w:r>
            <w:r w:rsidR="00AD320C" w:rsidRPr="00672DBE">
              <w:t xml:space="preserve"> </w:t>
            </w:r>
            <w:r w:rsidRPr="00672DBE">
              <w:t xml:space="preserve">to identify specialties in which the greatest </w:t>
            </w:r>
            <w:r w:rsidR="00AD320C">
              <w:t>&amp;</w:t>
            </w:r>
            <w:r w:rsidR="00AD320C" w:rsidRPr="00672DBE">
              <w:t xml:space="preserve"> </w:t>
            </w:r>
            <w:r w:rsidRPr="00672DBE">
              <w:t>least sex biases exist</w:t>
            </w:r>
            <w:r w:rsidR="00AD320C">
              <w:t>.</w:t>
            </w:r>
            <w:r w:rsidR="00AD320C" w:rsidRPr="00672DBE">
              <w:t xml:space="preserve"> </w:t>
            </w:r>
          </w:p>
          <w:p w14:paraId="26D2B746" w14:textId="2DCA7D77" w:rsidR="00EB2B55" w:rsidRPr="00672DBE" w:rsidRDefault="00EB2B55" w:rsidP="003414BB">
            <w:r w:rsidRPr="00672DBE">
              <w:t>Literature review</w:t>
            </w:r>
            <w:r w:rsidR="00890948">
              <w:t xml:space="preserve"> (bibliometric analysis).</w:t>
            </w:r>
          </w:p>
        </w:tc>
        <w:tc>
          <w:tcPr>
            <w:tcW w:w="2410" w:type="dxa"/>
            <w:hideMark/>
          </w:tcPr>
          <w:p w14:paraId="7CCDCB12" w14:textId="11E0596C" w:rsidR="00EB2B55" w:rsidRPr="00672DBE" w:rsidRDefault="004F74D1" w:rsidP="003414BB">
            <w:r>
              <w:t>Searched t</w:t>
            </w:r>
            <w:r w:rsidRPr="00672DBE">
              <w:t xml:space="preserve">op </w:t>
            </w:r>
            <w:r>
              <w:t>5</w:t>
            </w:r>
            <w:r w:rsidR="00EB2B55" w:rsidRPr="00672DBE">
              <w:t xml:space="preserve"> ranked American non-specialty surgical journals which publish internationally </w:t>
            </w:r>
            <w:r>
              <w:t>&amp;</w:t>
            </w:r>
            <w:r w:rsidRPr="00672DBE">
              <w:t xml:space="preserve"> </w:t>
            </w:r>
            <w:r w:rsidR="00EB2B55" w:rsidRPr="00672DBE">
              <w:t>across specialties</w:t>
            </w:r>
            <w:r>
              <w:t xml:space="preserve">, 1 </w:t>
            </w:r>
            <w:r w:rsidRPr="00672DBE">
              <w:t>Jan 2011</w:t>
            </w:r>
            <w:r>
              <w:t xml:space="preserve"> - 31</w:t>
            </w:r>
            <w:r w:rsidRPr="00672DBE">
              <w:t xml:space="preserve"> Dec 2012</w:t>
            </w:r>
            <w:r>
              <w:t>:</w:t>
            </w:r>
            <w:r w:rsidR="00EB2B55" w:rsidRPr="00672DBE">
              <w:t xml:space="preserve"> Annals of Surgery, American Journal of Surgery, JAMA Surgery, Journal of Surgical Research, Surgery.</w:t>
            </w:r>
          </w:p>
        </w:tc>
        <w:tc>
          <w:tcPr>
            <w:tcW w:w="2693" w:type="dxa"/>
            <w:hideMark/>
          </w:tcPr>
          <w:p w14:paraId="7DF47F26" w14:textId="22FEC649" w:rsidR="00EB2B55" w:rsidRPr="00672DBE" w:rsidRDefault="00EB2B55" w:rsidP="003414BB">
            <w:r w:rsidRPr="00672DBE">
              <w:t xml:space="preserve">1303 original peer-reviewed </w:t>
            </w:r>
            <w:r w:rsidR="00101795">
              <w:t>papers.</w:t>
            </w:r>
          </w:p>
        </w:tc>
        <w:tc>
          <w:tcPr>
            <w:tcW w:w="6321" w:type="dxa"/>
            <w:hideMark/>
          </w:tcPr>
          <w:p w14:paraId="1383401A" w14:textId="7B4B02DE" w:rsidR="00366274" w:rsidRPr="00051B8B" w:rsidRDefault="00366274" w:rsidP="003414BB">
            <w:pPr>
              <w:rPr>
                <w:rFonts w:cstheme="minorHAnsi"/>
              </w:rPr>
            </w:pPr>
            <w:r w:rsidRPr="00051B8B">
              <w:rPr>
                <w:rFonts w:cstheme="minorHAnsi"/>
              </w:rPr>
              <w:t xml:space="preserve">• </w:t>
            </w:r>
            <w:r w:rsidRPr="002A7E1A">
              <w:rPr>
                <w:rFonts w:cstheme="minorHAnsi"/>
              </w:rPr>
              <w:t>Sex bias exists in human surgical clinical research.</w:t>
            </w:r>
          </w:p>
          <w:p w14:paraId="27BEE0B3" w14:textId="674A2725" w:rsidR="00EB2B55" w:rsidRPr="00672DBE" w:rsidRDefault="00EB2B55" w:rsidP="003414BB">
            <w:r w:rsidRPr="00051B8B">
              <w:rPr>
                <w:rFonts w:cstheme="minorHAnsi"/>
              </w:rPr>
              <w:t xml:space="preserve">• </w:t>
            </w:r>
            <w:r w:rsidR="00366274">
              <w:rPr>
                <w:rFonts w:cstheme="minorHAnsi"/>
              </w:rPr>
              <w:t>Of</w:t>
            </w:r>
            <w:r w:rsidRPr="00051B8B">
              <w:rPr>
                <w:rFonts w:cstheme="minorHAnsi"/>
              </w:rPr>
              <w:t xml:space="preserve"> surgical specialties</w:t>
            </w:r>
            <w:r w:rsidR="00366274">
              <w:rPr>
                <w:rFonts w:cstheme="minorHAnsi"/>
              </w:rPr>
              <w:t>,</w:t>
            </w:r>
            <w:r w:rsidRPr="00672DBE">
              <w:t xml:space="preserve"> colorectal surgery ha</w:t>
            </w:r>
            <w:r w:rsidR="00366274">
              <w:t>d</w:t>
            </w:r>
            <w:r w:rsidRPr="00672DBE">
              <w:t xml:space="preserve"> the best matching of male </w:t>
            </w:r>
            <w:r w:rsidR="00366274">
              <w:t>&amp;</w:t>
            </w:r>
            <w:r w:rsidR="00366274" w:rsidRPr="00672DBE">
              <w:t xml:space="preserve"> </w:t>
            </w:r>
            <w:r w:rsidRPr="00672DBE">
              <w:t>female participants</w:t>
            </w:r>
            <w:r w:rsidR="00366274">
              <w:t>,</w:t>
            </w:r>
            <w:r w:rsidRPr="00672DBE">
              <w:t xml:space="preserve"> cardiac surgery ha</w:t>
            </w:r>
            <w:r w:rsidR="00366274">
              <w:t>d</w:t>
            </w:r>
            <w:r w:rsidRPr="00672DBE">
              <w:t xml:space="preserve"> the worst.</w:t>
            </w:r>
          </w:p>
          <w:p w14:paraId="63676195" w14:textId="2FC8FD88" w:rsidR="009A0E31" w:rsidRDefault="00EB2B55" w:rsidP="003414BB">
            <w:r w:rsidRPr="00672DBE">
              <w:t>• 17 (1.3%) included m</w:t>
            </w:r>
            <w:r w:rsidR="009A0E31">
              <w:t>en</w:t>
            </w:r>
            <w:r w:rsidRPr="00672DBE">
              <w:t xml:space="preserve"> only, 41 (3.1%) included </w:t>
            </w:r>
            <w:r w:rsidR="009A0E31">
              <w:t>women</w:t>
            </w:r>
            <w:r w:rsidR="009A0E31" w:rsidRPr="00672DBE">
              <w:t xml:space="preserve"> </w:t>
            </w:r>
            <w:r w:rsidRPr="00672DBE">
              <w:t xml:space="preserve">only, 1020 (78.3%) included </w:t>
            </w:r>
            <w:r w:rsidR="009A0E31">
              <w:t>women &amp; men.</w:t>
            </w:r>
            <w:r w:rsidRPr="00672DBE">
              <w:t xml:space="preserve"> 225 (17.3%) did not document sex of participants</w:t>
            </w:r>
            <w:r w:rsidR="009A0E31">
              <w:t>.</w:t>
            </w:r>
          </w:p>
          <w:p w14:paraId="60BEEB4C" w14:textId="11707C86" w:rsidR="00EB2B55" w:rsidRPr="00672DBE" w:rsidRDefault="00EB2B55" w:rsidP="003414BB">
            <w:r w:rsidRPr="00672DBE">
              <w:t xml:space="preserve">• Although female participants represent more than 50% of total number, considerable variability </w:t>
            </w:r>
            <w:r w:rsidR="009A0E31">
              <w:t>in</w:t>
            </w:r>
            <w:r w:rsidRPr="00672DBE">
              <w:t xml:space="preserve"> number of male (46 111 818), female (58 805 665), </w:t>
            </w:r>
            <w:r w:rsidR="009A0E31">
              <w:t>&amp;</w:t>
            </w:r>
            <w:r w:rsidR="009A0E31" w:rsidRPr="00672DBE">
              <w:t xml:space="preserve"> </w:t>
            </w:r>
            <w:r w:rsidRPr="00672DBE">
              <w:t>unspecified (10 459 730) participants</w:t>
            </w:r>
            <w:r w:rsidR="009A0E31">
              <w:t>.</w:t>
            </w:r>
          </w:p>
          <w:p w14:paraId="363CA8DA" w14:textId="0B60C3A8" w:rsidR="009A0E31" w:rsidRDefault="00EB2B55" w:rsidP="003414BB">
            <w:r w:rsidRPr="00672DBE">
              <w:t xml:space="preserve">•38.1% reported data by sex, 33.2% analysed data by sex, 22.9% </w:t>
            </w:r>
            <w:r w:rsidR="009A0E31" w:rsidRPr="00672DBE">
              <w:t>discuss</w:t>
            </w:r>
            <w:r w:rsidR="009A0E31">
              <w:t>ed</w:t>
            </w:r>
            <w:r w:rsidRPr="00672DBE">
              <w:t xml:space="preserve"> sex-based results</w:t>
            </w:r>
            <w:r w:rsidR="009A0E31">
              <w:t>.</w:t>
            </w:r>
          </w:p>
          <w:p w14:paraId="1755AC43" w14:textId="568E725E" w:rsidR="00EB2B55" w:rsidRPr="00672DBE" w:rsidRDefault="00EB2B55" w:rsidP="00051B8B">
            <w:r w:rsidRPr="00672DBE">
              <w:t>• Sex matching of</w:t>
            </w:r>
            <w:r w:rsidR="009A0E31">
              <w:t xml:space="preserve"> research</w:t>
            </w:r>
            <w:r w:rsidRPr="00672DBE">
              <w:t xml:space="preserve"> participants was poor, with 45.2% of studies matching inclusion of both sexes by 50%. </w:t>
            </w:r>
          </w:p>
        </w:tc>
      </w:tr>
      <w:tr w:rsidR="00EB2B55" w:rsidRPr="00672DBE" w14:paraId="1ADBFB4E" w14:textId="77777777" w:rsidTr="00DB191B">
        <w:trPr>
          <w:cantSplit/>
        </w:trPr>
        <w:tc>
          <w:tcPr>
            <w:tcW w:w="1555" w:type="dxa"/>
            <w:noWrap/>
            <w:hideMark/>
          </w:tcPr>
          <w:p w14:paraId="39639119" w14:textId="548B5FFC" w:rsidR="00EB2B55" w:rsidRPr="00672DBE" w:rsidRDefault="00EB2B55" w:rsidP="003414BB">
            <w:r w:rsidRPr="00D56226">
              <w:lastRenderedPageBreak/>
              <w:t>Mena et al.</w:t>
            </w:r>
            <w:r w:rsidR="00951871" w:rsidRPr="00D56226">
              <w:t>,</w:t>
            </w:r>
            <w:r w:rsidRPr="00D56226">
              <w:t xml:space="preserve"> 2019</w:t>
            </w:r>
            <w:r w:rsidR="00951871" w:rsidRPr="00D56226">
              <w:t>, international</w:t>
            </w:r>
          </w:p>
        </w:tc>
        <w:tc>
          <w:tcPr>
            <w:tcW w:w="2409" w:type="dxa"/>
            <w:hideMark/>
          </w:tcPr>
          <w:p w14:paraId="5F0E6C73" w14:textId="77777777" w:rsidR="00E23CD2" w:rsidRDefault="00E23CD2" w:rsidP="003414BB">
            <w:r>
              <w:t xml:space="preserve">To assess </w:t>
            </w:r>
            <w:r w:rsidR="009D73B0">
              <w:t xml:space="preserve">sex </w:t>
            </w:r>
            <w:r>
              <w:t>&amp;</w:t>
            </w:r>
            <w:r w:rsidR="009D73B0">
              <w:t xml:space="preserve"> gender sensitivity in</w:t>
            </w:r>
            <w:r w:rsidR="009D73B0" w:rsidRPr="00C94040">
              <w:t xml:space="preserve"> intersectionality-based </w:t>
            </w:r>
            <w:r w:rsidR="009D73B0">
              <w:t xml:space="preserve">epidemiological </w:t>
            </w:r>
            <w:r w:rsidR="009D73B0" w:rsidRPr="00C94040">
              <w:t>analyses (</w:t>
            </w:r>
            <w:r w:rsidR="009D73B0">
              <w:t xml:space="preserve">intersection of sex/gender </w:t>
            </w:r>
            <w:r>
              <w:t>&amp;</w:t>
            </w:r>
            <w:r w:rsidR="009D73B0">
              <w:t xml:space="preserve"> race/ethnicity</w:t>
            </w:r>
            <w:r w:rsidR="009D73B0" w:rsidRPr="00C94040">
              <w:t xml:space="preserve">) </w:t>
            </w:r>
            <w:r>
              <w:t xml:space="preserve">of </w:t>
            </w:r>
            <w:r w:rsidR="009D73B0" w:rsidRPr="00C94040">
              <w:t>diabetes, smoking</w:t>
            </w:r>
            <w:r w:rsidR="009D73B0">
              <w:t>,</w:t>
            </w:r>
            <w:r w:rsidR="009D73B0" w:rsidRPr="00C94040">
              <w:t xml:space="preserve"> </w:t>
            </w:r>
            <w:r>
              <w:t>&amp;</w:t>
            </w:r>
            <w:r w:rsidR="009D73B0" w:rsidRPr="00C94040">
              <w:t xml:space="preserve"> physical activity</w:t>
            </w:r>
            <w:r>
              <w:t>.</w:t>
            </w:r>
          </w:p>
          <w:p w14:paraId="3BC23CA1" w14:textId="2400B35B" w:rsidR="00EB2B55" w:rsidRPr="00672DBE" w:rsidRDefault="00EB2B55" w:rsidP="003414BB">
            <w:r w:rsidRPr="00672DBE">
              <w:t xml:space="preserve">Scoping </w:t>
            </w:r>
            <w:proofErr w:type="gramStart"/>
            <w:r w:rsidRPr="00672DBE">
              <w:t xml:space="preserve">review </w:t>
            </w:r>
            <w:r w:rsidR="00E23CD2">
              <w:t>.</w:t>
            </w:r>
            <w:proofErr w:type="gramEnd"/>
          </w:p>
        </w:tc>
        <w:tc>
          <w:tcPr>
            <w:tcW w:w="2410" w:type="dxa"/>
            <w:hideMark/>
          </w:tcPr>
          <w:p w14:paraId="259CD072" w14:textId="77777777" w:rsidR="00EB2B55" w:rsidRPr="00672DBE" w:rsidRDefault="00EB2B55" w:rsidP="003414BB">
            <w:r w:rsidRPr="00672DBE">
              <w:t xml:space="preserve">Searched PubMed. </w:t>
            </w:r>
          </w:p>
        </w:tc>
        <w:tc>
          <w:tcPr>
            <w:tcW w:w="2693" w:type="dxa"/>
            <w:hideMark/>
          </w:tcPr>
          <w:p w14:paraId="0BF564BB" w14:textId="6658ECFD" w:rsidR="00EB2B55" w:rsidRPr="00672DBE" w:rsidRDefault="00D56226" w:rsidP="003414BB">
            <w:r>
              <w:t>16 on adults, in English</w:t>
            </w:r>
            <w:r w:rsidR="00056224">
              <w:t xml:space="preserve">: </w:t>
            </w:r>
            <w:r w:rsidR="00EB2B55" w:rsidRPr="00672DBE">
              <w:t xml:space="preserve">diabetes = </w:t>
            </w:r>
            <w:r>
              <w:t>5</w:t>
            </w:r>
            <w:r w:rsidR="006323C0">
              <w:t>,</w:t>
            </w:r>
            <w:r w:rsidR="006323C0" w:rsidRPr="00672DBE">
              <w:t xml:space="preserve"> </w:t>
            </w:r>
            <w:r w:rsidR="00EB2B55" w:rsidRPr="00672DBE">
              <w:t xml:space="preserve">smoking = </w:t>
            </w:r>
            <w:r>
              <w:t>8</w:t>
            </w:r>
            <w:r w:rsidR="006323C0">
              <w:t>,</w:t>
            </w:r>
            <w:r w:rsidR="006323C0" w:rsidRPr="00672DBE">
              <w:t xml:space="preserve"> </w:t>
            </w:r>
            <w:r w:rsidR="00EB2B55" w:rsidRPr="00672DBE">
              <w:t xml:space="preserve">physical activity = </w:t>
            </w:r>
            <w:r>
              <w:t>3</w:t>
            </w:r>
            <w:r w:rsidR="00EB2B55" w:rsidRPr="00672DBE">
              <w:t xml:space="preserve">. </w:t>
            </w:r>
          </w:p>
        </w:tc>
        <w:tc>
          <w:tcPr>
            <w:tcW w:w="6321" w:type="dxa"/>
            <w:hideMark/>
          </w:tcPr>
          <w:p w14:paraId="60262011" w14:textId="7C88843E" w:rsidR="00EB2B55" w:rsidRPr="00672DBE" w:rsidRDefault="00EB2B55" w:rsidP="003414BB">
            <w:r w:rsidRPr="00672DBE">
              <w:t>• Sex/gender was considered in every included publication</w:t>
            </w:r>
            <w:r w:rsidR="00734BF6">
              <w:t>.</w:t>
            </w:r>
          </w:p>
          <w:p w14:paraId="4A69E877" w14:textId="79C88683" w:rsidR="00734BF6" w:rsidRDefault="00EB2B55" w:rsidP="003414BB">
            <w:r w:rsidRPr="00672DBE">
              <w:t xml:space="preserve">• </w:t>
            </w:r>
            <w:r w:rsidR="00734BF6">
              <w:t>Sex/gender</w:t>
            </w:r>
            <w:r w:rsidR="00734BF6" w:rsidRPr="00672DBE">
              <w:t xml:space="preserve"> </w:t>
            </w:r>
            <w:r w:rsidRPr="00672DBE">
              <w:t>was exclusively operationalised as binary</w:t>
            </w:r>
            <w:r w:rsidR="00734BF6">
              <w:t>.</w:t>
            </w:r>
          </w:p>
          <w:p w14:paraId="3C6F9817" w14:textId="74936B21" w:rsidR="00EB2B55" w:rsidRPr="00672DBE" w:rsidRDefault="00734BF6" w:rsidP="003414BB">
            <w:r w:rsidRPr="00672DBE">
              <w:t xml:space="preserve">• </w:t>
            </w:r>
            <w:r>
              <w:t>Sex/gender was rarely linked to potential s</w:t>
            </w:r>
            <w:r w:rsidR="00EB2B55" w:rsidRPr="00672DBE">
              <w:t>olution</w:t>
            </w:r>
            <w:r>
              <w:t>s</w:t>
            </w:r>
            <w:r w:rsidR="00EB2B55" w:rsidRPr="00672DBE">
              <w:t>.</w:t>
            </w:r>
          </w:p>
          <w:p w14:paraId="202A8924" w14:textId="77777777" w:rsidR="00EB2B55" w:rsidRPr="00672DBE" w:rsidRDefault="00EB2B55" w:rsidP="003414BB"/>
        </w:tc>
      </w:tr>
      <w:tr w:rsidR="00EB2B55" w:rsidRPr="00672DBE" w14:paraId="11431F70" w14:textId="77777777" w:rsidTr="00A85BAD">
        <w:trPr>
          <w:trHeight w:val="1728"/>
        </w:trPr>
        <w:tc>
          <w:tcPr>
            <w:tcW w:w="1555" w:type="dxa"/>
            <w:noWrap/>
            <w:hideMark/>
          </w:tcPr>
          <w:p w14:paraId="04448EEB" w14:textId="707C74D7" w:rsidR="00EB2B55" w:rsidRPr="00672DBE" w:rsidRDefault="00EB2B55" w:rsidP="003414BB">
            <w:r w:rsidRPr="00672DBE">
              <w:t>Merone et al.</w:t>
            </w:r>
            <w:r w:rsidR="00951871">
              <w:t>,</w:t>
            </w:r>
            <w:r w:rsidRPr="00672DBE">
              <w:t xml:space="preserve"> 2022</w:t>
            </w:r>
            <w:r w:rsidR="00951871">
              <w:t>, international</w:t>
            </w:r>
          </w:p>
        </w:tc>
        <w:tc>
          <w:tcPr>
            <w:tcW w:w="2409" w:type="dxa"/>
            <w:hideMark/>
          </w:tcPr>
          <w:p w14:paraId="66B87D5B" w14:textId="2E83A97F" w:rsidR="00827924" w:rsidRDefault="00EB2B55" w:rsidP="003414BB">
            <w:r w:rsidRPr="00672DBE">
              <w:t xml:space="preserve">To determine extent of research into the </w:t>
            </w:r>
            <w:r w:rsidR="00827924" w:rsidRPr="00672DBE">
              <w:t xml:space="preserve">sex </w:t>
            </w:r>
            <w:r w:rsidR="00827924">
              <w:t>&amp;</w:t>
            </w:r>
            <w:r w:rsidR="00827924" w:rsidRPr="00672DBE">
              <w:t xml:space="preserve"> gender gap </w:t>
            </w:r>
            <w:r w:rsidR="00827924">
              <w:t xml:space="preserve">in </w:t>
            </w:r>
            <w:r w:rsidRPr="00672DBE">
              <w:t xml:space="preserve">medical research </w:t>
            </w:r>
            <w:r w:rsidR="00827924">
              <w:t>&amp;</w:t>
            </w:r>
            <w:r w:rsidRPr="00672DBE">
              <w:t xml:space="preserve"> assess extent of misogyny in modern medical research</w:t>
            </w:r>
            <w:r w:rsidR="00827924">
              <w:t>.</w:t>
            </w:r>
          </w:p>
          <w:p w14:paraId="552B8DF5" w14:textId="0C0A3274" w:rsidR="00EB2B55" w:rsidRPr="00672DBE" w:rsidRDefault="00EB2B55" w:rsidP="003414BB">
            <w:r w:rsidRPr="00672DBE">
              <w:t>Systematic</w:t>
            </w:r>
            <w:r w:rsidR="009905BA">
              <w:t xml:space="preserve"> scoping</w:t>
            </w:r>
            <w:r w:rsidRPr="00672DBE">
              <w:t xml:space="preserve"> review</w:t>
            </w:r>
            <w:r w:rsidR="00827924">
              <w:t>.</w:t>
            </w:r>
          </w:p>
        </w:tc>
        <w:tc>
          <w:tcPr>
            <w:tcW w:w="2410" w:type="dxa"/>
            <w:hideMark/>
          </w:tcPr>
          <w:p w14:paraId="02F1DFE0" w14:textId="0FACC271" w:rsidR="00EB2B55" w:rsidRPr="00672DBE" w:rsidRDefault="00EB2B55" w:rsidP="003414BB">
            <w:r w:rsidRPr="00672DBE">
              <w:t xml:space="preserve">Searched PubMed, Science Direct, </w:t>
            </w:r>
            <w:proofErr w:type="spellStart"/>
            <w:r w:rsidRPr="00672DBE">
              <w:t>PsychINFO</w:t>
            </w:r>
            <w:proofErr w:type="spellEnd"/>
            <w:r w:rsidR="00B859EB">
              <w:t>,</w:t>
            </w:r>
            <w:r w:rsidRPr="00672DBE">
              <w:t xml:space="preserve"> Google Scholar</w:t>
            </w:r>
            <w:r w:rsidR="00646445">
              <w:t xml:space="preserve"> for papers</w:t>
            </w:r>
            <w:r w:rsidR="00646445" w:rsidRPr="00672DBE">
              <w:t xml:space="preserve"> </w:t>
            </w:r>
            <w:r w:rsidRPr="00672DBE">
              <w:t xml:space="preserve">published </w:t>
            </w:r>
            <w:r w:rsidR="00646445">
              <w:t xml:space="preserve">1 </w:t>
            </w:r>
            <w:r w:rsidRPr="00672DBE">
              <w:t>Jan</w:t>
            </w:r>
            <w:r w:rsidR="00646445">
              <w:t xml:space="preserve"> - 31</w:t>
            </w:r>
            <w:r w:rsidRPr="00672DBE">
              <w:t xml:space="preserve"> Dec 2019</w:t>
            </w:r>
            <w:r w:rsidR="00646445">
              <w:t>.</w:t>
            </w:r>
          </w:p>
        </w:tc>
        <w:tc>
          <w:tcPr>
            <w:tcW w:w="2693" w:type="dxa"/>
            <w:hideMark/>
          </w:tcPr>
          <w:p w14:paraId="14264F1F" w14:textId="71AC266A" w:rsidR="00EB2B55" w:rsidRPr="00672DBE" w:rsidRDefault="00EB2B55" w:rsidP="003414BB">
            <w:r w:rsidRPr="00672DBE">
              <w:t xml:space="preserve">17 </w:t>
            </w:r>
          </w:p>
        </w:tc>
        <w:tc>
          <w:tcPr>
            <w:tcW w:w="6321" w:type="dxa"/>
            <w:hideMark/>
          </w:tcPr>
          <w:p w14:paraId="2FBDFE31" w14:textId="4573A1DE" w:rsidR="001C669A" w:rsidRPr="00051B8B" w:rsidRDefault="001C669A" w:rsidP="003414BB">
            <w:pPr>
              <w:rPr>
                <w:rFonts w:cstheme="minorHAnsi"/>
              </w:rPr>
            </w:pPr>
            <w:r w:rsidRPr="00051B8B">
              <w:rPr>
                <w:rFonts w:cstheme="minorHAnsi"/>
              </w:rPr>
              <w:t xml:space="preserve">• </w:t>
            </w:r>
            <w:r w:rsidRPr="002A7E1A">
              <w:rPr>
                <w:rFonts w:cstheme="minorHAnsi"/>
              </w:rPr>
              <w:t>Gender gap &amp; misogyny remain in contemporary medical literature.</w:t>
            </w:r>
          </w:p>
          <w:p w14:paraId="5773F7FF" w14:textId="744AA7A4" w:rsidR="00C46693" w:rsidRDefault="00EB2B55" w:rsidP="003414BB">
            <w:r w:rsidRPr="00672DBE">
              <w:t>• 12</w:t>
            </w:r>
            <w:r w:rsidR="00C46693">
              <w:t>/17</w:t>
            </w:r>
            <w:r w:rsidRPr="00672DBE">
              <w:t xml:space="preserve"> examined the gender gap in medical </w:t>
            </w:r>
            <w:r w:rsidR="00C46693">
              <w:t>research.</w:t>
            </w:r>
          </w:p>
          <w:p w14:paraId="36DFBBFB" w14:textId="6F0E376F" w:rsidR="00C46693" w:rsidRDefault="00C46693" w:rsidP="003414BB">
            <w:r w:rsidRPr="00B60D6A">
              <w:rPr>
                <w:rFonts w:cstheme="minorHAnsi"/>
              </w:rPr>
              <w:t xml:space="preserve">• </w:t>
            </w:r>
            <w:r w:rsidR="00EB2B55" w:rsidRPr="00672DBE">
              <w:t>5</w:t>
            </w:r>
            <w:r>
              <w:t>/17</w:t>
            </w:r>
            <w:r w:rsidR="00EB2B55" w:rsidRPr="00672DBE">
              <w:t xml:space="preserve"> demonstrated misogyny, assessing female attractiveness for alleged medical reasons</w:t>
            </w:r>
            <w:r>
              <w:t>.</w:t>
            </w:r>
          </w:p>
          <w:p w14:paraId="7777DCDD" w14:textId="6A5E7EF9" w:rsidR="00C46693" w:rsidRDefault="00EB2B55" w:rsidP="003414BB">
            <w:r w:rsidRPr="00672DBE">
              <w:t xml:space="preserve">• </w:t>
            </w:r>
            <w:r w:rsidR="00C46693">
              <w:t>Women are</w:t>
            </w:r>
            <w:r w:rsidRPr="00672DBE">
              <w:t xml:space="preserve"> broadly under-represented in medical literature</w:t>
            </w:r>
            <w:r w:rsidR="00C46693">
              <w:t>.</w:t>
            </w:r>
          </w:p>
          <w:p w14:paraId="1CB61B54" w14:textId="61273008" w:rsidR="00EB2B55" w:rsidRPr="00672DBE" w:rsidRDefault="00C46693" w:rsidP="003414BB">
            <w:r w:rsidRPr="00672DBE">
              <w:t xml:space="preserve">• </w:t>
            </w:r>
            <w:r>
              <w:t>S</w:t>
            </w:r>
            <w:r w:rsidR="00EB2B55" w:rsidRPr="00672DBE">
              <w:t xml:space="preserve">ex </w:t>
            </w:r>
            <w:r>
              <w:t>&amp;</w:t>
            </w:r>
            <w:r w:rsidRPr="00672DBE">
              <w:t xml:space="preserve"> </w:t>
            </w:r>
            <w:r w:rsidR="00EB2B55" w:rsidRPr="00672DBE">
              <w:t xml:space="preserve">gender are poorly reported </w:t>
            </w:r>
            <w:r>
              <w:t>&amp;</w:t>
            </w:r>
            <w:r w:rsidRPr="00672DBE">
              <w:t xml:space="preserve"> </w:t>
            </w:r>
            <w:r w:rsidR="00EB2B55" w:rsidRPr="00672DBE">
              <w:t>inadequately analysed in research.</w:t>
            </w:r>
          </w:p>
        </w:tc>
      </w:tr>
      <w:tr w:rsidR="00EB2B55" w:rsidRPr="00672DBE" w14:paraId="5D6BB3B4" w14:textId="77777777" w:rsidTr="00A85BAD">
        <w:trPr>
          <w:trHeight w:val="2284"/>
        </w:trPr>
        <w:tc>
          <w:tcPr>
            <w:tcW w:w="1555" w:type="dxa"/>
            <w:noWrap/>
            <w:hideMark/>
          </w:tcPr>
          <w:p w14:paraId="5719CED2" w14:textId="6C470194" w:rsidR="00EB2B55" w:rsidRPr="00295724" w:rsidRDefault="00EB2B55" w:rsidP="003414BB">
            <w:pPr>
              <w:rPr>
                <w:rFonts w:cstheme="minorHAnsi"/>
              </w:rPr>
            </w:pPr>
            <w:r w:rsidRPr="00051B8B">
              <w:rPr>
                <w:rFonts w:cstheme="minorHAnsi"/>
              </w:rPr>
              <w:t xml:space="preserve">Mondini </w:t>
            </w:r>
            <w:proofErr w:type="spellStart"/>
            <w:r w:rsidR="008450F0" w:rsidRPr="00707C1B">
              <w:rPr>
                <w:rFonts w:cstheme="minorHAnsi"/>
                <w:color w:val="3A3A3A"/>
                <w:shd w:val="clear" w:color="auto" w:fill="FFFFFF"/>
              </w:rPr>
              <w:t>Trissino</w:t>
            </w:r>
            <w:proofErr w:type="spellEnd"/>
            <w:r w:rsidR="008450F0" w:rsidRPr="00707C1B">
              <w:rPr>
                <w:rFonts w:cstheme="minorHAnsi"/>
                <w:color w:val="3A3A3A"/>
                <w:shd w:val="clear" w:color="auto" w:fill="FFFFFF"/>
              </w:rPr>
              <w:t xml:space="preserve"> da Lodi</w:t>
            </w:r>
            <w:r w:rsidRPr="00051B8B">
              <w:rPr>
                <w:rFonts w:cstheme="minorHAnsi"/>
              </w:rPr>
              <w:t xml:space="preserve"> et al.</w:t>
            </w:r>
            <w:r w:rsidR="00951871" w:rsidRPr="00051B8B">
              <w:rPr>
                <w:rFonts w:cstheme="minorHAnsi"/>
              </w:rPr>
              <w:t>,</w:t>
            </w:r>
            <w:r w:rsidRPr="00051B8B">
              <w:rPr>
                <w:rFonts w:cstheme="minorHAnsi"/>
              </w:rPr>
              <w:t xml:space="preserve"> 2022</w:t>
            </w:r>
            <w:r w:rsidR="00951871" w:rsidRPr="00295724">
              <w:rPr>
                <w:rFonts w:cstheme="minorHAnsi"/>
              </w:rPr>
              <w:t>, international</w:t>
            </w:r>
          </w:p>
        </w:tc>
        <w:tc>
          <w:tcPr>
            <w:tcW w:w="2409" w:type="dxa"/>
            <w:hideMark/>
          </w:tcPr>
          <w:p w14:paraId="33B1D9DF" w14:textId="155EC731" w:rsidR="00051B8B" w:rsidRDefault="00EB2B55" w:rsidP="003414BB">
            <w:r w:rsidRPr="00672DBE">
              <w:t>To understand how the available treatments apply to women affected by patellar tendinopathy</w:t>
            </w:r>
            <w:r w:rsidR="00051B8B">
              <w:t>.</w:t>
            </w:r>
          </w:p>
          <w:p w14:paraId="142044E7" w14:textId="24661301" w:rsidR="00EB2B55" w:rsidRPr="00672DBE" w:rsidRDefault="00EB2B55" w:rsidP="003414BB">
            <w:r w:rsidRPr="00672DBE">
              <w:t>Systematic review</w:t>
            </w:r>
            <w:r w:rsidR="0048224D">
              <w:t>.</w:t>
            </w:r>
          </w:p>
        </w:tc>
        <w:tc>
          <w:tcPr>
            <w:tcW w:w="2410" w:type="dxa"/>
            <w:hideMark/>
          </w:tcPr>
          <w:p w14:paraId="3E826950" w14:textId="700C6436" w:rsidR="005D1CBD" w:rsidRDefault="00EB2B55" w:rsidP="003414BB">
            <w:r w:rsidRPr="00672DBE">
              <w:t>Searched PubMed, Cochran</w:t>
            </w:r>
            <w:r w:rsidR="005D1CBD">
              <w:t>e,</w:t>
            </w:r>
            <w:r w:rsidRPr="00672DBE">
              <w:t xml:space="preserve"> Web of </w:t>
            </w:r>
            <w:proofErr w:type="gramStart"/>
            <w:r w:rsidRPr="00672DBE">
              <w:t>Science</w:t>
            </w:r>
            <w:r w:rsidR="005D1CBD">
              <w:t>;</w:t>
            </w:r>
            <w:proofErr w:type="gramEnd"/>
            <w:r w:rsidR="00E16921">
              <w:t xml:space="preserve"> no date limits</w:t>
            </w:r>
            <w:r w:rsidR="005D1CBD">
              <w:t>.</w:t>
            </w:r>
          </w:p>
          <w:p w14:paraId="35001A00" w14:textId="266D5B69" w:rsidR="00EB2B55" w:rsidRPr="00672DBE" w:rsidRDefault="00EB2B55" w:rsidP="003414BB"/>
        </w:tc>
        <w:tc>
          <w:tcPr>
            <w:tcW w:w="2693" w:type="dxa"/>
            <w:hideMark/>
          </w:tcPr>
          <w:p w14:paraId="5FF241CC" w14:textId="4C58A548" w:rsidR="00EB2B55" w:rsidRPr="00672DBE" w:rsidRDefault="00EB2B55" w:rsidP="003414BB">
            <w:r w:rsidRPr="00672DBE">
              <w:t xml:space="preserve">136 </w:t>
            </w:r>
            <w:r w:rsidR="00E16921">
              <w:t>papers published 1983-Feb 202</w:t>
            </w:r>
            <w:r w:rsidR="00720274">
              <w:t>0.</w:t>
            </w:r>
          </w:p>
        </w:tc>
        <w:tc>
          <w:tcPr>
            <w:tcW w:w="6321" w:type="dxa"/>
            <w:hideMark/>
          </w:tcPr>
          <w:p w14:paraId="6BD31A1B" w14:textId="7659CA4B" w:rsidR="00EB2B55" w:rsidRPr="00707C1B" w:rsidRDefault="00EB2B55" w:rsidP="003414BB">
            <w:pPr>
              <w:tabs>
                <w:tab w:val="left" w:pos="318"/>
              </w:tabs>
              <w:rPr>
                <w:rFonts w:cstheme="minorHAnsi"/>
              </w:rPr>
            </w:pPr>
            <w:r w:rsidRPr="00295724">
              <w:rPr>
                <w:rFonts w:cstheme="minorHAnsi"/>
              </w:rPr>
              <w:t xml:space="preserve">• Women represent a minority of patients studied for </w:t>
            </w:r>
            <w:r w:rsidR="00923C18" w:rsidRPr="0017388B">
              <w:rPr>
                <w:rFonts w:cstheme="minorHAnsi"/>
              </w:rPr>
              <w:t>patellar tendinopathy</w:t>
            </w:r>
            <w:r w:rsidR="00923C18" w:rsidRPr="00707C1B">
              <w:rPr>
                <w:rFonts w:cstheme="minorHAnsi"/>
              </w:rPr>
              <w:t>; “gender blindness”.</w:t>
            </w:r>
          </w:p>
          <w:p w14:paraId="47D96B89" w14:textId="36767D67" w:rsidR="00720274" w:rsidRPr="00707C1B" w:rsidRDefault="00EB2B55" w:rsidP="003414BB">
            <w:pPr>
              <w:rPr>
                <w:rFonts w:cstheme="minorHAnsi"/>
              </w:rPr>
            </w:pPr>
            <w:r w:rsidRPr="00707C1B">
              <w:rPr>
                <w:rFonts w:cstheme="minorHAnsi"/>
              </w:rPr>
              <w:t>• Only 78 women (2%) were referred</w:t>
            </w:r>
            <w:r w:rsidR="00720274" w:rsidRPr="00707C1B">
              <w:rPr>
                <w:rFonts w:cstheme="minorHAnsi"/>
              </w:rPr>
              <w:t xml:space="preserve"> to</w:t>
            </w:r>
            <w:r w:rsidRPr="00707C1B">
              <w:rPr>
                <w:rFonts w:cstheme="minorHAnsi"/>
              </w:rPr>
              <w:t xml:space="preserve"> in the entire literature</w:t>
            </w:r>
            <w:r w:rsidR="00720274" w:rsidRPr="00707C1B">
              <w:rPr>
                <w:rFonts w:cstheme="minorHAnsi"/>
              </w:rPr>
              <w:t xml:space="preserve"> on treatment of patellar tendinopathy.</w:t>
            </w:r>
          </w:p>
          <w:p w14:paraId="6EAA1B92" w14:textId="53C017C3" w:rsidR="005914C7" w:rsidRPr="00707C1B" w:rsidRDefault="00EB2B55" w:rsidP="003414BB">
            <w:pPr>
              <w:rPr>
                <w:rFonts w:cstheme="minorHAnsi"/>
              </w:rPr>
            </w:pPr>
            <w:r w:rsidRPr="00707C1B">
              <w:rPr>
                <w:rFonts w:cstheme="minorHAnsi"/>
              </w:rPr>
              <w:t xml:space="preserve">• Only 5% of the retrieved articles </w:t>
            </w:r>
            <w:r w:rsidR="00720274" w:rsidRPr="00707C1B">
              <w:rPr>
                <w:rFonts w:cstheme="minorHAnsi"/>
              </w:rPr>
              <w:t xml:space="preserve">that focused </w:t>
            </w:r>
            <w:r w:rsidRPr="00707C1B">
              <w:rPr>
                <w:rFonts w:cstheme="minorHAnsi"/>
              </w:rPr>
              <w:t xml:space="preserve">only or mostly on men </w:t>
            </w:r>
            <w:r w:rsidR="00720274" w:rsidRPr="00707C1B">
              <w:rPr>
                <w:rFonts w:cstheme="minorHAnsi"/>
              </w:rPr>
              <w:t xml:space="preserve">considered that </w:t>
            </w:r>
            <w:r w:rsidRPr="00707C1B">
              <w:rPr>
                <w:rFonts w:cstheme="minorHAnsi"/>
              </w:rPr>
              <w:t xml:space="preserve">to be a limitation. </w:t>
            </w:r>
          </w:p>
          <w:p w14:paraId="700BEC17" w14:textId="0B5C7F84" w:rsidR="005914C7" w:rsidRPr="00707C1B" w:rsidRDefault="005914C7" w:rsidP="00720274">
            <w:pPr>
              <w:autoSpaceDE w:val="0"/>
              <w:autoSpaceDN w:val="0"/>
              <w:adjustRightInd w:val="0"/>
              <w:rPr>
                <w:rFonts w:cstheme="minorHAnsi"/>
                <w:color w:val="000000"/>
              </w:rPr>
            </w:pPr>
            <w:r w:rsidRPr="00707C1B">
              <w:rPr>
                <w:rFonts w:cstheme="minorHAnsi"/>
              </w:rPr>
              <w:t xml:space="preserve">• </w:t>
            </w:r>
            <w:r w:rsidRPr="00707C1B">
              <w:rPr>
                <w:rFonts w:cstheme="minorHAnsi"/>
                <w:color w:val="000000"/>
              </w:rPr>
              <w:t>6</w:t>
            </w:r>
            <w:r w:rsidR="00720274" w:rsidRPr="00707C1B">
              <w:rPr>
                <w:rFonts w:cstheme="minorHAnsi"/>
                <w:color w:val="000000"/>
              </w:rPr>
              <w:t xml:space="preserve"> (4%) </w:t>
            </w:r>
            <w:r w:rsidRPr="00707C1B">
              <w:rPr>
                <w:rFonts w:cstheme="minorHAnsi"/>
                <w:color w:val="000000"/>
              </w:rPr>
              <w:t xml:space="preserve">papers </w:t>
            </w:r>
            <w:r w:rsidR="00720274" w:rsidRPr="00707C1B">
              <w:rPr>
                <w:rFonts w:cstheme="minorHAnsi"/>
                <w:color w:val="000000"/>
              </w:rPr>
              <w:t xml:space="preserve">did not specify </w:t>
            </w:r>
            <w:r w:rsidRPr="00707C1B">
              <w:rPr>
                <w:rFonts w:cstheme="minorHAnsi"/>
                <w:color w:val="000000"/>
              </w:rPr>
              <w:t xml:space="preserve">patient </w:t>
            </w:r>
            <w:r w:rsidR="00720274" w:rsidRPr="00707C1B">
              <w:rPr>
                <w:rFonts w:cstheme="minorHAnsi"/>
                <w:color w:val="000000"/>
              </w:rPr>
              <w:t>sex</w:t>
            </w:r>
            <w:r w:rsidRPr="00707C1B">
              <w:rPr>
                <w:rFonts w:cstheme="minorHAnsi"/>
                <w:color w:val="000000"/>
              </w:rPr>
              <w:t>.</w:t>
            </w:r>
          </w:p>
          <w:p w14:paraId="109BF32C" w14:textId="752DBCA5" w:rsidR="00720274" w:rsidRPr="00707C1B" w:rsidRDefault="005914C7" w:rsidP="00720274">
            <w:pPr>
              <w:autoSpaceDE w:val="0"/>
              <w:autoSpaceDN w:val="0"/>
              <w:adjustRightInd w:val="0"/>
              <w:rPr>
                <w:rFonts w:cstheme="minorHAnsi"/>
                <w:color w:val="000000"/>
              </w:rPr>
            </w:pPr>
            <w:r w:rsidRPr="00295724">
              <w:rPr>
                <w:rFonts w:cstheme="minorHAnsi"/>
              </w:rPr>
              <w:t xml:space="preserve">• </w:t>
            </w:r>
            <w:r w:rsidRPr="00707C1B">
              <w:rPr>
                <w:rFonts w:cstheme="minorHAnsi"/>
                <w:color w:val="000000"/>
              </w:rPr>
              <w:t>2 of the r</w:t>
            </w:r>
            <w:r w:rsidR="00720274" w:rsidRPr="00707C1B">
              <w:rPr>
                <w:rFonts w:cstheme="minorHAnsi"/>
                <w:color w:val="000000"/>
              </w:rPr>
              <w:t xml:space="preserve">emaining 130 </w:t>
            </w:r>
            <w:r w:rsidRPr="00707C1B">
              <w:rPr>
                <w:rFonts w:cstheme="minorHAnsi"/>
                <w:color w:val="000000"/>
              </w:rPr>
              <w:t>papers</w:t>
            </w:r>
            <w:r w:rsidR="00720274" w:rsidRPr="00707C1B">
              <w:rPr>
                <w:rFonts w:cstheme="minorHAnsi"/>
                <w:color w:val="000000"/>
              </w:rPr>
              <w:t xml:space="preserve"> included only women</w:t>
            </w:r>
            <w:r w:rsidRPr="00707C1B">
              <w:rPr>
                <w:rFonts w:cstheme="minorHAnsi"/>
                <w:color w:val="000000"/>
              </w:rPr>
              <w:t>,</w:t>
            </w:r>
            <w:r w:rsidR="00720274" w:rsidRPr="00707C1B">
              <w:rPr>
                <w:rFonts w:cstheme="minorHAnsi"/>
                <w:color w:val="000000"/>
              </w:rPr>
              <w:t xml:space="preserve"> 25 included only</w:t>
            </w:r>
            <w:r w:rsidRPr="00707C1B">
              <w:rPr>
                <w:rFonts w:cstheme="minorHAnsi"/>
                <w:color w:val="000000"/>
              </w:rPr>
              <w:t xml:space="preserve"> me</w:t>
            </w:r>
            <w:r w:rsidR="00720274" w:rsidRPr="00707C1B">
              <w:rPr>
                <w:rFonts w:cstheme="minorHAnsi"/>
                <w:color w:val="000000"/>
              </w:rPr>
              <w:t>n</w:t>
            </w:r>
            <w:r w:rsidRPr="00707C1B">
              <w:rPr>
                <w:rFonts w:cstheme="minorHAnsi"/>
                <w:color w:val="000000"/>
              </w:rPr>
              <w:t>,</w:t>
            </w:r>
            <w:r w:rsidR="00720274" w:rsidRPr="00707C1B">
              <w:rPr>
                <w:rFonts w:cstheme="minorHAnsi"/>
                <w:color w:val="000000"/>
              </w:rPr>
              <w:t xml:space="preserve"> 103 (80%) included both sexes</w:t>
            </w:r>
            <w:r w:rsidRPr="00707C1B">
              <w:rPr>
                <w:rFonts w:cstheme="minorHAnsi"/>
                <w:color w:val="000000"/>
              </w:rPr>
              <w:t>; only 1 separated</w:t>
            </w:r>
            <w:r w:rsidR="00720274" w:rsidRPr="00707C1B">
              <w:rPr>
                <w:rFonts w:cstheme="minorHAnsi"/>
                <w:color w:val="000000"/>
              </w:rPr>
              <w:t xml:space="preserve"> data by sex</w:t>
            </w:r>
            <w:r w:rsidRPr="00707C1B">
              <w:rPr>
                <w:rFonts w:cstheme="minorHAnsi"/>
                <w:color w:val="000000"/>
              </w:rPr>
              <w:t xml:space="preserve">. </w:t>
            </w:r>
          </w:p>
          <w:p w14:paraId="1C9D6656" w14:textId="2365E803" w:rsidR="00EB2B55" w:rsidRPr="00DB191B" w:rsidRDefault="005914C7" w:rsidP="00DB191B">
            <w:pPr>
              <w:autoSpaceDE w:val="0"/>
              <w:autoSpaceDN w:val="0"/>
              <w:adjustRightInd w:val="0"/>
              <w:rPr>
                <w:rFonts w:cstheme="minorHAnsi"/>
                <w:color w:val="000000"/>
              </w:rPr>
            </w:pPr>
            <w:r w:rsidRPr="00B60D6A">
              <w:rPr>
                <w:rFonts w:cstheme="minorHAnsi"/>
              </w:rPr>
              <w:t xml:space="preserve">• </w:t>
            </w:r>
            <w:r w:rsidRPr="00707C1B">
              <w:rPr>
                <w:rFonts w:cstheme="minorHAnsi"/>
                <w:color w:val="000000"/>
              </w:rPr>
              <w:t>7</w:t>
            </w:r>
            <w:r w:rsidR="00720274" w:rsidRPr="00707C1B">
              <w:rPr>
                <w:rFonts w:cstheme="minorHAnsi"/>
                <w:color w:val="000000"/>
              </w:rPr>
              <w:t xml:space="preserve"> other</w:t>
            </w:r>
            <w:r w:rsidRPr="00707C1B">
              <w:rPr>
                <w:rFonts w:cstheme="minorHAnsi"/>
                <w:color w:val="000000"/>
              </w:rPr>
              <w:t xml:space="preserve"> papers </w:t>
            </w:r>
            <w:r w:rsidR="00720274" w:rsidRPr="00707C1B">
              <w:rPr>
                <w:rFonts w:cstheme="minorHAnsi"/>
                <w:color w:val="000000"/>
              </w:rPr>
              <w:t>perform</w:t>
            </w:r>
            <w:r w:rsidRPr="00707C1B">
              <w:rPr>
                <w:rFonts w:cstheme="minorHAnsi"/>
                <w:color w:val="000000"/>
              </w:rPr>
              <w:t>ed</w:t>
            </w:r>
            <w:r w:rsidR="00720274" w:rsidRPr="00707C1B">
              <w:rPr>
                <w:rFonts w:cstheme="minorHAnsi"/>
                <w:color w:val="000000"/>
              </w:rPr>
              <w:t xml:space="preserve"> sex-specific analysis, without</w:t>
            </w:r>
            <w:r w:rsidRPr="00707C1B">
              <w:rPr>
                <w:rFonts w:cstheme="minorHAnsi"/>
                <w:color w:val="000000"/>
              </w:rPr>
              <w:t xml:space="preserve"> discussion.</w:t>
            </w:r>
          </w:p>
        </w:tc>
      </w:tr>
      <w:tr w:rsidR="00EB2B55" w:rsidRPr="00672DBE" w14:paraId="164423B6" w14:textId="77777777" w:rsidTr="00A85BAD">
        <w:trPr>
          <w:trHeight w:val="1031"/>
        </w:trPr>
        <w:tc>
          <w:tcPr>
            <w:tcW w:w="1555" w:type="dxa"/>
            <w:noWrap/>
            <w:hideMark/>
          </w:tcPr>
          <w:p w14:paraId="07D9DEA7" w14:textId="235EB68A" w:rsidR="00EB2B55" w:rsidRPr="00672DBE" w:rsidRDefault="00EB2B55" w:rsidP="003414BB">
            <w:proofErr w:type="spellStart"/>
            <w:r w:rsidRPr="00672DBE">
              <w:lastRenderedPageBreak/>
              <w:t>Noubiap</w:t>
            </w:r>
            <w:proofErr w:type="spellEnd"/>
            <w:r w:rsidRPr="00672DBE">
              <w:t xml:space="preserve"> et al.</w:t>
            </w:r>
            <w:r w:rsidR="00951871">
              <w:t>,</w:t>
            </w:r>
            <w:r w:rsidRPr="00672DBE">
              <w:t xml:space="preserve"> 2022</w:t>
            </w:r>
            <w:r w:rsidR="00951871">
              <w:t>, international</w:t>
            </w:r>
          </w:p>
        </w:tc>
        <w:tc>
          <w:tcPr>
            <w:tcW w:w="2409" w:type="dxa"/>
            <w:hideMark/>
          </w:tcPr>
          <w:p w14:paraId="4C3F737A" w14:textId="6E0B477A" w:rsidR="00EB2B55" w:rsidRPr="00672DBE" w:rsidRDefault="00EB2B55" w:rsidP="003414BB">
            <w:r w:rsidRPr="00672DBE">
              <w:t xml:space="preserve">To measure sex disparities in participant recruitment </w:t>
            </w:r>
            <w:r w:rsidR="00855890">
              <w:t>to randomised controlled trials (</w:t>
            </w:r>
            <w:r w:rsidRPr="00672DBE">
              <w:t>RCTs</w:t>
            </w:r>
            <w:r w:rsidR="00855890">
              <w:t>)</w:t>
            </w:r>
            <w:r w:rsidRPr="00672DBE">
              <w:t xml:space="preserve"> of atrial fibrillation (AF)</w:t>
            </w:r>
            <w:r w:rsidR="00855890">
              <w:t>,</w:t>
            </w:r>
            <w:r w:rsidRPr="00672DBE">
              <w:t xml:space="preserve"> determine associated factors, </w:t>
            </w:r>
            <w:r w:rsidR="00855890">
              <w:t>&amp;</w:t>
            </w:r>
            <w:r w:rsidRPr="00672DBE">
              <w:t xml:space="preserve"> describe frequency of outcomes reported by sex</w:t>
            </w:r>
            <w:r w:rsidR="00855890">
              <w:t>.</w:t>
            </w:r>
            <w:r w:rsidR="00855890" w:rsidRPr="00672DBE">
              <w:t xml:space="preserve"> </w:t>
            </w:r>
            <w:r w:rsidRPr="00672DBE">
              <w:t xml:space="preserve">Systematic review </w:t>
            </w:r>
            <w:r w:rsidR="00855890">
              <w:t>&amp;</w:t>
            </w:r>
            <w:r w:rsidR="00855890" w:rsidRPr="00672DBE">
              <w:t xml:space="preserve"> </w:t>
            </w:r>
            <w:r w:rsidRPr="00672DBE">
              <w:t>meta-analysis</w:t>
            </w:r>
            <w:r w:rsidR="00855890">
              <w:t>.</w:t>
            </w:r>
          </w:p>
        </w:tc>
        <w:tc>
          <w:tcPr>
            <w:tcW w:w="2410" w:type="dxa"/>
            <w:hideMark/>
          </w:tcPr>
          <w:p w14:paraId="393DDBBF" w14:textId="5801C04C" w:rsidR="00EB2B55" w:rsidRPr="00672DBE" w:rsidRDefault="00EB2B55" w:rsidP="003414BB">
            <w:r w:rsidRPr="00672DBE">
              <w:t>MEDLINE was searched to identify all RCTs of AF published</w:t>
            </w:r>
            <w:r w:rsidR="00855890">
              <w:t xml:space="preserve"> 1 </w:t>
            </w:r>
            <w:r w:rsidRPr="00672DBE">
              <w:t>Jan 2011</w:t>
            </w:r>
            <w:r w:rsidR="00855890">
              <w:t xml:space="preserve"> - 20</w:t>
            </w:r>
            <w:r w:rsidR="00855890" w:rsidRPr="00672DBE">
              <w:t xml:space="preserve"> </w:t>
            </w:r>
            <w:r w:rsidRPr="00672DBE">
              <w:t>Nov 2021</w:t>
            </w:r>
            <w:r w:rsidR="00855890">
              <w:t>.</w:t>
            </w:r>
          </w:p>
        </w:tc>
        <w:tc>
          <w:tcPr>
            <w:tcW w:w="2693" w:type="dxa"/>
            <w:hideMark/>
          </w:tcPr>
          <w:p w14:paraId="152412B8" w14:textId="205171D6" w:rsidR="00EB2B55" w:rsidRPr="00672DBE" w:rsidRDefault="00EB2B55" w:rsidP="003414BB">
            <w:r w:rsidRPr="00672DBE">
              <w:t xml:space="preserve">142 trials reporting </w:t>
            </w:r>
            <w:r w:rsidR="00855890">
              <w:t>on</w:t>
            </w:r>
            <w:r w:rsidRPr="00672DBE">
              <w:t xml:space="preserve"> </w:t>
            </w:r>
            <w:r w:rsidR="00855890" w:rsidRPr="00672DBE">
              <w:t>133</w:t>
            </w:r>
            <w:r w:rsidR="00855890">
              <w:t>,</w:t>
            </w:r>
            <w:r w:rsidRPr="00672DBE">
              <w:t>532 participants</w:t>
            </w:r>
            <w:r w:rsidR="00855890">
              <w:t>.</w:t>
            </w:r>
          </w:p>
        </w:tc>
        <w:tc>
          <w:tcPr>
            <w:tcW w:w="6321" w:type="dxa"/>
            <w:hideMark/>
          </w:tcPr>
          <w:p w14:paraId="0B63407F" w14:textId="6F88D8CF" w:rsidR="00855890" w:rsidRDefault="00EB2B55" w:rsidP="003414BB">
            <w:r w:rsidRPr="00672DBE">
              <w:t xml:space="preserve">• </w:t>
            </w:r>
            <w:r w:rsidR="00855890">
              <w:t>Women are</w:t>
            </w:r>
            <w:r w:rsidRPr="00672DBE">
              <w:t xml:space="preserve"> substantially less represented in RCTs of AF</w:t>
            </w:r>
            <w:r w:rsidR="00855890">
              <w:t xml:space="preserve"> (</w:t>
            </w:r>
            <w:r w:rsidR="00855890" w:rsidRPr="00672DBE">
              <w:t>under</w:t>
            </w:r>
            <w:r w:rsidR="00855890">
              <w:t>-</w:t>
            </w:r>
            <w:r w:rsidR="00855890" w:rsidRPr="00672DBE">
              <w:t>enrolled by 12.5%</w:t>
            </w:r>
            <w:r w:rsidR="00855890">
              <w:t>).</w:t>
            </w:r>
          </w:p>
          <w:p w14:paraId="23EED8A3" w14:textId="43715939" w:rsidR="00EB2B55" w:rsidRPr="00672DBE" w:rsidRDefault="00855890" w:rsidP="003414BB">
            <w:r w:rsidRPr="00672DBE">
              <w:t>•</w:t>
            </w:r>
            <w:r>
              <w:t xml:space="preserve"> S</w:t>
            </w:r>
            <w:r w:rsidR="00EB2B55" w:rsidRPr="00672DBE">
              <w:t>ex-stratified reporting of primary outcomes is infrequent</w:t>
            </w:r>
            <w:r>
              <w:t xml:space="preserve">: </w:t>
            </w:r>
            <w:r w:rsidRPr="00672DBE">
              <w:t>36 trials (25.4%) reported outcomes by sex</w:t>
            </w:r>
            <w:r>
              <w:t>;</w:t>
            </w:r>
            <w:r w:rsidRPr="00672DBE">
              <w:t xml:space="preserve"> 29 (80.6%) </w:t>
            </w:r>
            <w:r>
              <w:t xml:space="preserve">of these </w:t>
            </w:r>
            <w:r w:rsidRPr="00672DBE">
              <w:t>statistical</w:t>
            </w:r>
            <w:r>
              <w:t>ly</w:t>
            </w:r>
            <w:r w:rsidRPr="00672DBE">
              <w:t xml:space="preserve"> test</w:t>
            </w:r>
            <w:r>
              <w:t>ed</w:t>
            </w:r>
            <w:r w:rsidRPr="00672DBE">
              <w:t xml:space="preserve"> sex-by-treatment interaction</w:t>
            </w:r>
            <w:r>
              <w:t>.</w:t>
            </w:r>
          </w:p>
          <w:p w14:paraId="1CF9BD1C" w14:textId="25E95EC3" w:rsidR="00EB2B55" w:rsidRPr="00672DBE" w:rsidRDefault="00EB2B55" w:rsidP="003414BB">
            <w:r w:rsidRPr="00672DBE">
              <w:t>• Female enrolment was higher in trials with higher sample size (&lt;250 vs. &gt;750, aOR:1.065, 95% CI: 1.008-1.125</w:t>
            </w:r>
            <w:r w:rsidR="00855890">
              <w:t>.</w:t>
            </w:r>
          </w:p>
          <w:p w14:paraId="33D8911F" w14:textId="04E51C82" w:rsidR="00EB2B55" w:rsidRPr="00672DBE" w:rsidRDefault="00EB2B55" w:rsidP="003414BB"/>
        </w:tc>
      </w:tr>
      <w:tr w:rsidR="00EB2B55" w:rsidRPr="00672DBE" w14:paraId="04BE657D" w14:textId="77777777" w:rsidTr="00A85BAD">
        <w:trPr>
          <w:trHeight w:val="2165"/>
        </w:trPr>
        <w:tc>
          <w:tcPr>
            <w:tcW w:w="1555" w:type="dxa"/>
            <w:noWrap/>
            <w:hideMark/>
          </w:tcPr>
          <w:p w14:paraId="32E00081" w14:textId="34A36A86" w:rsidR="00951871" w:rsidRDefault="00EB2B55" w:rsidP="003414BB">
            <w:r w:rsidRPr="00672DBE">
              <w:t>Prakash et al.</w:t>
            </w:r>
            <w:r w:rsidR="00951871">
              <w:t xml:space="preserve">, </w:t>
            </w:r>
            <w:r w:rsidRPr="00672DBE">
              <w:t xml:space="preserve">2018, </w:t>
            </w:r>
          </w:p>
          <w:p w14:paraId="4F1AC19A" w14:textId="1EA32F58" w:rsidR="00EB2B55" w:rsidRPr="00672DBE" w:rsidRDefault="00EB2B55" w:rsidP="003414BB">
            <w:r w:rsidRPr="00672DBE">
              <w:t xml:space="preserve">United States </w:t>
            </w:r>
            <w:r w:rsidR="00951871">
              <w:t>of America</w:t>
            </w:r>
          </w:p>
        </w:tc>
        <w:tc>
          <w:tcPr>
            <w:tcW w:w="2409" w:type="dxa"/>
            <w:hideMark/>
          </w:tcPr>
          <w:p w14:paraId="28A040BE" w14:textId="77777777" w:rsidR="00EE0C59" w:rsidRDefault="00EB2B55" w:rsidP="003414BB">
            <w:r w:rsidRPr="00672DBE">
              <w:t xml:space="preserve">To identify if sex bias continues to exist in present day clinical trials </w:t>
            </w:r>
            <w:proofErr w:type="gramStart"/>
            <w:r w:rsidRPr="00672DBE">
              <w:t>entered into</w:t>
            </w:r>
            <w:proofErr w:type="gramEnd"/>
            <w:r w:rsidRPr="00672DBE">
              <w:t xml:space="preserve"> ClinicalTrials.gov</w:t>
            </w:r>
            <w:r w:rsidR="00EE0C59">
              <w:t>.</w:t>
            </w:r>
          </w:p>
          <w:p w14:paraId="50820B88" w14:textId="7C3A6547" w:rsidR="00EB2B55" w:rsidRPr="00672DBE" w:rsidRDefault="00EB2B55" w:rsidP="003414BB">
            <w:r w:rsidRPr="00672DBE">
              <w:t>Literature review</w:t>
            </w:r>
            <w:r w:rsidR="00EE0C59">
              <w:t>.</w:t>
            </w:r>
          </w:p>
        </w:tc>
        <w:tc>
          <w:tcPr>
            <w:tcW w:w="2410" w:type="dxa"/>
            <w:hideMark/>
          </w:tcPr>
          <w:p w14:paraId="28015166" w14:textId="421CD47D" w:rsidR="00EB2B55" w:rsidRPr="00672DBE" w:rsidRDefault="00EB2B55" w:rsidP="003414BB">
            <w:r w:rsidRPr="00672DBE">
              <w:t xml:space="preserve">Data abstracted from all interventional Phase I, II, </w:t>
            </w:r>
            <w:r w:rsidR="00EE0C59">
              <w:t>&amp;</w:t>
            </w:r>
            <w:r w:rsidR="00EE0C59" w:rsidRPr="00672DBE">
              <w:t xml:space="preserve"> </w:t>
            </w:r>
            <w:r w:rsidRPr="00672DBE">
              <w:t xml:space="preserve">III clinical trials with adult subjects </w:t>
            </w:r>
            <w:proofErr w:type="gramStart"/>
            <w:r w:rsidRPr="00672DBE">
              <w:t>entered into</w:t>
            </w:r>
            <w:proofErr w:type="gramEnd"/>
            <w:r w:rsidRPr="00672DBE">
              <w:t xml:space="preserve"> ClinicalTrials.gov </w:t>
            </w:r>
            <w:r w:rsidR="00EE0C59">
              <w:t xml:space="preserve">1 </w:t>
            </w:r>
            <w:r w:rsidRPr="00672DBE">
              <w:t xml:space="preserve">Jan 2011 </w:t>
            </w:r>
            <w:r w:rsidR="00EE0C59">
              <w:t>- 31</w:t>
            </w:r>
            <w:r w:rsidR="00EE0C59" w:rsidRPr="00672DBE">
              <w:t xml:space="preserve"> </w:t>
            </w:r>
            <w:r w:rsidRPr="00672DBE">
              <w:t xml:space="preserve">Dec 2013 </w:t>
            </w:r>
            <w:r w:rsidR="00EE0C59">
              <w:t>&amp;</w:t>
            </w:r>
            <w:r w:rsidR="00EE0C59" w:rsidRPr="00672DBE">
              <w:t xml:space="preserve"> </w:t>
            </w:r>
            <w:r w:rsidRPr="00672DBE">
              <w:t xml:space="preserve">completed by </w:t>
            </w:r>
            <w:r w:rsidR="00EE0C59">
              <w:t xml:space="preserve">30 </w:t>
            </w:r>
            <w:r w:rsidRPr="00672DBE">
              <w:t>Nov 2015.</w:t>
            </w:r>
          </w:p>
        </w:tc>
        <w:tc>
          <w:tcPr>
            <w:tcW w:w="2693" w:type="dxa"/>
            <w:hideMark/>
          </w:tcPr>
          <w:p w14:paraId="488655E5" w14:textId="21D0E2C0" w:rsidR="008733EA" w:rsidRPr="00757963" w:rsidRDefault="008733EA" w:rsidP="00757963">
            <w:pPr>
              <w:pStyle w:val="NormalWeb"/>
              <w:spacing w:before="0" w:beforeAutospacing="0" w:after="0" w:afterAutospacing="0"/>
              <w:rPr>
                <w:rFonts w:asciiTheme="minorHAnsi" w:hAnsiTheme="minorHAnsi" w:cstheme="minorHAnsi"/>
              </w:rPr>
            </w:pPr>
            <w:r w:rsidRPr="00757963">
              <w:rPr>
                <w:rFonts w:asciiTheme="minorHAnsi" w:hAnsiTheme="minorHAnsi" w:cstheme="minorHAnsi"/>
                <w:sz w:val="22"/>
                <w:szCs w:val="22"/>
              </w:rPr>
              <w:t>1,501 studies</w:t>
            </w:r>
            <w:r>
              <w:rPr>
                <w:rFonts w:asciiTheme="minorHAnsi" w:hAnsiTheme="minorHAnsi" w:cstheme="minorHAnsi"/>
                <w:sz w:val="22"/>
                <w:szCs w:val="22"/>
              </w:rPr>
              <w:t xml:space="preserve"> with </w:t>
            </w:r>
            <w:r w:rsidRPr="00702CBA">
              <w:rPr>
                <w:rFonts w:asciiTheme="minorHAnsi" w:hAnsiTheme="minorHAnsi" w:cstheme="minorHAnsi"/>
                <w:sz w:val="22"/>
                <w:szCs w:val="22"/>
              </w:rPr>
              <w:t>170,331 (49.0%) female</w:t>
            </w:r>
            <w:r>
              <w:rPr>
                <w:rFonts w:asciiTheme="minorHAnsi" w:hAnsiTheme="minorHAnsi" w:cstheme="minorHAnsi"/>
                <w:sz w:val="22"/>
                <w:szCs w:val="22"/>
              </w:rPr>
              <w:t xml:space="preserve"> &amp;</w:t>
            </w:r>
            <w:r w:rsidRPr="00757963">
              <w:rPr>
                <w:rFonts w:asciiTheme="minorHAnsi" w:hAnsiTheme="minorHAnsi" w:cstheme="minorHAnsi"/>
                <w:sz w:val="22"/>
                <w:szCs w:val="22"/>
              </w:rPr>
              <w:t xml:space="preserve"> 177,656 (51.1%) male subjects</w:t>
            </w:r>
            <w:r>
              <w:rPr>
                <w:rFonts w:asciiTheme="minorHAnsi" w:hAnsiTheme="minorHAnsi" w:cstheme="minorHAnsi"/>
                <w:sz w:val="22"/>
                <w:szCs w:val="22"/>
              </w:rPr>
              <w:t>.</w:t>
            </w:r>
            <w:r w:rsidRPr="00757963">
              <w:rPr>
                <w:rFonts w:asciiTheme="minorHAnsi" w:hAnsiTheme="minorHAnsi" w:cstheme="minorHAnsi"/>
                <w:sz w:val="22"/>
                <w:szCs w:val="22"/>
              </w:rPr>
              <w:t xml:space="preserve"> </w:t>
            </w:r>
          </w:p>
          <w:p w14:paraId="559C8C99" w14:textId="671095E0" w:rsidR="00EB2B55" w:rsidRPr="00672DBE" w:rsidRDefault="00EB2B55" w:rsidP="003414BB"/>
        </w:tc>
        <w:tc>
          <w:tcPr>
            <w:tcW w:w="6321" w:type="dxa"/>
            <w:hideMark/>
          </w:tcPr>
          <w:p w14:paraId="385C2FDD" w14:textId="43232F20" w:rsidR="008733EA" w:rsidRPr="00757963" w:rsidRDefault="008733EA" w:rsidP="00757963">
            <w:pPr>
              <w:pStyle w:val="NormalWeb"/>
              <w:spacing w:before="0" w:beforeAutospacing="0" w:after="0" w:afterAutospacing="0"/>
              <w:rPr>
                <w:rFonts w:asciiTheme="minorHAnsi" w:hAnsiTheme="minorHAnsi" w:cstheme="minorHAnsi"/>
                <w:sz w:val="22"/>
                <w:szCs w:val="22"/>
              </w:rPr>
            </w:pPr>
            <w:r w:rsidRPr="00757963">
              <w:rPr>
                <w:rFonts w:asciiTheme="minorHAnsi" w:hAnsiTheme="minorHAnsi" w:cstheme="minorHAnsi"/>
                <w:sz w:val="22"/>
                <w:szCs w:val="22"/>
              </w:rPr>
              <w:t xml:space="preserve">• Sex bias is present in current day clinical trials. </w:t>
            </w:r>
          </w:p>
          <w:p w14:paraId="5BEDB9B0" w14:textId="730134FA" w:rsidR="008733EA" w:rsidRDefault="00EB2B55" w:rsidP="003414BB">
            <w:r w:rsidRPr="00672DBE">
              <w:t xml:space="preserve">• </w:t>
            </w:r>
            <w:r w:rsidR="008733EA">
              <w:t>S</w:t>
            </w:r>
            <w:r w:rsidRPr="00672DBE">
              <w:t xml:space="preserve">ignificant difference in </w:t>
            </w:r>
            <w:r w:rsidR="008733EA">
              <w:t>subject</w:t>
            </w:r>
            <w:r w:rsidR="008733EA" w:rsidRPr="00672DBE">
              <w:t xml:space="preserve"> </w:t>
            </w:r>
            <w:r w:rsidRPr="00672DBE">
              <w:t xml:space="preserve">sex included in Phase I (64.1% male/35.9% female), Phase II (48.4% male/51.6% female), </w:t>
            </w:r>
            <w:r w:rsidR="008733EA">
              <w:t>&amp;</w:t>
            </w:r>
            <w:r w:rsidR="008733EA" w:rsidRPr="00672DBE">
              <w:t xml:space="preserve"> </w:t>
            </w:r>
            <w:r w:rsidRPr="00672DBE">
              <w:t>Phase III (51.0% male/49.1% female) clinical trials (p &lt; 0.05)</w:t>
            </w:r>
            <w:r w:rsidR="008733EA">
              <w:t>.</w:t>
            </w:r>
          </w:p>
          <w:p w14:paraId="3FF76FF8" w14:textId="0989E560" w:rsidR="003612D8" w:rsidRDefault="00EB2B55" w:rsidP="003414BB">
            <w:r w:rsidRPr="00672DBE">
              <w:t xml:space="preserve">• Significant difference in </w:t>
            </w:r>
            <w:r w:rsidR="003612D8">
              <w:t>subject</w:t>
            </w:r>
            <w:r w:rsidR="003612D8" w:rsidRPr="00672DBE">
              <w:t xml:space="preserve"> </w:t>
            </w:r>
            <w:r w:rsidRPr="00672DBE">
              <w:t xml:space="preserve">sex included in industry (50.7% male/49.3% female), National Institutes of Health (NIH) (56.6% male/43.4% female), Other US Federal (62.5% male/37.5% female), </w:t>
            </w:r>
            <w:r w:rsidR="003612D8">
              <w:t>&amp;</w:t>
            </w:r>
            <w:r w:rsidR="003612D8" w:rsidRPr="00672DBE">
              <w:t xml:space="preserve"> </w:t>
            </w:r>
            <w:r w:rsidRPr="00672DBE">
              <w:t>"Other" funded (53.4% male/46.6% female) clinical trials (p &lt; 0.0001)</w:t>
            </w:r>
            <w:r w:rsidR="003612D8">
              <w:t>.</w:t>
            </w:r>
          </w:p>
          <w:p w14:paraId="71CA9B8D" w14:textId="16CB5579" w:rsidR="00EB2B55" w:rsidRPr="00672DBE" w:rsidRDefault="003612D8" w:rsidP="003612D8">
            <w:r w:rsidRPr="00672DBE">
              <w:t xml:space="preserve">• Significant difference in </w:t>
            </w:r>
            <w:r>
              <w:t>subject</w:t>
            </w:r>
            <w:r w:rsidRPr="00672DBE">
              <w:t xml:space="preserve"> sex</w:t>
            </w:r>
            <w:r w:rsidR="00EB2B55" w:rsidRPr="00672DBE">
              <w:t xml:space="preserve"> between </w:t>
            </w:r>
            <w:r w:rsidRPr="00672DBE">
              <w:t>randomi</w:t>
            </w:r>
            <w:r>
              <w:t>s</w:t>
            </w:r>
            <w:r w:rsidRPr="00672DBE">
              <w:t xml:space="preserve">ed </w:t>
            </w:r>
            <w:r w:rsidR="00EB2B55" w:rsidRPr="00672DBE">
              <w:t xml:space="preserve">(50.5% male/49.6% female) </w:t>
            </w:r>
            <w:r>
              <w:t>&amp;</w:t>
            </w:r>
            <w:r w:rsidRPr="00672DBE">
              <w:t xml:space="preserve"> nonrandomi</w:t>
            </w:r>
            <w:r>
              <w:t>s</w:t>
            </w:r>
            <w:r w:rsidRPr="00672DBE">
              <w:t xml:space="preserve">ed </w:t>
            </w:r>
            <w:r w:rsidR="00EB2B55" w:rsidRPr="00672DBE">
              <w:t xml:space="preserve">(54.8% male/45.2% female) clinical trials (p &lt; 0.0001). </w:t>
            </w:r>
          </w:p>
        </w:tc>
      </w:tr>
      <w:tr w:rsidR="00EB2B55" w:rsidRPr="00672DBE" w14:paraId="66BF993B" w14:textId="77777777" w:rsidTr="00DB191B">
        <w:trPr>
          <w:cantSplit/>
        </w:trPr>
        <w:tc>
          <w:tcPr>
            <w:tcW w:w="1555" w:type="dxa"/>
            <w:hideMark/>
          </w:tcPr>
          <w:p w14:paraId="2B483DC1" w14:textId="119ACB6A" w:rsidR="00262A35" w:rsidRPr="00FB66CC" w:rsidRDefault="00EB2B55" w:rsidP="003414BB">
            <w:r w:rsidRPr="00FB66CC">
              <w:lastRenderedPageBreak/>
              <w:t xml:space="preserve">Wainer </w:t>
            </w:r>
            <w:r w:rsidR="00262A35" w:rsidRPr="00FB66CC">
              <w:t>et al.</w:t>
            </w:r>
            <w:r w:rsidRPr="00FB66CC">
              <w:t>, 2020</w:t>
            </w:r>
            <w:r w:rsidR="00951871" w:rsidRPr="00FB66CC">
              <w:t>,</w:t>
            </w:r>
            <w:r w:rsidRPr="00FB66CC">
              <w:t xml:space="preserve"> </w:t>
            </w:r>
          </w:p>
          <w:p w14:paraId="17482A3B" w14:textId="6C585782" w:rsidR="00EB2B55" w:rsidRPr="00672DBE" w:rsidRDefault="00CE1366" w:rsidP="003414BB">
            <w:r w:rsidRPr="00FB66CC">
              <w:t>Australia.</w:t>
            </w:r>
          </w:p>
        </w:tc>
        <w:tc>
          <w:tcPr>
            <w:tcW w:w="2409" w:type="dxa"/>
            <w:hideMark/>
          </w:tcPr>
          <w:p w14:paraId="0A06A74C" w14:textId="7B9851BB" w:rsidR="00CE1366" w:rsidRPr="00757963" w:rsidRDefault="00EB2B55" w:rsidP="00757963">
            <w:pPr>
              <w:pStyle w:val="NormalWeb"/>
              <w:spacing w:before="0" w:beforeAutospacing="0" w:after="0" w:afterAutospacing="0"/>
              <w:rPr>
                <w:rFonts w:asciiTheme="minorHAnsi" w:hAnsiTheme="minorHAnsi" w:cstheme="minorHAnsi"/>
                <w:sz w:val="22"/>
                <w:szCs w:val="22"/>
              </w:rPr>
            </w:pPr>
            <w:r w:rsidRPr="00757963">
              <w:rPr>
                <w:rFonts w:asciiTheme="minorHAnsi" w:hAnsiTheme="minorHAnsi" w:cstheme="minorHAnsi"/>
                <w:sz w:val="22"/>
                <w:szCs w:val="22"/>
              </w:rPr>
              <w:t xml:space="preserve">To summarise findings sourced from key documents </w:t>
            </w:r>
            <w:r w:rsidR="00694C98">
              <w:rPr>
                <w:rFonts w:asciiTheme="minorHAnsi" w:hAnsiTheme="minorHAnsi" w:cstheme="minorHAnsi"/>
                <w:sz w:val="22"/>
                <w:szCs w:val="22"/>
              </w:rPr>
              <w:t>about</w:t>
            </w:r>
            <w:r w:rsidRPr="00757963">
              <w:rPr>
                <w:rFonts w:asciiTheme="minorHAnsi" w:hAnsiTheme="minorHAnsi" w:cstheme="minorHAnsi"/>
                <w:sz w:val="22"/>
                <w:szCs w:val="22"/>
              </w:rPr>
              <w:t xml:space="preserve"> history </w:t>
            </w:r>
            <w:r w:rsidR="00FF7276" w:rsidRPr="00757963">
              <w:rPr>
                <w:rFonts w:asciiTheme="minorHAnsi" w:hAnsiTheme="minorHAnsi" w:cstheme="minorHAnsi"/>
                <w:sz w:val="22"/>
                <w:szCs w:val="22"/>
              </w:rPr>
              <w:t xml:space="preserve">&amp; </w:t>
            </w:r>
            <w:r w:rsidRPr="00757963">
              <w:rPr>
                <w:rFonts w:asciiTheme="minorHAnsi" w:hAnsiTheme="minorHAnsi" w:cstheme="minorHAnsi"/>
                <w:sz w:val="22"/>
                <w:szCs w:val="22"/>
              </w:rPr>
              <w:t xml:space="preserve">mechanisms in N America </w:t>
            </w:r>
            <w:r w:rsidR="00FF7276" w:rsidRPr="00757963">
              <w:rPr>
                <w:rFonts w:asciiTheme="minorHAnsi" w:hAnsiTheme="minorHAnsi" w:cstheme="minorHAnsi"/>
                <w:sz w:val="22"/>
                <w:szCs w:val="22"/>
              </w:rPr>
              <w:t xml:space="preserve">&amp; </w:t>
            </w:r>
            <w:r w:rsidRPr="00757963">
              <w:rPr>
                <w:rFonts w:asciiTheme="minorHAnsi" w:hAnsiTheme="minorHAnsi" w:cstheme="minorHAnsi"/>
                <w:sz w:val="22"/>
                <w:szCs w:val="22"/>
              </w:rPr>
              <w:t>Europe facilitat</w:t>
            </w:r>
            <w:r w:rsidR="00694C98">
              <w:rPr>
                <w:rFonts w:asciiTheme="minorHAnsi" w:hAnsiTheme="minorHAnsi" w:cstheme="minorHAnsi"/>
                <w:sz w:val="22"/>
                <w:szCs w:val="22"/>
              </w:rPr>
              <w:t>ing</w:t>
            </w:r>
            <w:r w:rsidRPr="00757963">
              <w:rPr>
                <w:rFonts w:asciiTheme="minorHAnsi" w:hAnsiTheme="minorHAnsi" w:cstheme="minorHAnsi"/>
                <w:sz w:val="22"/>
                <w:szCs w:val="22"/>
              </w:rPr>
              <w:t xml:space="preserve"> integration of sex </w:t>
            </w:r>
            <w:r w:rsidR="00FF7276" w:rsidRPr="00757963">
              <w:rPr>
                <w:rFonts w:asciiTheme="minorHAnsi" w:hAnsiTheme="minorHAnsi" w:cstheme="minorHAnsi"/>
                <w:sz w:val="22"/>
                <w:szCs w:val="22"/>
              </w:rPr>
              <w:t xml:space="preserve">&amp; </w:t>
            </w:r>
            <w:r w:rsidRPr="00757963">
              <w:rPr>
                <w:rFonts w:asciiTheme="minorHAnsi" w:hAnsiTheme="minorHAnsi" w:cstheme="minorHAnsi"/>
                <w:sz w:val="22"/>
                <w:szCs w:val="22"/>
              </w:rPr>
              <w:t>gender into health research</w:t>
            </w:r>
            <w:r w:rsidR="00CE1366">
              <w:rPr>
                <w:rFonts w:asciiTheme="minorHAnsi" w:hAnsiTheme="minorHAnsi" w:cstheme="minorHAnsi"/>
                <w:sz w:val="22"/>
                <w:szCs w:val="22"/>
              </w:rPr>
              <w:t>; to</w:t>
            </w:r>
            <w:r w:rsidR="00CE1366" w:rsidRPr="00757963">
              <w:rPr>
                <w:rFonts w:asciiTheme="minorHAnsi" w:hAnsiTheme="minorHAnsi" w:cstheme="minorHAnsi"/>
                <w:sz w:val="22"/>
                <w:szCs w:val="22"/>
              </w:rPr>
              <w:t xml:space="preserve"> provide data on policies </w:t>
            </w:r>
            <w:r w:rsidR="00CE1366">
              <w:rPr>
                <w:rFonts w:asciiTheme="minorHAnsi" w:hAnsiTheme="minorHAnsi" w:cstheme="minorHAnsi"/>
                <w:sz w:val="22"/>
                <w:szCs w:val="22"/>
              </w:rPr>
              <w:t>&amp;</w:t>
            </w:r>
            <w:r w:rsidR="00CE1366" w:rsidRPr="00757963">
              <w:rPr>
                <w:rFonts w:asciiTheme="minorHAnsi" w:hAnsiTheme="minorHAnsi" w:cstheme="minorHAnsi"/>
                <w:sz w:val="22"/>
                <w:szCs w:val="22"/>
              </w:rPr>
              <w:t xml:space="preserve"> practices of Australian funding agencies </w:t>
            </w:r>
            <w:r w:rsidR="00CE1366">
              <w:rPr>
                <w:rFonts w:asciiTheme="minorHAnsi" w:hAnsiTheme="minorHAnsi" w:cstheme="minorHAnsi"/>
                <w:sz w:val="22"/>
                <w:szCs w:val="22"/>
              </w:rPr>
              <w:t>&amp;</w:t>
            </w:r>
            <w:r w:rsidR="00CE1366" w:rsidRPr="00757963">
              <w:rPr>
                <w:rFonts w:asciiTheme="minorHAnsi" w:hAnsiTheme="minorHAnsi" w:cstheme="minorHAnsi"/>
                <w:sz w:val="22"/>
                <w:szCs w:val="22"/>
              </w:rPr>
              <w:t xml:space="preserve"> peer-reviewed journals relating to collection, analysis</w:t>
            </w:r>
            <w:r w:rsidR="00CE1366">
              <w:rPr>
                <w:rFonts w:asciiTheme="minorHAnsi" w:hAnsiTheme="minorHAnsi" w:cstheme="minorHAnsi"/>
                <w:sz w:val="22"/>
                <w:szCs w:val="22"/>
              </w:rPr>
              <w:t>, &amp;</w:t>
            </w:r>
            <w:r w:rsidR="00CE1366" w:rsidRPr="00757963">
              <w:rPr>
                <w:rFonts w:asciiTheme="minorHAnsi" w:hAnsiTheme="minorHAnsi" w:cstheme="minorHAnsi"/>
                <w:sz w:val="22"/>
                <w:szCs w:val="22"/>
              </w:rPr>
              <w:t xml:space="preserve"> reporting of sex- and gender-specific health data. </w:t>
            </w:r>
          </w:p>
          <w:p w14:paraId="105CB6C1" w14:textId="1D846E7E" w:rsidR="00CE1366" w:rsidRPr="00295724" w:rsidRDefault="00EB2B55" w:rsidP="00CE1366">
            <w:pPr>
              <w:rPr>
                <w:rFonts w:cstheme="minorHAnsi"/>
              </w:rPr>
            </w:pPr>
            <w:r w:rsidRPr="0017388B">
              <w:rPr>
                <w:rFonts w:cstheme="minorHAnsi"/>
              </w:rPr>
              <w:t>Literature review</w:t>
            </w:r>
            <w:r w:rsidR="00CE1366">
              <w:rPr>
                <w:rFonts w:cstheme="minorHAnsi"/>
              </w:rPr>
              <w:t xml:space="preserve"> </w:t>
            </w:r>
            <w:r w:rsidR="00694C98">
              <w:rPr>
                <w:rFonts w:cstheme="minorHAnsi"/>
              </w:rPr>
              <w:t>&amp;</w:t>
            </w:r>
            <w:r w:rsidR="00CE1366">
              <w:rPr>
                <w:rFonts w:cstheme="minorHAnsi"/>
              </w:rPr>
              <w:t xml:space="preserve"> mixed methods.</w:t>
            </w:r>
          </w:p>
          <w:p w14:paraId="4688C74A" w14:textId="7C8F9F7A" w:rsidR="00EB2B55" w:rsidRPr="00672DBE" w:rsidRDefault="00EB2B55" w:rsidP="003414BB"/>
        </w:tc>
        <w:tc>
          <w:tcPr>
            <w:tcW w:w="2410" w:type="dxa"/>
            <w:hideMark/>
          </w:tcPr>
          <w:p w14:paraId="144D206A" w14:textId="2CE60501" w:rsidR="00046F35" w:rsidRDefault="00EB2B55" w:rsidP="003414BB">
            <w:r w:rsidRPr="00672DBE">
              <w:t>Web-based search</w:t>
            </w:r>
            <w:r w:rsidR="00046F35">
              <w:t xml:space="preserve"> for </w:t>
            </w:r>
            <w:proofErr w:type="spellStart"/>
            <w:r w:rsidR="00046F35">
              <w:t>N</w:t>
            </w:r>
            <w:proofErr w:type="spellEnd"/>
            <w:r w:rsidR="00046F35">
              <w:t xml:space="preserve"> American &amp; European</w:t>
            </w:r>
            <w:r w:rsidRPr="00672DBE">
              <w:t xml:space="preserve"> </w:t>
            </w:r>
            <w:r w:rsidR="00F4493C">
              <w:t xml:space="preserve">background </w:t>
            </w:r>
            <w:r w:rsidR="00046F35">
              <w:t>data.</w:t>
            </w:r>
          </w:p>
          <w:p w14:paraId="629C1498" w14:textId="43DED902" w:rsidR="00046F35" w:rsidRDefault="00046F35" w:rsidP="003414BB">
            <w:r>
              <w:t>Web-based search 1-5 Dec 2017 of Australian agencies &amp; journals.</w:t>
            </w:r>
          </w:p>
          <w:p w14:paraId="3DD0DE9E" w14:textId="34518C24" w:rsidR="00046F35" w:rsidRDefault="00046F35" w:rsidP="003414BB">
            <w:r>
              <w:t>Semi-structured telephone interviews 5 Jan</w:t>
            </w:r>
            <w:r w:rsidR="00DB191B">
              <w:t>-</w:t>
            </w:r>
            <w:r>
              <w:t>14 March 2018 with key informants from these organisations.</w:t>
            </w:r>
          </w:p>
          <w:p w14:paraId="08524205" w14:textId="2A018A99" w:rsidR="00EB2B55" w:rsidRPr="00672DBE" w:rsidRDefault="00EB2B55" w:rsidP="003414BB"/>
        </w:tc>
        <w:tc>
          <w:tcPr>
            <w:tcW w:w="2693" w:type="dxa"/>
            <w:hideMark/>
          </w:tcPr>
          <w:p w14:paraId="7650F597" w14:textId="6837BAE4" w:rsidR="00F4493C" w:rsidRDefault="00046F35" w:rsidP="00BF0E9A">
            <w:r>
              <w:t xml:space="preserve">Australia: </w:t>
            </w:r>
            <w:r w:rsidR="00EB2B55" w:rsidRPr="00672DBE">
              <w:t>20 organisations</w:t>
            </w:r>
            <w:r w:rsidR="00F4493C">
              <w:t xml:space="preserve"> (incl. 10 funding organisations) &amp;</w:t>
            </w:r>
            <w:r w:rsidRPr="00672DBE">
              <w:t xml:space="preserve"> </w:t>
            </w:r>
            <w:r w:rsidR="00BF0E9A">
              <w:t>10</w:t>
            </w:r>
            <w:r w:rsidR="00EB2B55" w:rsidRPr="00672DBE">
              <w:t xml:space="preserve"> journals</w:t>
            </w:r>
            <w:r w:rsidR="00F4493C">
              <w:t>.</w:t>
            </w:r>
          </w:p>
          <w:p w14:paraId="6F9EC4F1" w14:textId="02DAF71C" w:rsidR="00EB2B55" w:rsidRPr="00672DBE" w:rsidRDefault="00EB2B55" w:rsidP="00046F35">
            <w:r w:rsidRPr="00672DBE">
              <w:t>12 key informants</w:t>
            </w:r>
            <w:r w:rsidR="00046F35">
              <w:t xml:space="preserve"> (incl. 5 women): 7</w:t>
            </w:r>
            <w:r w:rsidR="00046F35" w:rsidRPr="00672DBE">
              <w:t xml:space="preserve"> </w:t>
            </w:r>
            <w:r w:rsidRPr="00672DBE">
              <w:t>heads of funding agencies</w:t>
            </w:r>
            <w:r w:rsidR="00046F35">
              <w:t>, 5</w:t>
            </w:r>
            <w:r w:rsidRPr="00672DBE">
              <w:t xml:space="preserve"> editors of peer-reviewed journals</w:t>
            </w:r>
            <w:r w:rsidR="00046F35">
              <w:t>.</w:t>
            </w:r>
          </w:p>
        </w:tc>
        <w:tc>
          <w:tcPr>
            <w:tcW w:w="6321" w:type="dxa"/>
            <w:hideMark/>
          </w:tcPr>
          <w:p w14:paraId="38F63F3F" w14:textId="19734A55" w:rsidR="00EB2B55" w:rsidRPr="00672DBE" w:rsidRDefault="00EB2B55" w:rsidP="003414BB">
            <w:r w:rsidRPr="00672DBE">
              <w:t xml:space="preserve">• </w:t>
            </w:r>
            <w:r w:rsidR="00F4493C">
              <w:t>8</w:t>
            </w:r>
            <w:r w:rsidR="00F4493C" w:rsidRPr="00672DBE">
              <w:t xml:space="preserve"> </w:t>
            </w:r>
            <w:r w:rsidRPr="00672DBE">
              <w:t xml:space="preserve">of </w:t>
            </w:r>
            <w:r w:rsidR="00F4493C">
              <w:t>10</w:t>
            </w:r>
            <w:r w:rsidRPr="00672DBE">
              <w:t xml:space="preserve"> funding agencies </w:t>
            </w:r>
            <w:r w:rsidR="00F4493C">
              <w:t>had no sex/gender</w:t>
            </w:r>
            <w:r w:rsidRPr="00672DBE">
              <w:t xml:space="preserve"> policies</w:t>
            </w:r>
            <w:r w:rsidR="00F4493C">
              <w:t>.</w:t>
            </w:r>
          </w:p>
          <w:p w14:paraId="59E52ABA" w14:textId="7B2E9CD8" w:rsidR="00EB2B55" w:rsidRPr="00672DBE" w:rsidRDefault="00EB2B55" w:rsidP="003414BB">
            <w:r w:rsidRPr="00672DBE">
              <w:t xml:space="preserve">• NHMRC </w:t>
            </w:r>
            <w:r w:rsidR="00BF0E9A">
              <w:t>&amp;</w:t>
            </w:r>
            <w:r w:rsidR="00BF0E9A" w:rsidRPr="00672DBE">
              <w:t xml:space="preserve"> </w:t>
            </w:r>
            <w:r w:rsidRPr="00672DBE">
              <w:t>Diabetes Australia had policies on collection, analysis</w:t>
            </w:r>
            <w:r w:rsidR="00BF0E9A">
              <w:t>,</w:t>
            </w:r>
            <w:r w:rsidRPr="00672DBE">
              <w:t xml:space="preserve"> or reporting of sex-</w:t>
            </w:r>
            <w:r w:rsidR="00BF0E9A">
              <w:t xml:space="preserve"> &amp;</w:t>
            </w:r>
            <w:r w:rsidR="00BF0E9A" w:rsidRPr="00672DBE">
              <w:t xml:space="preserve"> </w:t>
            </w:r>
            <w:r w:rsidRPr="00672DBE">
              <w:t xml:space="preserve">gender-specific health data. </w:t>
            </w:r>
            <w:r w:rsidR="00BF0E9A">
              <w:t>O</w:t>
            </w:r>
            <w:r w:rsidRPr="00672DBE">
              <w:t xml:space="preserve">nly NHMRC specifically recommended analysis </w:t>
            </w:r>
            <w:r w:rsidR="00BF0E9A">
              <w:t>&amp;</w:t>
            </w:r>
            <w:r w:rsidR="00BF0E9A" w:rsidRPr="00672DBE">
              <w:t xml:space="preserve"> </w:t>
            </w:r>
            <w:r w:rsidRPr="00672DBE">
              <w:t>reporting of sex-</w:t>
            </w:r>
            <w:r w:rsidR="00BF0E9A">
              <w:t xml:space="preserve"> &amp;</w:t>
            </w:r>
            <w:r w:rsidR="00BF0E9A" w:rsidRPr="00672DBE">
              <w:t xml:space="preserve"> </w:t>
            </w:r>
            <w:r w:rsidRPr="00672DBE">
              <w:t>gender-specific data</w:t>
            </w:r>
            <w:r w:rsidR="00BF0E9A">
              <w:t>.</w:t>
            </w:r>
            <w:r w:rsidR="00BF0E9A" w:rsidRPr="00672DBE">
              <w:t xml:space="preserve"> </w:t>
            </w:r>
          </w:p>
          <w:p w14:paraId="47A50F6A" w14:textId="2ABD0A36" w:rsidR="00EB2B55" w:rsidRPr="00672DBE" w:rsidRDefault="00EB2B55" w:rsidP="003414BB">
            <w:r w:rsidRPr="00672DBE">
              <w:t xml:space="preserve">• </w:t>
            </w:r>
            <w:r w:rsidR="00BF0E9A">
              <w:t>4</w:t>
            </w:r>
            <w:r w:rsidR="00BF0E9A" w:rsidRPr="00672DBE">
              <w:t xml:space="preserve"> </w:t>
            </w:r>
            <w:r w:rsidRPr="00672DBE">
              <w:t xml:space="preserve">of </w:t>
            </w:r>
            <w:r w:rsidR="00BF0E9A">
              <w:t>10</w:t>
            </w:r>
            <w:r w:rsidRPr="00672DBE">
              <w:t xml:space="preserve"> journals </w:t>
            </w:r>
            <w:r w:rsidR="00BF0E9A">
              <w:t>had no</w:t>
            </w:r>
            <w:r w:rsidRPr="00672DBE">
              <w:t xml:space="preserve"> policies on collection, analysis</w:t>
            </w:r>
            <w:r w:rsidR="00BF0E9A">
              <w:t>, &amp;</w:t>
            </w:r>
            <w:r w:rsidRPr="00672DBE">
              <w:t xml:space="preserve"> reporting of sex-</w:t>
            </w:r>
            <w:r w:rsidR="00BF0E9A">
              <w:t xml:space="preserve"> &amp;</w:t>
            </w:r>
            <w:r w:rsidRPr="00672DBE">
              <w:t xml:space="preserve"> gender-specific health data</w:t>
            </w:r>
            <w:r w:rsidR="00BF0E9A">
              <w:t>.</w:t>
            </w:r>
            <w:r w:rsidR="00BF0E9A" w:rsidRPr="00672DBE">
              <w:t xml:space="preserve"> </w:t>
            </w:r>
          </w:p>
          <w:p w14:paraId="224D3A4A" w14:textId="7C74971A" w:rsidR="00EB2B55" w:rsidRPr="00672DBE" w:rsidRDefault="00EB2B55" w:rsidP="003414BB">
            <w:r w:rsidRPr="00672DBE">
              <w:t xml:space="preserve">• </w:t>
            </w:r>
            <w:r w:rsidR="00BF0E9A">
              <w:t>6</w:t>
            </w:r>
            <w:r w:rsidRPr="00672DBE">
              <w:t xml:space="preserve"> journals either followed reporting guidelines of the International Committee of Medical Journal Editors </w:t>
            </w:r>
            <w:r w:rsidR="00BF0E9A">
              <w:t xml:space="preserve">(ICMJE) </w:t>
            </w:r>
            <w:r w:rsidRPr="00672DBE">
              <w:t>or the Animal Research Reporting of In Vivo Experiments (ARRIVE) guidelines</w:t>
            </w:r>
            <w:r w:rsidR="00BF0E9A">
              <w:t>.</w:t>
            </w:r>
          </w:p>
          <w:p w14:paraId="04C2D135" w14:textId="6A812269" w:rsidR="00BF0E9A" w:rsidRDefault="00EB2B55" w:rsidP="003414BB">
            <w:r w:rsidRPr="00672DBE">
              <w:t xml:space="preserve">• Key informants from journals </w:t>
            </w:r>
            <w:r w:rsidR="00BF0E9A">
              <w:t>said</w:t>
            </w:r>
            <w:r w:rsidR="00BF0E9A" w:rsidRPr="00672DBE">
              <w:t xml:space="preserve"> </w:t>
            </w:r>
            <w:r w:rsidRPr="00672DBE">
              <w:t xml:space="preserve">that despite no publicly available policies on sex </w:t>
            </w:r>
            <w:r w:rsidR="00BF0E9A">
              <w:t>&amp;</w:t>
            </w:r>
            <w:r w:rsidR="00BF0E9A" w:rsidRPr="00672DBE">
              <w:t xml:space="preserve"> </w:t>
            </w:r>
            <w:r w:rsidRPr="00672DBE">
              <w:t xml:space="preserve">gender health data, there were internal rules </w:t>
            </w:r>
            <w:r w:rsidR="00BF0E9A">
              <w:t>followed by</w:t>
            </w:r>
            <w:r w:rsidRPr="00672DBE">
              <w:t xml:space="preserve"> editors, reviewers</w:t>
            </w:r>
            <w:r w:rsidR="00BF0E9A">
              <w:t>, &amp;</w:t>
            </w:r>
            <w:r w:rsidRPr="00672DBE">
              <w:t xml:space="preserve"> authors</w:t>
            </w:r>
            <w:r w:rsidR="00BF0E9A">
              <w:t>.</w:t>
            </w:r>
            <w:r w:rsidRPr="00672DBE">
              <w:t xml:space="preserve"> </w:t>
            </w:r>
          </w:p>
          <w:p w14:paraId="07C1E820" w14:textId="0A42671A" w:rsidR="00EB2B55" w:rsidRPr="00672DBE" w:rsidRDefault="00EB2B55" w:rsidP="003414BB">
            <w:r w:rsidRPr="00672DBE">
              <w:t xml:space="preserve">• Lack of awareness </w:t>
            </w:r>
            <w:r w:rsidR="00BF0E9A">
              <w:t>&amp;</w:t>
            </w:r>
            <w:r w:rsidRPr="00672DBE">
              <w:t xml:space="preserve"> high cost of funding sex-</w:t>
            </w:r>
            <w:r w:rsidR="00BF0E9A">
              <w:t xml:space="preserve"> &amp;</w:t>
            </w:r>
            <w:r w:rsidR="00BF0E9A" w:rsidRPr="00672DBE">
              <w:t xml:space="preserve"> </w:t>
            </w:r>
            <w:r w:rsidRPr="00672DBE">
              <w:t xml:space="preserve">gender-specific research were perceived as barriers to </w:t>
            </w:r>
            <w:r w:rsidR="00BF0E9A">
              <w:t xml:space="preserve">policy </w:t>
            </w:r>
            <w:r w:rsidRPr="00672DBE">
              <w:t>change</w:t>
            </w:r>
            <w:r w:rsidR="00BF0E9A">
              <w:t>.</w:t>
            </w:r>
            <w:r w:rsidRPr="00672DBE">
              <w:t xml:space="preserve"> </w:t>
            </w:r>
          </w:p>
          <w:p w14:paraId="1F7442C4" w14:textId="2EB23608" w:rsidR="00EB2B55" w:rsidRDefault="00EB2B55" w:rsidP="003414BB">
            <w:r w:rsidRPr="00672DBE">
              <w:t xml:space="preserve">• </w:t>
            </w:r>
            <w:r w:rsidR="00BF0E9A">
              <w:t>Most</w:t>
            </w:r>
            <w:r w:rsidRPr="00672DBE">
              <w:t xml:space="preserve"> key informants </w:t>
            </w:r>
            <w:r w:rsidR="00BF0E9A">
              <w:t>endorsed</w:t>
            </w:r>
            <w:r w:rsidRPr="00672DBE">
              <w:t xml:space="preserve"> creating policies on collection, analysis</w:t>
            </w:r>
            <w:r w:rsidR="00BF0E9A">
              <w:t>, &amp;</w:t>
            </w:r>
            <w:r w:rsidRPr="00672DBE">
              <w:t xml:space="preserve"> reporting of sex-</w:t>
            </w:r>
            <w:r w:rsidR="00BF0E9A">
              <w:t xml:space="preserve"> &amp;</w:t>
            </w:r>
            <w:r w:rsidR="00BF0E9A" w:rsidRPr="00672DBE">
              <w:t xml:space="preserve"> </w:t>
            </w:r>
            <w:r w:rsidRPr="00672DBE">
              <w:t>gender-specific health data.</w:t>
            </w:r>
          </w:p>
          <w:p w14:paraId="628D6DF1" w14:textId="377A003E" w:rsidR="00BF0E9A" w:rsidRPr="00672DBE" w:rsidRDefault="00BF0E9A" w:rsidP="00DB191B">
            <w:r w:rsidRPr="00672DBE">
              <w:t xml:space="preserve">• </w:t>
            </w:r>
            <w:r>
              <w:t>N</w:t>
            </w:r>
            <w:r w:rsidRPr="00672DBE">
              <w:t xml:space="preserve">eed for policy change </w:t>
            </w:r>
            <w:r>
              <w:t>&amp;</w:t>
            </w:r>
            <w:r w:rsidRPr="00672DBE">
              <w:t xml:space="preserve"> guidance from larger organisations </w:t>
            </w:r>
            <w:r>
              <w:t>to</w:t>
            </w:r>
            <w:r w:rsidRPr="00672DBE">
              <w:t xml:space="preserve"> facilita</w:t>
            </w:r>
            <w:r>
              <w:t>te</w:t>
            </w:r>
            <w:r w:rsidRPr="00672DBE">
              <w:t xml:space="preserve"> </w:t>
            </w:r>
            <w:r>
              <w:t xml:space="preserve">organisational </w:t>
            </w:r>
            <w:r w:rsidRPr="00672DBE">
              <w:t>change</w:t>
            </w:r>
            <w:r>
              <w:t>.</w:t>
            </w:r>
          </w:p>
        </w:tc>
      </w:tr>
      <w:tr w:rsidR="00EB2B55" w:rsidRPr="00672DBE" w14:paraId="3B0836F1" w14:textId="77777777" w:rsidTr="00A85BAD">
        <w:trPr>
          <w:trHeight w:val="2304"/>
        </w:trPr>
        <w:tc>
          <w:tcPr>
            <w:tcW w:w="1555" w:type="dxa"/>
            <w:hideMark/>
          </w:tcPr>
          <w:p w14:paraId="0CF0ADA5" w14:textId="77777777" w:rsidR="008A5C2F" w:rsidRDefault="00EB2B55" w:rsidP="003414BB">
            <w:r w:rsidRPr="00672DBE">
              <w:t>Welch et al.</w:t>
            </w:r>
            <w:r w:rsidR="008A5C2F">
              <w:t>,</w:t>
            </w:r>
            <w:r w:rsidRPr="00672DBE">
              <w:t xml:space="preserve"> 2017, </w:t>
            </w:r>
          </w:p>
          <w:p w14:paraId="5F664EBD" w14:textId="6DDB30EC" w:rsidR="00EB2B55" w:rsidRPr="00672DBE" w:rsidRDefault="00EB2B55" w:rsidP="003414BB">
            <w:r w:rsidRPr="00672DBE">
              <w:t>Canada</w:t>
            </w:r>
          </w:p>
        </w:tc>
        <w:tc>
          <w:tcPr>
            <w:tcW w:w="2409" w:type="dxa"/>
            <w:hideMark/>
          </w:tcPr>
          <w:p w14:paraId="1A755C4F" w14:textId="2DBE851E" w:rsidR="00B326DA" w:rsidRDefault="00EB2B55" w:rsidP="003414BB">
            <w:r w:rsidRPr="00672DBE">
              <w:t xml:space="preserve">To assess extent </w:t>
            </w:r>
            <w:r w:rsidR="00B326DA">
              <w:t>&amp;</w:t>
            </w:r>
            <w:r w:rsidR="00B326DA" w:rsidRPr="00672DBE">
              <w:t xml:space="preserve"> </w:t>
            </w:r>
            <w:r w:rsidRPr="00672DBE">
              <w:t xml:space="preserve">nature of reporting about sex </w:t>
            </w:r>
            <w:r w:rsidR="00B326DA">
              <w:t>&amp;</w:t>
            </w:r>
            <w:r w:rsidRPr="00672DBE">
              <w:t xml:space="preserve">/or gender, </w:t>
            </w:r>
            <w:r w:rsidR="00B326DA">
              <w:t>&amp;</w:t>
            </w:r>
            <w:r w:rsidR="00B326DA" w:rsidRPr="00672DBE">
              <w:t xml:space="preserve"> </w:t>
            </w:r>
            <w:r w:rsidRPr="00672DBE">
              <w:t xml:space="preserve">whether sex </w:t>
            </w:r>
            <w:r w:rsidR="00B326DA">
              <w:t>&amp;</w:t>
            </w:r>
            <w:r w:rsidR="00B326DA" w:rsidRPr="00672DBE">
              <w:t xml:space="preserve"> </w:t>
            </w:r>
            <w:r w:rsidRPr="00672DBE">
              <w:t>gender analysis (SGA) was carried out</w:t>
            </w:r>
            <w:r w:rsidR="00B326DA">
              <w:t>,</w:t>
            </w:r>
            <w:r w:rsidRPr="00672DBE">
              <w:t xml:space="preserve"> in sample of Canadian </w:t>
            </w:r>
            <w:r w:rsidR="00B326DA" w:rsidRPr="00672DBE">
              <w:t>randomi</w:t>
            </w:r>
            <w:r w:rsidR="00B326DA">
              <w:t>s</w:t>
            </w:r>
            <w:r w:rsidR="00B326DA" w:rsidRPr="00672DBE">
              <w:t xml:space="preserve">ed </w:t>
            </w:r>
            <w:r w:rsidRPr="00672DBE">
              <w:t>controlled trials (RCTs) with human participants</w:t>
            </w:r>
            <w:r w:rsidR="00B326DA">
              <w:t>.</w:t>
            </w:r>
          </w:p>
          <w:p w14:paraId="72E78E7C" w14:textId="4D25F92F" w:rsidR="00EB2B55" w:rsidRPr="00672DBE" w:rsidRDefault="00EB2B55" w:rsidP="00B326DA">
            <w:r w:rsidRPr="00672DBE">
              <w:t>Literature review</w:t>
            </w:r>
            <w:r w:rsidR="00B326DA">
              <w:t>.</w:t>
            </w:r>
          </w:p>
        </w:tc>
        <w:tc>
          <w:tcPr>
            <w:tcW w:w="2410" w:type="dxa"/>
            <w:hideMark/>
          </w:tcPr>
          <w:p w14:paraId="4E7C1C09" w14:textId="17FF7ADE" w:rsidR="00B326DA" w:rsidRDefault="00EB2B55" w:rsidP="003414BB">
            <w:r w:rsidRPr="00672DBE">
              <w:t xml:space="preserve">Search </w:t>
            </w:r>
            <w:proofErr w:type="gramStart"/>
            <w:r w:rsidRPr="00672DBE">
              <w:t>Medline</w:t>
            </w:r>
            <w:r w:rsidR="00B326DA">
              <w:t xml:space="preserve"> </w:t>
            </w:r>
            <w:r w:rsidRPr="00672DBE">
              <w:t>,</w:t>
            </w:r>
            <w:proofErr w:type="gramEnd"/>
            <w:r w:rsidRPr="00672DBE">
              <w:t xml:space="preserve"> 1 Jan 2013 </w:t>
            </w:r>
            <w:r w:rsidR="00B326DA">
              <w:t>-</w:t>
            </w:r>
            <w:r w:rsidR="00B326DA" w:rsidRPr="00672DBE">
              <w:t xml:space="preserve"> </w:t>
            </w:r>
            <w:r w:rsidRPr="00672DBE">
              <w:t>23 Jul 2014</w:t>
            </w:r>
            <w:r w:rsidR="00B326DA">
              <w:t>.</w:t>
            </w:r>
          </w:p>
          <w:p w14:paraId="28D5C0E5" w14:textId="778F0DE4" w:rsidR="00B326DA" w:rsidRDefault="00B326DA" w:rsidP="003414BB">
            <w:r>
              <w:t>V</w:t>
            </w:r>
            <w:r w:rsidR="00EB2B55" w:rsidRPr="00672DBE">
              <w:t xml:space="preserve">alidated filter for RCTs, </w:t>
            </w:r>
            <w:r>
              <w:t>plus</w:t>
            </w:r>
            <w:r w:rsidR="00EB2B55" w:rsidRPr="00672DBE">
              <w:t xml:space="preserve"> terms </w:t>
            </w:r>
            <w:r>
              <w:t>for</w:t>
            </w:r>
            <w:r w:rsidR="00EB2B55" w:rsidRPr="00672DBE">
              <w:t xml:space="preserve"> Canada</w:t>
            </w:r>
            <w:r>
              <w:t>.</w:t>
            </w:r>
          </w:p>
          <w:p w14:paraId="3852257B" w14:textId="4614DCB0" w:rsidR="00EB2B55" w:rsidRPr="00672DBE" w:rsidRDefault="00EB2B55" w:rsidP="003414BB"/>
        </w:tc>
        <w:tc>
          <w:tcPr>
            <w:tcW w:w="2693" w:type="dxa"/>
            <w:hideMark/>
          </w:tcPr>
          <w:p w14:paraId="42AE2508" w14:textId="77777777" w:rsidR="00B326DA" w:rsidRDefault="00EB2B55" w:rsidP="003414BB">
            <w:r w:rsidRPr="00672DBE">
              <w:t xml:space="preserve">100 </w:t>
            </w:r>
            <w:r w:rsidR="00B326DA">
              <w:t>papers.</w:t>
            </w:r>
          </w:p>
          <w:p w14:paraId="4274B208" w14:textId="6B142AF2" w:rsidR="00EB2B55" w:rsidRPr="00672DBE" w:rsidRDefault="00EB2B55" w:rsidP="003414BB">
            <w:r w:rsidRPr="00672DBE">
              <w:t>Median sample size 107 participants (range 12-6085).</w:t>
            </w:r>
          </w:p>
        </w:tc>
        <w:tc>
          <w:tcPr>
            <w:tcW w:w="6321" w:type="dxa"/>
            <w:hideMark/>
          </w:tcPr>
          <w:p w14:paraId="4C477791" w14:textId="293DDE80" w:rsidR="00A17EE6" w:rsidRPr="00295724" w:rsidRDefault="00A17EE6" w:rsidP="00757963">
            <w:pPr>
              <w:pStyle w:val="NormalWeb"/>
              <w:spacing w:before="0" w:beforeAutospacing="0" w:after="0" w:afterAutospacing="0"/>
              <w:rPr>
                <w:rFonts w:cstheme="minorHAnsi"/>
              </w:rPr>
            </w:pPr>
            <w:r w:rsidRPr="00757963">
              <w:rPr>
                <w:rFonts w:asciiTheme="minorHAnsi" w:hAnsiTheme="minorHAnsi" w:cstheme="minorHAnsi"/>
                <w:sz w:val="22"/>
                <w:szCs w:val="22"/>
              </w:rPr>
              <w:t xml:space="preserve">• </w:t>
            </w:r>
            <w:r w:rsidRPr="00757963">
              <w:rPr>
                <w:rFonts w:asciiTheme="minorHAnsi" w:hAnsiTheme="minorHAnsi" w:cstheme="minorHAnsi" w:hint="eastAsia"/>
                <w:color w:val="111111"/>
                <w:sz w:val="22"/>
                <w:szCs w:val="22"/>
              </w:rPr>
              <w:t xml:space="preserve">Poor uptake of sex </w:t>
            </w:r>
            <w:r>
              <w:rPr>
                <w:rFonts w:asciiTheme="minorHAnsi" w:hAnsiTheme="minorHAnsi" w:cstheme="minorHAnsi"/>
                <w:color w:val="111111"/>
                <w:sz w:val="22"/>
                <w:szCs w:val="22"/>
              </w:rPr>
              <w:t>&amp;</w:t>
            </w:r>
            <w:r w:rsidRPr="00757963">
              <w:rPr>
                <w:rFonts w:asciiTheme="minorHAnsi" w:hAnsiTheme="minorHAnsi" w:cstheme="minorHAnsi" w:hint="eastAsia"/>
                <w:color w:val="111111"/>
                <w:sz w:val="22"/>
                <w:szCs w:val="22"/>
              </w:rPr>
              <w:t xml:space="preserve"> gender considerations in Canadian RCT</w:t>
            </w:r>
            <w:r>
              <w:rPr>
                <w:rFonts w:asciiTheme="minorHAnsi" w:hAnsiTheme="minorHAnsi" w:cstheme="minorHAnsi"/>
                <w:color w:val="111111"/>
                <w:sz w:val="22"/>
                <w:szCs w:val="22"/>
              </w:rPr>
              <w:t>s.</w:t>
            </w:r>
            <w:r w:rsidRPr="00757963">
              <w:rPr>
                <w:rFonts w:asciiTheme="minorHAnsi" w:hAnsiTheme="minorHAnsi" w:cstheme="minorHAnsi" w:hint="eastAsia"/>
                <w:color w:val="111111"/>
                <w:sz w:val="22"/>
                <w:szCs w:val="22"/>
              </w:rPr>
              <w:t xml:space="preserve"> </w:t>
            </w:r>
          </w:p>
          <w:p w14:paraId="1B1070C2" w14:textId="37DCA5C1" w:rsidR="00A17EE6" w:rsidRDefault="00EB2B55" w:rsidP="00A17EE6">
            <w:r w:rsidRPr="00295724">
              <w:rPr>
                <w:rFonts w:cstheme="minorHAnsi"/>
              </w:rPr>
              <w:t xml:space="preserve">• </w:t>
            </w:r>
            <w:r w:rsidRPr="0017388B">
              <w:rPr>
                <w:rFonts w:cstheme="minorHAnsi"/>
              </w:rPr>
              <w:t>98%</w:t>
            </w:r>
            <w:r w:rsidRPr="00672DBE">
              <w:t xml:space="preserve"> described demographic composition of participants by sex</w:t>
            </w:r>
            <w:r w:rsidR="00A17EE6">
              <w:t>.</w:t>
            </w:r>
          </w:p>
          <w:p w14:paraId="61192A77" w14:textId="097102E7" w:rsidR="00A17EE6" w:rsidRDefault="00A17EE6" w:rsidP="003414BB">
            <w:r w:rsidRPr="00672DBE">
              <w:t>•</w:t>
            </w:r>
            <w:r>
              <w:t xml:space="preserve"> O</w:t>
            </w:r>
            <w:r w:rsidR="00EB2B55" w:rsidRPr="00672DBE">
              <w:t>nly 6% conducted subgroup analysis across sex</w:t>
            </w:r>
            <w:r>
              <w:t>.</w:t>
            </w:r>
          </w:p>
          <w:p w14:paraId="11DEA84A" w14:textId="58502A4F" w:rsidR="00EB2B55" w:rsidRPr="00672DBE" w:rsidRDefault="00A17EE6" w:rsidP="003414BB">
            <w:r w:rsidRPr="00672DBE">
              <w:t xml:space="preserve">• </w:t>
            </w:r>
            <w:r>
              <w:t>Only</w:t>
            </w:r>
            <w:r w:rsidR="00EB2B55" w:rsidRPr="00672DBE">
              <w:t xml:space="preserve"> 4% reported sex-disaggregated data</w:t>
            </w:r>
            <w:r>
              <w:t>.</w:t>
            </w:r>
          </w:p>
          <w:p w14:paraId="1A14B96C" w14:textId="7EC1FA32" w:rsidR="00A17EE6" w:rsidRDefault="00EB2B55" w:rsidP="003414BB">
            <w:r w:rsidRPr="00672DBE">
              <w:t xml:space="preserve">• No </w:t>
            </w:r>
            <w:r w:rsidR="00A17EE6">
              <w:t>paper</w:t>
            </w:r>
            <w:r w:rsidR="00A17EE6" w:rsidRPr="00672DBE">
              <w:t xml:space="preserve"> </w:t>
            </w:r>
            <w:r w:rsidRPr="00672DBE">
              <w:t xml:space="preserve">defined sex or gender. </w:t>
            </w:r>
          </w:p>
          <w:p w14:paraId="25EAC805" w14:textId="3D9E9DA4" w:rsidR="00EB2B55" w:rsidRPr="00672DBE" w:rsidRDefault="00A17EE6" w:rsidP="003414BB">
            <w:r w:rsidRPr="00672DBE">
              <w:t xml:space="preserve">• </w:t>
            </w:r>
            <w:r w:rsidR="00EB2B55" w:rsidRPr="00672DBE">
              <w:t xml:space="preserve">No publication </w:t>
            </w:r>
            <w:r>
              <w:t>performed</w:t>
            </w:r>
            <w:r w:rsidR="00EB2B55" w:rsidRPr="00672DBE">
              <w:t xml:space="preserve"> comprehensive sex </w:t>
            </w:r>
            <w:r>
              <w:t>&amp;</w:t>
            </w:r>
            <w:r w:rsidRPr="00672DBE">
              <w:t xml:space="preserve"> </w:t>
            </w:r>
            <w:r w:rsidR="00EB2B55" w:rsidRPr="00672DBE">
              <w:t>gender analysis</w:t>
            </w:r>
            <w:r>
              <w:t>.</w:t>
            </w:r>
          </w:p>
        </w:tc>
      </w:tr>
    </w:tbl>
    <w:p w14:paraId="45308E32" w14:textId="77777777" w:rsidR="00EB2B55" w:rsidRPr="00672DBE" w:rsidRDefault="00EB2B55" w:rsidP="003414BB"/>
    <w:p w14:paraId="72CBFB6A" w14:textId="602D6323" w:rsidR="00262A35" w:rsidRPr="00672DBE" w:rsidRDefault="00262A35">
      <w:r w:rsidRPr="00672DBE">
        <w:lastRenderedPageBreak/>
        <w:br w:type="page"/>
      </w:r>
    </w:p>
    <w:p w14:paraId="19EE19B8" w14:textId="53B6FEE7" w:rsidR="00EB2B55" w:rsidRPr="003300B8" w:rsidRDefault="00CC4682" w:rsidP="00C376D4">
      <w:pPr>
        <w:pStyle w:val="Heading2"/>
        <w:rPr>
          <w:rFonts w:asciiTheme="minorHAnsi" w:hAnsiTheme="minorHAnsi" w:cstheme="minorHAnsi"/>
          <w:color w:val="4C2863"/>
        </w:rPr>
      </w:pPr>
      <w:bookmarkStart w:id="340" w:name="_Toc168392085"/>
      <w:bookmarkStart w:id="341" w:name="_Toc168392442"/>
      <w:bookmarkStart w:id="342" w:name="_Toc168393615"/>
      <w:bookmarkStart w:id="343" w:name="_Toc168393657"/>
      <w:bookmarkStart w:id="344" w:name="_Toc168394331"/>
      <w:bookmarkStart w:id="345" w:name="_Toc168394469"/>
      <w:r w:rsidRPr="003300B8">
        <w:rPr>
          <w:rFonts w:asciiTheme="minorHAnsi" w:hAnsiTheme="minorHAnsi" w:cstheme="minorHAnsi"/>
          <w:color w:val="4C2863"/>
        </w:rPr>
        <w:lastRenderedPageBreak/>
        <w:t>Appendix C</w:t>
      </w:r>
      <w:r w:rsidR="00774D5E" w:rsidRPr="003300B8">
        <w:rPr>
          <w:rFonts w:asciiTheme="minorHAnsi" w:hAnsiTheme="minorHAnsi" w:cstheme="minorHAnsi"/>
          <w:color w:val="4C2863"/>
        </w:rPr>
        <w:t xml:space="preserve">.  </w:t>
      </w:r>
      <w:r w:rsidR="00EB2B55" w:rsidRPr="003300B8">
        <w:rPr>
          <w:rFonts w:asciiTheme="minorHAnsi" w:hAnsiTheme="minorHAnsi" w:cstheme="minorHAnsi"/>
          <w:color w:val="4C2863"/>
        </w:rPr>
        <w:t xml:space="preserve">Reporting of </w:t>
      </w:r>
      <w:r w:rsidR="00CF26C1" w:rsidRPr="003300B8">
        <w:rPr>
          <w:rFonts w:asciiTheme="minorHAnsi" w:hAnsiTheme="minorHAnsi" w:cstheme="minorHAnsi"/>
          <w:color w:val="4C2863"/>
        </w:rPr>
        <w:t>S</w:t>
      </w:r>
      <w:r w:rsidR="00172460" w:rsidRPr="003300B8">
        <w:rPr>
          <w:rFonts w:asciiTheme="minorHAnsi" w:hAnsiTheme="minorHAnsi" w:cstheme="minorHAnsi"/>
          <w:color w:val="4C2863"/>
        </w:rPr>
        <w:t xml:space="preserve">ex </w:t>
      </w:r>
      <w:r w:rsidR="00EB2B55" w:rsidRPr="003300B8">
        <w:rPr>
          <w:rFonts w:asciiTheme="minorHAnsi" w:hAnsiTheme="minorHAnsi" w:cstheme="minorHAnsi"/>
          <w:color w:val="4C2863"/>
        </w:rPr>
        <w:t xml:space="preserve">and/or </w:t>
      </w:r>
      <w:r w:rsidR="00CF26C1" w:rsidRPr="003300B8">
        <w:rPr>
          <w:rFonts w:asciiTheme="minorHAnsi" w:hAnsiTheme="minorHAnsi" w:cstheme="minorHAnsi"/>
          <w:color w:val="4C2863"/>
        </w:rPr>
        <w:t>G</w:t>
      </w:r>
      <w:r w:rsidR="00172460" w:rsidRPr="003300B8">
        <w:rPr>
          <w:rFonts w:asciiTheme="minorHAnsi" w:hAnsiTheme="minorHAnsi" w:cstheme="minorHAnsi"/>
          <w:color w:val="4C2863"/>
        </w:rPr>
        <w:t xml:space="preserve">ender </w:t>
      </w:r>
      <w:r w:rsidR="00EB2B55" w:rsidRPr="003300B8">
        <w:rPr>
          <w:rFonts w:asciiTheme="minorHAnsi" w:hAnsiTheme="minorHAnsi" w:cstheme="minorHAnsi"/>
          <w:color w:val="4C2863"/>
        </w:rPr>
        <w:t xml:space="preserve">in the </w:t>
      </w:r>
      <w:r w:rsidR="00CF26C1" w:rsidRPr="003300B8">
        <w:rPr>
          <w:rFonts w:asciiTheme="minorHAnsi" w:hAnsiTheme="minorHAnsi" w:cstheme="minorHAnsi"/>
          <w:color w:val="4C2863"/>
        </w:rPr>
        <w:t>S</w:t>
      </w:r>
      <w:r w:rsidR="00466460" w:rsidRPr="003300B8">
        <w:rPr>
          <w:rFonts w:asciiTheme="minorHAnsi" w:hAnsiTheme="minorHAnsi" w:cstheme="minorHAnsi"/>
          <w:color w:val="4C2863"/>
        </w:rPr>
        <w:t xml:space="preserve">tudies </w:t>
      </w:r>
      <w:r w:rsidR="00CF26C1" w:rsidRPr="003300B8">
        <w:rPr>
          <w:rFonts w:asciiTheme="minorHAnsi" w:hAnsiTheme="minorHAnsi" w:cstheme="minorHAnsi"/>
          <w:color w:val="4C2863"/>
        </w:rPr>
        <w:t>I</w:t>
      </w:r>
      <w:r w:rsidR="00EB2B55" w:rsidRPr="003300B8">
        <w:rPr>
          <w:rFonts w:asciiTheme="minorHAnsi" w:hAnsiTheme="minorHAnsi" w:cstheme="minorHAnsi"/>
          <w:color w:val="4C2863"/>
        </w:rPr>
        <w:t>ncluded</w:t>
      </w:r>
      <w:r w:rsidR="00843C9A" w:rsidRPr="003300B8">
        <w:rPr>
          <w:rStyle w:val="FootnoteReference"/>
          <w:rFonts w:asciiTheme="minorHAnsi" w:hAnsiTheme="minorHAnsi" w:cstheme="minorHAnsi"/>
          <w:color w:val="4C2863"/>
          <w:sz w:val="24"/>
          <w:szCs w:val="24"/>
        </w:rPr>
        <w:footnoteReference w:id="12"/>
      </w:r>
      <w:bookmarkEnd w:id="340"/>
      <w:bookmarkEnd w:id="341"/>
      <w:bookmarkEnd w:id="342"/>
      <w:bookmarkEnd w:id="343"/>
      <w:bookmarkEnd w:id="344"/>
      <w:bookmarkEnd w:id="345"/>
    </w:p>
    <w:tbl>
      <w:tblPr>
        <w:tblStyle w:val="TableGrid"/>
        <w:tblW w:w="0" w:type="auto"/>
        <w:tblLayout w:type="fixed"/>
        <w:tblLook w:val="04A0" w:firstRow="1" w:lastRow="0" w:firstColumn="1" w:lastColumn="0" w:noHBand="0" w:noVBand="1"/>
      </w:tblPr>
      <w:tblGrid>
        <w:gridCol w:w="1387"/>
        <w:gridCol w:w="1297"/>
        <w:gridCol w:w="1422"/>
        <w:gridCol w:w="1559"/>
        <w:gridCol w:w="1701"/>
        <w:gridCol w:w="1843"/>
        <w:gridCol w:w="1843"/>
        <w:gridCol w:w="1560"/>
        <w:gridCol w:w="1417"/>
        <w:gridCol w:w="1218"/>
      </w:tblGrid>
      <w:tr w:rsidR="00AD5473" w:rsidRPr="00672DBE" w14:paraId="51755A24" w14:textId="77777777" w:rsidTr="003300B8">
        <w:trPr>
          <w:tblHeader/>
        </w:trPr>
        <w:tc>
          <w:tcPr>
            <w:tcW w:w="1387" w:type="dxa"/>
            <w:shd w:val="clear" w:color="auto" w:fill="E3D3ED"/>
          </w:tcPr>
          <w:p w14:paraId="5E5D5ED7" w14:textId="77777777" w:rsidR="00EB2B55" w:rsidRPr="00672DBE" w:rsidRDefault="00EB2B55" w:rsidP="003414BB"/>
        </w:tc>
        <w:tc>
          <w:tcPr>
            <w:tcW w:w="1297" w:type="dxa"/>
            <w:shd w:val="clear" w:color="auto" w:fill="E3D3ED"/>
          </w:tcPr>
          <w:p w14:paraId="3F0C4462" w14:textId="73C25EC4" w:rsidR="00EB2B55" w:rsidRPr="00672DBE" w:rsidRDefault="00EB2B55" w:rsidP="003414BB">
            <w:pPr>
              <w:rPr>
                <w:b/>
                <w:sz w:val="20"/>
                <w:szCs w:val="20"/>
              </w:rPr>
            </w:pPr>
            <w:r w:rsidRPr="00672DBE">
              <w:rPr>
                <w:b/>
                <w:sz w:val="20"/>
                <w:szCs w:val="20"/>
              </w:rPr>
              <w:t xml:space="preserve">Reported in introduction whether sex </w:t>
            </w:r>
            <w:r w:rsidR="0028223F">
              <w:rPr>
                <w:b/>
                <w:sz w:val="20"/>
                <w:szCs w:val="20"/>
              </w:rPr>
              <w:t>&amp;</w:t>
            </w:r>
            <w:r w:rsidRPr="00672DBE">
              <w:rPr>
                <w:b/>
                <w:sz w:val="20"/>
                <w:szCs w:val="20"/>
              </w:rPr>
              <w:t>/or gender differences can be expected</w:t>
            </w:r>
          </w:p>
        </w:tc>
        <w:tc>
          <w:tcPr>
            <w:tcW w:w="1422" w:type="dxa"/>
            <w:shd w:val="clear" w:color="auto" w:fill="E3D3ED"/>
          </w:tcPr>
          <w:p w14:paraId="54A83B1E" w14:textId="53EF0871" w:rsidR="00EB2B55" w:rsidRPr="00672DBE" w:rsidRDefault="00EB2B55" w:rsidP="003414BB">
            <w:pPr>
              <w:rPr>
                <w:b/>
                <w:sz w:val="20"/>
                <w:szCs w:val="20"/>
              </w:rPr>
            </w:pPr>
            <w:r w:rsidRPr="00672DBE">
              <w:rPr>
                <w:b/>
                <w:sz w:val="20"/>
                <w:szCs w:val="20"/>
              </w:rPr>
              <w:t xml:space="preserve">Ensured adequate representation of women </w:t>
            </w:r>
            <w:r w:rsidR="0028223F">
              <w:rPr>
                <w:b/>
                <w:sz w:val="20"/>
                <w:szCs w:val="20"/>
              </w:rPr>
              <w:t>&amp;</w:t>
            </w:r>
            <w:r w:rsidR="0028223F" w:rsidRPr="00672DBE">
              <w:rPr>
                <w:b/>
                <w:sz w:val="20"/>
                <w:szCs w:val="20"/>
              </w:rPr>
              <w:t xml:space="preserve"> </w:t>
            </w:r>
            <w:r w:rsidRPr="00672DBE">
              <w:rPr>
                <w:b/>
                <w:sz w:val="20"/>
                <w:szCs w:val="20"/>
              </w:rPr>
              <w:t>men in methods section*</w:t>
            </w:r>
          </w:p>
        </w:tc>
        <w:tc>
          <w:tcPr>
            <w:tcW w:w="1559" w:type="dxa"/>
            <w:shd w:val="clear" w:color="auto" w:fill="E3D3ED"/>
          </w:tcPr>
          <w:p w14:paraId="54F0CDBB" w14:textId="45E31B00" w:rsidR="00EB2B55" w:rsidRPr="00672DBE" w:rsidRDefault="00EB2B55" w:rsidP="003414BB">
            <w:pPr>
              <w:rPr>
                <w:b/>
                <w:sz w:val="20"/>
                <w:szCs w:val="20"/>
              </w:rPr>
            </w:pPr>
            <w:r w:rsidRPr="00672DBE">
              <w:rPr>
                <w:b/>
                <w:sz w:val="20"/>
                <w:szCs w:val="20"/>
              </w:rPr>
              <w:t>Included variables or information that enabled sex-based or gender-based analysis in methods section</w:t>
            </w:r>
          </w:p>
        </w:tc>
        <w:tc>
          <w:tcPr>
            <w:tcW w:w="1701" w:type="dxa"/>
            <w:shd w:val="clear" w:color="auto" w:fill="E3D3ED"/>
          </w:tcPr>
          <w:p w14:paraId="351164FD" w14:textId="1CC4BE82" w:rsidR="00EB2B55" w:rsidRPr="00672DBE" w:rsidRDefault="00EB2B55" w:rsidP="003414BB">
            <w:pPr>
              <w:rPr>
                <w:b/>
                <w:sz w:val="20"/>
                <w:szCs w:val="20"/>
              </w:rPr>
            </w:pPr>
            <w:r w:rsidRPr="00672DBE">
              <w:rPr>
                <w:b/>
                <w:sz w:val="20"/>
                <w:szCs w:val="20"/>
              </w:rPr>
              <w:t xml:space="preserve">Reported how sex </w:t>
            </w:r>
            <w:r w:rsidR="0028223F">
              <w:rPr>
                <w:b/>
                <w:sz w:val="20"/>
                <w:szCs w:val="20"/>
              </w:rPr>
              <w:t>&amp;</w:t>
            </w:r>
            <w:r w:rsidRPr="00672DBE">
              <w:rPr>
                <w:b/>
                <w:sz w:val="20"/>
                <w:szCs w:val="20"/>
              </w:rPr>
              <w:t>/or gender was assigned (e.g., self-report, genetic testing) in method section</w:t>
            </w:r>
            <w:r w:rsidR="00E42FFE">
              <w:rPr>
                <w:b/>
                <w:sz w:val="20"/>
                <w:szCs w:val="20"/>
              </w:rPr>
              <w:t xml:space="preserve"> **</w:t>
            </w:r>
          </w:p>
        </w:tc>
        <w:tc>
          <w:tcPr>
            <w:tcW w:w="1843" w:type="dxa"/>
            <w:tcBorders>
              <w:bottom w:val="single" w:sz="4" w:space="0" w:color="auto"/>
            </w:tcBorders>
            <w:shd w:val="clear" w:color="auto" w:fill="E3D3ED"/>
          </w:tcPr>
          <w:p w14:paraId="775C0085" w14:textId="217EB538" w:rsidR="00EB2B55" w:rsidRPr="00672DBE" w:rsidRDefault="00EB2B55" w:rsidP="003414BB">
            <w:pPr>
              <w:rPr>
                <w:b/>
                <w:sz w:val="20"/>
                <w:szCs w:val="20"/>
              </w:rPr>
            </w:pPr>
            <w:r w:rsidRPr="00672DBE">
              <w:rPr>
                <w:b/>
                <w:sz w:val="20"/>
                <w:szCs w:val="20"/>
              </w:rPr>
              <w:t>Reported data disaggregated by sex or gender</w:t>
            </w:r>
            <w:r w:rsidR="0028223F">
              <w:rPr>
                <w:b/>
                <w:sz w:val="20"/>
                <w:szCs w:val="20"/>
              </w:rPr>
              <w:t xml:space="preserve">; </w:t>
            </w:r>
            <w:r w:rsidRPr="00672DBE">
              <w:rPr>
                <w:b/>
                <w:sz w:val="20"/>
                <w:szCs w:val="20"/>
              </w:rPr>
              <w:t xml:space="preserve">sex or gender differences </w:t>
            </w:r>
            <w:r w:rsidR="0028223F">
              <w:rPr>
                <w:b/>
                <w:sz w:val="20"/>
                <w:szCs w:val="20"/>
              </w:rPr>
              <w:t>&amp;</w:t>
            </w:r>
            <w:r w:rsidR="0028223F" w:rsidRPr="00672DBE">
              <w:rPr>
                <w:b/>
                <w:sz w:val="20"/>
                <w:szCs w:val="20"/>
              </w:rPr>
              <w:t xml:space="preserve"> </w:t>
            </w:r>
            <w:r w:rsidRPr="00672DBE">
              <w:rPr>
                <w:b/>
                <w:sz w:val="20"/>
                <w:szCs w:val="20"/>
              </w:rPr>
              <w:t>similarities are described</w:t>
            </w:r>
          </w:p>
        </w:tc>
        <w:tc>
          <w:tcPr>
            <w:tcW w:w="1843" w:type="dxa"/>
            <w:shd w:val="clear" w:color="auto" w:fill="E3D3ED"/>
          </w:tcPr>
          <w:p w14:paraId="1F8CDA84" w14:textId="77777777" w:rsidR="00EB2B55" w:rsidRPr="00672DBE" w:rsidRDefault="00EB2B55" w:rsidP="003414BB">
            <w:pPr>
              <w:rPr>
                <w:b/>
                <w:sz w:val="20"/>
                <w:szCs w:val="20"/>
              </w:rPr>
            </w:pPr>
            <w:r w:rsidRPr="00672DBE">
              <w:rPr>
                <w:b/>
                <w:sz w:val="20"/>
                <w:szCs w:val="20"/>
              </w:rPr>
              <w:t>Discussed sex differences or applied a gender perspective in discussion section</w:t>
            </w:r>
          </w:p>
        </w:tc>
        <w:tc>
          <w:tcPr>
            <w:tcW w:w="1560" w:type="dxa"/>
            <w:shd w:val="clear" w:color="auto" w:fill="E3D3ED"/>
          </w:tcPr>
          <w:p w14:paraId="79A7B884" w14:textId="1BB694CF" w:rsidR="00EB2B55" w:rsidRPr="00672DBE" w:rsidRDefault="00EB2B55" w:rsidP="003414BB">
            <w:pPr>
              <w:rPr>
                <w:b/>
                <w:sz w:val="20"/>
                <w:szCs w:val="20"/>
              </w:rPr>
            </w:pPr>
            <w:r w:rsidRPr="00672DBE">
              <w:rPr>
                <w:b/>
                <w:sz w:val="20"/>
                <w:szCs w:val="20"/>
              </w:rPr>
              <w:t xml:space="preserve">Discussed implications of results from a sex </w:t>
            </w:r>
            <w:r w:rsidR="0028223F">
              <w:rPr>
                <w:b/>
                <w:sz w:val="20"/>
                <w:szCs w:val="20"/>
              </w:rPr>
              <w:t>&amp;</w:t>
            </w:r>
            <w:r w:rsidRPr="00672DBE">
              <w:rPr>
                <w:b/>
                <w:sz w:val="20"/>
                <w:szCs w:val="20"/>
              </w:rPr>
              <w:t>/or gender perspective</w:t>
            </w:r>
          </w:p>
        </w:tc>
        <w:tc>
          <w:tcPr>
            <w:tcW w:w="1417" w:type="dxa"/>
            <w:shd w:val="clear" w:color="auto" w:fill="E3D3ED"/>
          </w:tcPr>
          <w:p w14:paraId="325E937E" w14:textId="46778644" w:rsidR="00EB2B55" w:rsidRPr="00672DBE" w:rsidRDefault="00EB2B55" w:rsidP="003414BB">
            <w:pPr>
              <w:rPr>
                <w:b/>
                <w:sz w:val="20"/>
                <w:szCs w:val="20"/>
              </w:rPr>
            </w:pPr>
            <w:r w:rsidRPr="00672DBE">
              <w:rPr>
                <w:b/>
                <w:sz w:val="20"/>
                <w:szCs w:val="20"/>
              </w:rPr>
              <w:t xml:space="preserve">Used ‘sex’ </w:t>
            </w:r>
            <w:r w:rsidR="0028223F">
              <w:rPr>
                <w:b/>
                <w:sz w:val="20"/>
                <w:szCs w:val="20"/>
              </w:rPr>
              <w:t>&amp;</w:t>
            </w:r>
            <w:r w:rsidR="0028223F" w:rsidRPr="00672DBE">
              <w:rPr>
                <w:b/>
                <w:sz w:val="20"/>
                <w:szCs w:val="20"/>
              </w:rPr>
              <w:t xml:space="preserve"> </w:t>
            </w:r>
            <w:r w:rsidRPr="00672DBE">
              <w:rPr>
                <w:b/>
                <w:sz w:val="20"/>
                <w:szCs w:val="20"/>
              </w:rPr>
              <w:t>‘gender’ appropriately</w:t>
            </w:r>
          </w:p>
        </w:tc>
        <w:tc>
          <w:tcPr>
            <w:tcW w:w="1218" w:type="dxa"/>
            <w:shd w:val="clear" w:color="auto" w:fill="E3D3ED"/>
          </w:tcPr>
          <w:p w14:paraId="714D2635" w14:textId="77777777" w:rsidR="00EB2B55" w:rsidRPr="00672DBE" w:rsidRDefault="00EB2B55" w:rsidP="003414BB">
            <w:pPr>
              <w:rPr>
                <w:b/>
                <w:sz w:val="20"/>
                <w:szCs w:val="20"/>
              </w:rPr>
            </w:pPr>
          </w:p>
          <w:p w14:paraId="37BFAC80" w14:textId="77777777" w:rsidR="00EB2B55" w:rsidRPr="00672DBE" w:rsidRDefault="00EB2B55" w:rsidP="003414BB">
            <w:pPr>
              <w:rPr>
                <w:b/>
                <w:sz w:val="20"/>
                <w:szCs w:val="20"/>
              </w:rPr>
            </w:pPr>
          </w:p>
          <w:p w14:paraId="4F497E0B" w14:textId="77777777" w:rsidR="00EB2B55" w:rsidRPr="00672DBE" w:rsidRDefault="00EB2B55" w:rsidP="003414BB">
            <w:pPr>
              <w:jc w:val="center"/>
              <w:rPr>
                <w:b/>
                <w:sz w:val="24"/>
                <w:szCs w:val="24"/>
              </w:rPr>
            </w:pPr>
            <w:r w:rsidRPr="00672DBE">
              <w:rPr>
                <w:b/>
                <w:sz w:val="24"/>
                <w:szCs w:val="24"/>
              </w:rPr>
              <w:t>Score</w:t>
            </w:r>
          </w:p>
        </w:tc>
      </w:tr>
      <w:tr w:rsidR="00AD5473" w:rsidRPr="00672DBE" w14:paraId="46984243" w14:textId="77777777" w:rsidTr="00AD5473">
        <w:tc>
          <w:tcPr>
            <w:tcW w:w="1387" w:type="dxa"/>
          </w:tcPr>
          <w:p w14:paraId="1E0FF15E" w14:textId="77777777" w:rsidR="00EB2B55" w:rsidRPr="00672DBE" w:rsidRDefault="00EB2B55" w:rsidP="003414BB">
            <w:pPr>
              <w:rPr>
                <w:sz w:val="20"/>
                <w:szCs w:val="20"/>
              </w:rPr>
            </w:pPr>
            <w:proofErr w:type="spellStart"/>
            <w:r w:rsidRPr="00672DBE">
              <w:rPr>
                <w:sz w:val="20"/>
                <w:szCs w:val="20"/>
              </w:rPr>
              <w:t>Barha</w:t>
            </w:r>
            <w:proofErr w:type="spellEnd"/>
            <w:r w:rsidRPr="00672DBE">
              <w:rPr>
                <w:sz w:val="20"/>
                <w:szCs w:val="20"/>
              </w:rPr>
              <w:t xml:space="preserve"> et al. 2017</w:t>
            </w:r>
          </w:p>
        </w:tc>
        <w:tc>
          <w:tcPr>
            <w:tcW w:w="1297" w:type="dxa"/>
          </w:tcPr>
          <w:p w14:paraId="64AB7844" w14:textId="77777777" w:rsidR="00EB2B55" w:rsidRPr="00672DBE" w:rsidRDefault="00EB2B55" w:rsidP="003414BB">
            <w:pPr>
              <w:jc w:val="center"/>
              <w:rPr>
                <w:sz w:val="20"/>
                <w:szCs w:val="20"/>
              </w:rPr>
            </w:pPr>
            <w:r w:rsidRPr="00672DBE">
              <w:rPr>
                <w:sz w:val="20"/>
                <w:szCs w:val="20"/>
              </w:rPr>
              <w:t>Yes</w:t>
            </w:r>
          </w:p>
        </w:tc>
        <w:tc>
          <w:tcPr>
            <w:tcW w:w="1422" w:type="dxa"/>
          </w:tcPr>
          <w:p w14:paraId="2131AFBB" w14:textId="77777777" w:rsidR="00EB2B55" w:rsidRPr="00672DBE" w:rsidRDefault="00EB2B55" w:rsidP="003414BB">
            <w:pPr>
              <w:jc w:val="center"/>
              <w:rPr>
                <w:sz w:val="20"/>
                <w:szCs w:val="20"/>
              </w:rPr>
            </w:pPr>
            <w:r w:rsidRPr="00672DBE">
              <w:rPr>
                <w:sz w:val="20"/>
                <w:szCs w:val="20"/>
              </w:rPr>
              <w:t>Yes</w:t>
            </w:r>
          </w:p>
        </w:tc>
        <w:tc>
          <w:tcPr>
            <w:tcW w:w="1559" w:type="dxa"/>
          </w:tcPr>
          <w:p w14:paraId="0A2F6969" w14:textId="77777777" w:rsidR="00EB2B55" w:rsidRPr="00672DBE" w:rsidRDefault="00EB2B55" w:rsidP="003414BB">
            <w:pPr>
              <w:jc w:val="center"/>
              <w:rPr>
                <w:sz w:val="20"/>
                <w:szCs w:val="20"/>
              </w:rPr>
            </w:pPr>
            <w:r w:rsidRPr="00672DBE">
              <w:rPr>
                <w:sz w:val="20"/>
                <w:szCs w:val="20"/>
              </w:rPr>
              <w:t>Yes</w:t>
            </w:r>
          </w:p>
        </w:tc>
        <w:tc>
          <w:tcPr>
            <w:tcW w:w="1701" w:type="dxa"/>
          </w:tcPr>
          <w:p w14:paraId="57EB97C4" w14:textId="77777777" w:rsidR="00EB2B55" w:rsidRPr="00672DBE" w:rsidRDefault="00EB2B55" w:rsidP="003414BB">
            <w:pPr>
              <w:jc w:val="center"/>
              <w:rPr>
                <w:sz w:val="20"/>
                <w:szCs w:val="20"/>
              </w:rPr>
            </w:pPr>
            <w:r w:rsidRPr="00672DBE">
              <w:rPr>
                <w:sz w:val="20"/>
                <w:szCs w:val="20"/>
              </w:rPr>
              <w:t>No</w:t>
            </w:r>
          </w:p>
        </w:tc>
        <w:tc>
          <w:tcPr>
            <w:tcW w:w="1843" w:type="dxa"/>
            <w:shd w:val="clear" w:color="auto" w:fill="auto"/>
          </w:tcPr>
          <w:p w14:paraId="042A2401" w14:textId="77777777" w:rsidR="00EB2B55" w:rsidRPr="00672DBE" w:rsidRDefault="00EB2B55" w:rsidP="003414BB">
            <w:pPr>
              <w:jc w:val="center"/>
              <w:rPr>
                <w:sz w:val="20"/>
                <w:szCs w:val="20"/>
              </w:rPr>
            </w:pPr>
            <w:r w:rsidRPr="00672DBE">
              <w:rPr>
                <w:sz w:val="20"/>
                <w:szCs w:val="20"/>
              </w:rPr>
              <w:t>Yes</w:t>
            </w:r>
          </w:p>
        </w:tc>
        <w:tc>
          <w:tcPr>
            <w:tcW w:w="1843" w:type="dxa"/>
          </w:tcPr>
          <w:p w14:paraId="5FB4001F" w14:textId="77777777" w:rsidR="00EB2B55" w:rsidRPr="00672DBE" w:rsidRDefault="00EB2B55" w:rsidP="003414BB">
            <w:pPr>
              <w:jc w:val="center"/>
              <w:rPr>
                <w:sz w:val="20"/>
                <w:szCs w:val="20"/>
              </w:rPr>
            </w:pPr>
            <w:r w:rsidRPr="00672DBE">
              <w:rPr>
                <w:sz w:val="20"/>
                <w:szCs w:val="20"/>
              </w:rPr>
              <w:t>Yes</w:t>
            </w:r>
          </w:p>
        </w:tc>
        <w:tc>
          <w:tcPr>
            <w:tcW w:w="1560" w:type="dxa"/>
          </w:tcPr>
          <w:p w14:paraId="17758339" w14:textId="77777777" w:rsidR="00EB2B55" w:rsidRPr="00672DBE" w:rsidRDefault="00EB2B55" w:rsidP="003414BB">
            <w:pPr>
              <w:jc w:val="center"/>
              <w:rPr>
                <w:sz w:val="20"/>
                <w:szCs w:val="20"/>
              </w:rPr>
            </w:pPr>
            <w:r w:rsidRPr="00672DBE">
              <w:rPr>
                <w:sz w:val="20"/>
                <w:szCs w:val="20"/>
              </w:rPr>
              <w:t>Yes (sex only)</w:t>
            </w:r>
          </w:p>
        </w:tc>
        <w:tc>
          <w:tcPr>
            <w:tcW w:w="1417" w:type="dxa"/>
          </w:tcPr>
          <w:p w14:paraId="1237F302" w14:textId="77777777" w:rsidR="00EB2B55" w:rsidRPr="00672DBE" w:rsidRDefault="00EB2B55" w:rsidP="003414BB">
            <w:pPr>
              <w:jc w:val="center"/>
              <w:rPr>
                <w:sz w:val="20"/>
                <w:szCs w:val="20"/>
              </w:rPr>
            </w:pPr>
            <w:r w:rsidRPr="00672DBE">
              <w:rPr>
                <w:sz w:val="20"/>
                <w:szCs w:val="20"/>
              </w:rPr>
              <w:t>Yes</w:t>
            </w:r>
          </w:p>
        </w:tc>
        <w:tc>
          <w:tcPr>
            <w:tcW w:w="1218" w:type="dxa"/>
          </w:tcPr>
          <w:p w14:paraId="07724A47" w14:textId="77777777" w:rsidR="00EB2B55" w:rsidRPr="00672DBE" w:rsidRDefault="00EB2B55" w:rsidP="003414BB">
            <w:pPr>
              <w:jc w:val="center"/>
              <w:rPr>
                <w:sz w:val="20"/>
                <w:szCs w:val="20"/>
              </w:rPr>
            </w:pPr>
            <w:r w:rsidRPr="00672DBE">
              <w:rPr>
                <w:sz w:val="20"/>
                <w:szCs w:val="20"/>
              </w:rPr>
              <w:t>7/8</w:t>
            </w:r>
          </w:p>
        </w:tc>
      </w:tr>
      <w:tr w:rsidR="00AD5473" w:rsidRPr="00672DBE" w14:paraId="42465128" w14:textId="77777777" w:rsidTr="00AD5473">
        <w:tc>
          <w:tcPr>
            <w:tcW w:w="1387" w:type="dxa"/>
          </w:tcPr>
          <w:p w14:paraId="5A32CE38" w14:textId="77777777" w:rsidR="00EB2B55" w:rsidRPr="00672DBE" w:rsidRDefault="00EB2B55" w:rsidP="003414BB">
            <w:pPr>
              <w:rPr>
                <w:sz w:val="20"/>
                <w:szCs w:val="20"/>
              </w:rPr>
            </w:pPr>
            <w:r w:rsidRPr="00672DBE">
              <w:rPr>
                <w:sz w:val="20"/>
                <w:szCs w:val="20"/>
              </w:rPr>
              <w:t>Brucki et al. 2023</w:t>
            </w:r>
          </w:p>
        </w:tc>
        <w:tc>
          <w:tcPr>
            <w:tcW w:w="1297" w:type="dxa"/>
          </w:tcPr>
          <w:p w14:paraId="6A1E17ED" w14:textId="77777777" w:rsidR="00EB2B55" w:rsidRPr="00672DBE" w:rsidRDefault="00EB2B55" w:rsidP="003414BB">
            <w:pPr>
              <w:jc w:val="center"/>
              <w:rPr>
                <w:sz w:val="20"/>
                <w:szCs w:val="20"/>
              </w:rPr>
            </w:pPr>
            <w:r w:rsidRPr="00672DBE">
              <w:rPr>
                <w:sz w:val="20"/>
                <w:szCs w:val="20"/>
              </w:rPr>
              <w:t>Yes</w:t>
            </w:r>
          </w:p>
        </w:tc>
        <w:tc>
          <w:tcPr>
            <w:tcW w:w="1422" w:type="dxa"/>
          </w:tcPr>
          <w:p w14:paraId="1F88DA48" w14:textId="77777777" w:rsidR="00EB2B55" w:rsidRPr="00672DBE" w:rsidRDefault="00EB2B55" w:rsidP="003414BB">
            <w:pPr>
              <w:jc w:val="center"/>
              <w:rPr>
                <w:sz w:val="20"/>
                <w:szCs w:val="20"/>
              </w:rPr>
            </w:pPr>
            <w:r w:rsidRPr="00672DBE">
              <w:rPr>
                <w:sz w:val="20"/>
                <w:szCs w:val="20"/>
              </w:rPr>
              <w:t>Yes</w:t>
            </w:r>
          </w:p>
        </w:tc>
        <w:tc>
          <w:tcPr>
            <w:tcW w:w="1559" w:type="dxa"/>
          </w:tcPr>
          <w:p w14:paraId="602AC74F" w14:textId="77777777" w:rsidR="00EB2B55" w:rsidRPr="00672DBE" w:rsidRDefault="00EB2B55" w:rsidP="003414BB">
            <w:pPr>
              <w:jc w:val="center"/>
              <w:rPr>
                <w:sz w:val="20"/>
                <w:szCs w:val="20"/>
              </w:rPr>
            </w:pPr>
            <w:r w:rsidRPr="00672DBE">
              <w:rPr>
                <w:sz w:val="20"/>
                <w:szCs w:val="20"/>
              </w:rPr>
              <w:t>Yes</w:t>
            </w:r>
          </w:p>
        </w:tc>
        <w:tc>
          <w:tcPr>
            <w:tcW w:w="1701" w:type="dxa"/>
          </w:tcPr>
          <w:p w14:paraId="3718E918" w14:textId="77777777" w:rsidR="00504B69" w:rsidRDefault="00EB2B55" w:rsidP="003414BB">
            <w:pPr>
              <w:jc w:val="center"/>
              <w:rPr>
                <w:sz w:val="20"/>
                <w:szCs w:val="20"/>
              </w:rPr>
            </w:pPr>
            <w:r w:rsidRPr="00672DBE">
              <w:rPr>
                <w:sz w:val="20"/>
                <w:szCs w:val="20"/>
              </w:rPr>
              <w:t>Yes</w:t>
            </w:r>
          </w:p>
          <w:p w14:paraId="642D02A8" w14:textId="250ACC18" w:rsidR="00EB2B55" w:rsidRPr="00672DBE" w:rsidRDefault="00EB2B55" w:rsidP="003414BB">
            <w:pPr>
              <w:jc w:val="center"/>
              <w:rPr>
                <w:sz w:val="20"/>
                <w:szCs w:val="20"/>
              </w:rPr>
            </w:pPr>
            <w:r w:rsidRPr="00672DBE">
              <w:rPr>
                <w:sz w:val="20"/>
                <w:szCs w:val="20"/>
              </w:rPr>
              <w:t>(review)</w:t>
            </w:r>
          </w:p>
        </w:tc>
        <w:tc>
          <w:tcPr>
            <w:tcW w:w="1843" w:type="dxa"/>
            <w:shd w:val="clear" w:color="auto" w:fill="auto"/>
          </w:tcPr>
          <w:p w14:paraId="2DCBC285" w14:textId="77777777" w:rsidR="00EB2B55" w:rsidRPr="00672DBE" w:rsidRDefault="00EB2B55" w:rsidP="003414BB">
            <w:pPr>
              <w:jc w:val="center"/>
              <w:rPr>
                <w:sz w:val="20"/>
                <w:szCs w:val="20"/>
              </w:rPr>
            </w:pPr>
            <w:r w:rsidRPr="00672DBE">
              <w:rPr>
                <w:sz w:val="20"/>
                <w:szCs w:val="20"/>
              </w:rPr>
              <w:t>Yes</w:t>
            </w:r>
          </w:p>
        </w:tc>
        <w:tc>
          <w:tcPr>
            <w:tcW w:w="1843" w:type="dxa"/>
          </w:tcPr>
          <w:p w14:paraId="7CF239D6" w14:textId="77777777" w:rsidR="00EB2B55" w:rsidRPr="00672DBE" w:rsidRDefault="00EB2B55" w:rsidP="003414BB">
            <w:pPr>
              <w:jc w:val="center"/>
              <w:rPr>
                <w:sz w:val="20"/>
                <w:szCs w:val="20"/>
              </w:rPr>
            </w:pPr>
            <w:r w:rsidRPr="00672DBE">
              <w:rPr>
                <w:sz w:val="20"/>
                <w:szCs w:val="20"/>
              </w:rPr>
              <w:t>Yes</w:t>
            </w:r>
          </w:p>
        </w:tc>
        <w:tc>
          <w:tcPr>
            <w:tcW w:w="1560" w:type="dxa"/>
          </w:tcPr>
          <w:p w14:paraId="73A1B88E" w14:textId="77777777" w:rsidR="00EB2B55" w:rsidRPr="00672DBE" w:rsidRDefault="00EB2B55" w:rsidP="003414BB">
            <w:pPr>
              <w:jc w:val="center"/>
              <w:rPr>
                <w:sz w:val="20"/>
                <w:szCs w:val="20"/>
              </w:rPr>
            </w:pPr>
            <w:r w:rsidRPr="00672DBE">
              <w:rPr>
                <w:sz w:val="20"/>
                <w:szCs w:val="20"/>
              </w:rPr>
              <w:t>Yes</w:t>
            </w:r>
          </w:p>
        </w:tc>
        <w:tc>
          <w:tcPr>
            <w:tcW w:w="1417" w:type="dxa"/>
          </w:tcPr>
          <w:p w14:paraId="1E321C7E" w14:textId="6AF75878" w:rsidR="00EB2B55" w:rsidRPr="00672DBE" w:rsidRDefault="00811D86" w:rsidP="003414BB">
            <w:pPr>
              <w:jc w:val="center"/>
              <w:rPr>
                <w:sz w:val="20"/>
                <w:szCs w:val="20"/>
              </w:rPr>
            </w:pPr>
            <w:r>
              <w:rPr>
                <w:sz w:val="20"/>
                <w:szCs w:val="20"/>
              </w:rPr>
              <w:t>No</w:t>
            </w:r>
          </w:p>
        </w:tc>
        <w:tc>
          <w:tcPr>
            <w:tcW w:w="1218" w:type="dxa"/>
          </w:tcPr>
          <w:p w14:paraId="037BDFD3" w14:textId="2E09E1AA" w:rsidR="00EB2B55" w:rsidRPr="00672DBE" w:rsidRDefault="00811D86" w:rsidP="003414BB">
            <w:pPr>
              <w:jc w:val="center"/>
              <w:rPr>
                <w:sz w:val="20"/>
                <w:szCs w:val="20"/>
              </w:rPr>
            </w:pPr>
            <w:r>
              <w:rPr>
                <w:sz w:val="20"/>
                <w:szCs w:val="20"/>
              </w:rPr>
              <w:t>7</w:t>
            </w:r>
            <w:r w:rsidR="00EB2B55" w:rsidRPr="00672DBE">
              <w:rPr>
                <w:sz w:val="20"/>
                <w:szCs w:val="20"/>
              </w:rPr>
              <w:t>/8</w:t>
            </w:r>
          </w:p>
        </w:tc>
      </w:tr>
      <w:tr w:rsidR="00AD5473" w:rsidRPr="00672DBE" w14:paraId="4C2370F4" w14:textId="77777777" w:rsidTr="00AD5473">
        <w:tc>
          <w:tcPr>
            <w:tcW w:w="1387" w:type="dxa"/>
          </w:tcPr>
          <w:p w14:paraId="1EA44B84" w14:textId="77777777" w:rsidR="00EB2B55" w:rsidRPr="00672DBE" w:rsidRDefault="00EB2B55" w:rsidP="003414BB">
            <w:pPr>
              <w:rPr>
                <w:sz w:val="20"/>
                <w:szCs w:val="20"/>
              </w:rPr>
            </w:pPr>
            <w:r w:rsidRPr="00672DBE">
              <w:rPr>
                <w:sz w:val="20"/>
                <w:szCs w:val="20"/>
              </w:rPr>
              <w:t>Cropsey et al. 2014</w:t>
            </w:r>
          </w:p>
        </w:tc>
        <w:tc>
          <w:tcPr>
            <w:tcW w:w="1297" w:type="dxa"/>
          </w:tcPr>
          <w:p w14:paraId="1FF1D495" w14:textId="77777777" w:rsidR="00EB2B55" w:rsidRPr="00672DBE" w:rsidRDefault="00EB2B55" w:rsidP="003414BB">
            <w:pPr>
              <w:jc w:val="center"/>
              <w:rPr>
                <w:sz w:val="20"/>
                <w:szCs w:val="20"/>
              </w:rPr>
            </w:pPr>
            <w:r w:rsidRPr="00672DBE">
              <w:rPr>
                <w:sz w:val="20"/>
                <w:szCs w:val="20"/>
              </w:rPr>
              <w:t>Yes</w:t>
            </w:r>
          </w:p>
        </w:tc>
        <w:tc>
          <w:tcPr>
            <w:tcW w:w="1422" w:type="dxa"/>
          </w:tcPr>
          <w:p w14:paraId="1B751280" w14:textId="77777777" w:rsidR="00EB2B55" w:rsidRPr="00672DBE" w:rsidRDefault="00EB2B55" w:rsidP="003414BB">
            <w:pPr>
              <w:jc w:val="center"/>
              <w:rPr>
                <w:sz w:val="20"/>
                <w:szCs w:val="20"/>
              </w:rPr>
            </w:pPr>
            <w:r w:rsidRPr="00672DBE">
              <w:rPr>
                <w:sz w:val="20"/>
                <w:szCs w:val="20"/>
              </w:rPr>
              <w:t>Yes</w:t>
            </w:r>
          </w:p>
        </w:tc>
        <w:tc>
          <w:tcPr>
            <w:tcW w:w="1559" w:type="dxa"/>
          </w:tcPr>
          <w:p w14:paraId="75537F14" w14:textId="77777777" w:rsidR="00EB2B55" w:rsidRPr="00672DBE" w:rsidRDefault="00EB2B55" w:rsidP="003414BB">
            <w:pPr>
              <w:jc w:val="center"/>
              <w:rPr>
                <w:sz w:val="20"/>
                <w:szCs w:val="20"/>
              </w:rPr>
            </w:pPr>
            <w:r w:rsidRPr="00672DBE">
              <w:rPr>
                <w:sz w:val="20"/>
                <w:szCs w:val="20"/>
              </w:rPr>
              <w:t>Yes</w:t>
            </w:r>
          </w:p>
        </w:tc>
        <w:tc>
          <w:tcPr>
            <w:tcW w:w="1701" w:type="dxa"/>
          </w:tcPr>
          <w:p w14:paraId="1F3F2684" w14:textId="37981FC4" w:rsidR="00EB2B55" w:rsidRPr="00672DBE" w:rsidRDefault="00FC3501" w:rsidP="003414BB">
            <w:pPr>
              <w:jc w:val="center"/>
              <w:rPr>
                <w:sz w:val="20"/>
                <w:szCs w:val="20"/>
              </w:rPr>
            </w:pPr>
            <w:r>
              <w:rPr>
                <w:sz w:val="20"/>
                <w:szCs w:val="20"/>
              </w:rPr>
              <w:t>No</w:t>
            </w:r>
          </w:p>
        </w:tc>
        <w:tc>
          <w:tcPr>
            <w:tcW w:w="1843" w:type="dxa"/>
            <w:shd w:val="clear" w:color="auto" w:fill="auto"/>
          </w:tcPr>
          <w:p w14:paraId="54B5605B" w14:textId="77777777" w:rsidR="00EB2B55" w:rsidRPr="00672DBE" w:rsidRDefault="00EB2B55" w:rsidP="003414BB">
            <w:pPr>
              <w:jc w:val="center"/>
              <w:rPr>
                <w:sz w:val="20"/>
                <w:szCs w:val="20"/>
              </w:rPr>
            </w:pPr>
            <w:r w:rsidRPr="00672DBE">
              <w:rPr>
                <w:sz w:val="20"/>
                <w:szCs w:val="20"/>
              </w:rPr>
              <w:t>Yes</w:t>
            </w:r>
          </w:p>
        </w:tc>
        <w:tc>
          <w:tcPr>
            <w:tcW w:w="1843" w:type="dxa"/>
          </w:tcPr>
          <w:p w14:paraId="4D3E6B0F" w14:textId="77777777" w:rsidR="00EB2B55" w:rsidRPr="00672DBE" w:rsidRDefault="00EB2B55" w:rsidP="003414BB">
            <w:pPr>
              <w:jc w:val="center"/>
              <w:rPr>
                <w:sz w:val="20"/>
                <w:szCs w:val="20"/>
              </w:rPr>
            </w:pPr>
            <w:r w:rsidRPr="00672DBE">
              <w:rPr>
                <w:sz w:val="20"/>
                <w:szCs w:val="20"/>
              </w:rPr>
              <w:t>Yes</w:t>
            </w:r>
          </w:p>
        </w:tc>
        <w:tc>
          <w:tcPr>
            <w:tcW w:w="1560" w:type="dxa"/>
          </w:tcPr>
          <w:p w14:paraId="6E9DFCC8" w14:textId="77777777" w:rsidR="00EB2B55" w:rsidRPr="00672DBE" w:rsidRDefault="00EB2B55" w:rsidP="003414BB">
            <w:pPr>
              <w:jc w:val="center"/>
              <w:rPr>
                <w:sz w:val="20"/>
                <w:szCs w:val="20"/>
              </w:rPr>
            </w:pPr>
            <w:r w:rsidRPr="00672DBE">
              <w:rPr>
                <w:sz w:val="20"/>
                <w:szCs w:val="20"/>
              </w:rPr>
              <w:t>Yes</w:t>
            </w:r>
          </w:p>
        </w:tc>
        <w:tc>
          <w:tcPr>
            <w:tcW w:w="1417" w:type="dxa"/>
          </w:tcPr>
          <w:p w14:paraId="3DF778CC" w14:textId="77777777" w:rsidR="00EB2B55" w:rsidRPr="00672DBE" w:rsidRDefault="00EB2B55" w:rsidP="003414BB">
            <w:pPr>
              <w:jc w:val="center"/>
              <w:rPr>
                <w:sz w:val="20"/>
                <w:szCs w:val="20"/>
              </w:rPr>
            </w:pPr>
            <w:r w:rsidRPr="00672DBE">
              <w:rPr>
                <w:sz w:val="20"/>
                <w:szCs w:val="20"/>
              </w:rPr>
              <w:t>No</w:t>
            </w:r>
          </w:p>
        </w:tc>
        <w:tc>
          <w:tcPr>
            <w:tcW w:w="1218" w:type="dxa"/>
          </w:tcPr>
          <w:p w14:paraId="59E1F290" w14:textId="6207833C" w:rsidR="00EB2B55" w:rsidRPr="00672DBE" w:rsidRDefault="00FC3501" w:rsidP="003414BB">
            <w:pPr>
              <w:jc w:val="center"/>
              <w:rPr>
                <w:sz w:val="20"/>
                <w:szCs w:val="20"/>
              </w:rPr>
            </w:pPr>
            <w:r>
              <w:rPr>
                <w:sz w:val="20"/>
                <w:szCs w:val="20"/>
              </w:rPr>
              <w:t>6</w:t>
            </w:r>
            <w:r w:rsidR="00EB2B55" w:rsidRPr="00672DBE">
              <w:rPr>
                <w:sz w:val="20"/>
                <w:szCs w:val="20"/>
              </w:rPr>
              <w:t>/8</w:t>
            </w:r>
          </w:p>
        </w:tc>
      </w:tr>
      <w:tr w:rsidR="00770491" w:rsidRPr="00770491" w14:paraId="7047596F" w14:textId="77777777" w:rsidTr="00AD5473">
        <w:tc>
          <w:tcPr>
            <w:tcW w:w="1387" w:type="dxa"/>
          </w:tcPr>
          <w:p w14:paraId="7C91464A" w14:textId="00F1220F" w:rsidR="00770491" w:rsidRPr="00696B71" w:rsidRDefault="00770491" w:rsidP="00770491">
            <w:pPr>
              <w:rPr>
                <w:sz w:val="20"/>
                <w:szCs w:val="20"/>
              </w:rPr>
            </w:pPr>
            <w:r w:rsidRPr="00696B71">
              <w:rPr>
                <w:sz w:val="20"/>
                <w:szCs w:val="20"/>
              </w:rPr>
              <w:t>Fogg et al. 2019</w:t>
            </w:r>
          </w:p>
        </w:tc>
        <w:tc>
          <w:tcPr>
            <w:tcW w:w="1297" w:type="dxa"/>
          </w:tcPr>
          <w:p w14:paraId="6C427B44" w14:textId="6A7ED9EF" w:rsidR="00770491" w:rsidRPr="00696B71" w:rsidRDefault="00770491" w:rsidP="00770491">
            <w:pPr>
              <w:jc w:val="center"/>
              <w:rPr>
                <w:sz w:val="20"/>
                <w:szCs w:val="20"/>
              </w:rPr>
            </w:pPr>
            <w:r w:rsidRPr="00696B71">
              <w:rPr>
                <w:sz w:val="20"/>
                <w:szCs w:val="20"/>
              </w:rPr>
              <w:t>Yes</w:t>
            </w:r>
          </w:p>
        </w:tc>
        <w:tc>
          <w:tcPr>
            <w:tcW w:w="1422" w:type="dxa"/>
          </w:tcPr>
          <w:p w14:paraId="4D7FDF9B" w14:textId="1F7BA235" w:rsidR="00770491" w:rsidRPr="00696B71" w:rsidRDefault="00770491" w:rsidP="00770491">
            <w:pPr>
              <w:jc w:val="center"/>
              <w:rPr>
                <w:sz w:val="20"/>
                <w:szCs w:val="20"/>
              </w:rPr>
            </w:pPr>
            <w:r w:rsidRPr="00696B71">
              <w:rPr>
                <w:sz w:val="20"/>
                <w:szCs w:val="20"/>
              </w:rPr>
              <w:t>Yes</w:t>
            </w:r>
          </w:p>
        </w:tc>
        <w:tc>
          <w:tcPr>
            <w:tcW w:w="1559" w:type="dxa"/>
          </w:tcPr>
          <w:p w14:paraId="3DB2198C" w14:textId="650A92CF" w:rsidR="00770491" w:rsidRPr="00696B71" w:rsidRDefault="00770491" w:rsidP="00770491">
            <w:pPr>
              <w:jc w:val="center"/>
              <w:rPr>
                <w:sz w:val="20"/>
                <w:szCs w:val="20"/>
              </w:rPr>
            </w:pPr>
            <w:r w:rsidRPr="00696B71">
              <w:rPr>
                <w:sz w:val="20"/>
                <w:szCs w:val="20"/>
              </w:rPr>
              <w:t>Yes</w:t>
            </w:r>
          </w:p>
        </w:tc>
        <w:tc>
          <w:tcPr>
            <w:tcW w:w="1701" w:type="dxa"/>
          </w:tcPr>
          <w:p w14:paraId="61AEFAF2" w14:textId="77777777" w:rsidR="00770491" w:rsidRPr="00696B71" w:rsidRDefault="00770491" w:rsidP="00770491">
            <w:pPr>
              <w:jc w:val="center"/>
              <w:rPr>
                <w:sz w:val="20"/>
                <w:szCs w:val="20"/>
              </w:rPr>
            </w:pPr>
            <w:r w:rsidRPr="00696B71">
              <w:rPr>
                <w:sz w:val="20"/>
                <w:szCs w:val="20"/>
              </w:rPr>
              <w:t>Yes</w:t>
            </w:r>
          </w:p>
          <w:p w14:paraId="748ADA56" w14:textId="47E6DE0E" w:rsidR="00770491" w:rsidRPr="00696B71" w:rsidRDefault="00770491" w:rsidP="00770491">
            <w:pPr>
              <w:jc w:val="center"/>
              <w:rPr>
                <w:sz w:val="20"/>
                <w:szCs w:val="20"/>
              </w:rPr>
            </w:pPr>
            <w:r w:rsidRPr="00696B71">
              <w:rPr>
                <w:sz w:val="20"/>
                <w:szCs w:val="20"/>
              </w:rPr>
              <w:t xml:space="preserve">(45 </w:t>
            </w:r>
            <w:r w:rsidR="00094F72">
              <w:rPr>
                <w:sz w:val="20"/>
                <w:szCs w:val="20"/>
              </w:rPr>
              <w:t>&amp;</w:t>
            </w:r>
            <w:r w:rsidRPr="00696B71">
              <w:rPr>
                <w:sz w:val="20"/>
                <w:szCs w:val="20"/>
              </w:rPr>
              <w:t xml:space="preserve"> Up Study database)</w:t>
            </w:r>
          </w:p>
        </w:tc>
        <w:tc>
          <w:tcPr>
            <w:tcW w:w="1843" w:type="dxa"/>
            <w:shd w:val="clear" w:color="auto" w:fill="auto"/>
          </w:tcPr>
          <w:p w14:paraId="0DE70437" w14:textId="2E68C398" w:rsidR="00770491" w:rsidRPr="00696B71" w:rsidRDefault="00770491" w:rsidP="00770491">
            <w:pPr>
              <w:jc w:val="center"/>
              <w:rPr>
                <w:sz w:val="20"/>
                <w:szCs w:val="20"/>
              </w:rPr>
            </w:pPr>
            <w:r w:rsidRPr="00696B71">
              <w:rPr>
                <w:sz w:val="20"/>
                <w:szCs w:val="20"/>
              </w:rPr>
              <w:t>Yes</w:t>
            </w:r>
          </w:p>
        </w:tc>
        <w:tc>
          <w:tcPr>
            <w:tcW w:w="1843" w:type="dxa"/>
          </w:tcPr>
          <w:p w14:paraId="729965E7" w14:textId="04247943" w:rsidR="00770491" w:rsidRPr="00696B71" w:rsidRDefault="00770491" w:rsidP="00770491">
            <w:pPr>
              <w:jc w:val="center"/>
              <w:rPr>
                <w:sz w:val="20"/>
                <w:szCs w:val="20"/>
              </w:rPr>
            </w:pPr>
            <w:r w:rsidRPr="00696B71">
              <w:rPr>
                <w:sz w:val="20"/>
                <w:szCs w:val="20"/>
              </w:rPr>
              <w:t>Yes</w:t>
            </w:r>
          </w:p>
        </w:tc>
        <w:tc>
          <w:tcPr>
            <w:tcW w:w="1560" w:type="dxa"/>
          </w:tcPr>
          <w:p w14:paraId="01E74A67" w14:textId="064CA70E" w:rsidR="00770491" w:rsidRPr="00696B71" w:rsidRDefault="00770491" w:rsidP="00770491">
            <w:pPr>
              <w:jc w:val="center"/>
              <w:rPr>
                <w:sz w:val="20"/>
                <w:szCs w:val="20"/>
              </w:rPr>
            </w:pPr>
            <w:r w:rsidRPr="00696B71">
              <w:rPr>
                <w:sz w:val="20"/>
                <w:szCs w:val="20"/>
              </w:rPr>
              <w:t>Yes</w:t>
            </w:r>
          </w:p>
        </w:tc>
        <w:tc>
          <w:tcPr>
            <w:tcW w:w="1417" w:type="dxa"/>
          </w:tcPr>
          <w:p w14:paraId="211E1215" w14:textId="45B181E7" w:rsidR="00770491" w:rsidRPr="00696B71" w:rsidRDefault="00770491" w:rsidP="00770491">
            <w:pPr>
              <w:jc w:val="center"/>
              <w:rPr>
                <w:sz w:val="20"/>
                <w:szCs w:val="20"/>
              </w:rPr>
            </w:pPr>
            <w:r w:rsidRPr="00696B71">
              <w:rPr>
                <w:sz w:val="20"/>
                <w:szCs w:val="20"/>
              </w:rPr>
              <w:t>Yes</w:t>
            </w:r>
          </w:p>
        </w:tc>
        <w:tc>
          <w:tcPr>
            <w:tcW w:w="1218" w:type="dxa"/>
          </w:tcPr>
          <w:p w14:paraId="19A8801B" w14:textId="45D14F23" w:rsidR="00770491" w:rsidRPr="00696B71" w:rsidRDefault="00770491" w:rsidP="00770491">
            <w:pPr>
              <w:jc w:val="center"/>
              <w:rPr>
                <w:sz w:val="20"/>
                <w:szCs w:val="20"/>
              </w:rPr>
            </w:pPr>
            <w:r w:rsidRPr="00696B71">
              <w:rPr>
                <w:sz w:val="20"/>
                <w:szCs w:val="20"/>
              </w:rPr>
              <w:t>8/8</w:t>
            </w:r>
          </w:p>
        </w:tc>
      </w:tr>
      <w:tr w:rsidR="00AD5473" w:rsidRPr="00672DBE" w14:paraId="5237F577" w14:textId="77777777" w:rsidTr="00AD5473">
        <w:tc>
          <w:tcPr>
            <w:tcW w:w="1387" w:type="dxa"/>
          </w:tcPr>
          <w:p w14:paraId="06B11709" w14:textId="77777777" w:rsidR="00EB2B55" w:rsidRPr="00672DBE" w:rsidRDefault="00EB2B55" w:rsidP="003414BB">
            <w:pPr>
              <w:rPr>
                <w:sz w:val="20"/>
                <w:szCs w:val="20"/>
              </w:rPr>
            </w:pPr>
            <w:r w:rsidRPr="00672DBE">
              <w:rPr>
                <w:sz w:val="20"/>
                <w:szCs w:val="20"/>
              </w:rPr>
              <w:t>Gauci et al. 2022</w:t>
            </w:r>
          </w:p>
        </w:tc>
        <w:tc>
          <w:tcPr>
            <w:tcW w:w="1297" w:type="dxa"/>
          </w:tcPr>
          <w:p w14:paraId="52CD784E" w14:textId="77777777" w:rsidR="00EB2B55" w:rsidRPr="00672DBE" w:rsidRDefault="00EB2B55" w:rsidP="003414BB">
            <w:pPr>
              <w:jc w:val="center"/>
              <w:rPr>
                <w:sz w:val="20"/>
                <w:szCs w:val="20"/>
              </w:rPr>
            </w:pPr>
            <w:r w:rsidRPr="00672DBE">
              <w:rPr>
                <w:sz w:val="20"/>
                <w:szCs w:val="20"/>
              </w:rPr>
              <w:t>Yes</w:t>
            </w:r>
          </w:p>
        </w:tc>
        <w:tc>
          <w:tcPr>
            <w:tcW w:w="1422" w:type="dxa"/>
          </w:tcPr>
          <w:p w14:paraId="2F8D1F7B" w14:textId="77777777" w:rsidR="00EB2B55" w:rsidRPr="00672DBE" w:rsidRDefault="00EB2B55" w:rsidP="003414BB">
            <w:pPr>
              <w:jc w:val="center"/>
              <w:rPr>
                <w:sz w:val="20"/>
                <w:szCs w:val="20"/>
              </w:rPr>
            </w:pPr>
            <w:r w:rsidRPr="00672DBE">
              <w:rPr>
                <w:sz w:val="20"/>
                <w:szCs w:val="20"/>
              </w:rPr>
              <w:t>Yes</w:t>
            </w:r>
          </w:p>
        </w:tc>
        <w:tc>
          <w:tcPr>
            <w:tcW w:w="1559" w:type="dxa"/>
          </w:tcPr>
          <w:p w14:paraId="53FD6EAD" w14:textId="77777777" w:rsidR="00EB2B55" w:rsidRPr="00672DBE" w:rsidRDefault="00EB2B55" w:rsidP="003414BB">
            <w:pPr>
              <w:jc w:val="center"/>
              <w:rPr>
                <w:sz w:val="20"/>
                <w:szCs w:val="20"/>
              </w:rPr>
            </w:pPr>
            <w:r w:rsidRPr="00672DBE">
              <w:rPr>
                <w:sz w:val="20"/>
                <w:szCs w:val="20"/>
              </w:rPr>
              <w:t>Yes</w:t>
            </w:r>
          </w:p>
        </w:tc>
        <w:tc>
          <w:tcPr>
            <w:tcW w:w="1701" w:type="dxa"/>
          </w:tcPr>
          <w:p w14:paraId="0CFBF04F" w14:textId="77777777" w:rsidR="00504B69" w:rsidRDefault="00EB2B55" w:rsidP="003414BB">
            <w:pPr>
              <w:jc w:val="center"/>
              <w:rPr>
                <w:sz w:val="20"/>
                <w:szCs w:val="20"/>
              </w:rPr>
            </w:pPr>
            <w:r w:rsidRPr="00672DBE">
              <w:rPr>
                <w:sz w:val="20"/>
                <w:szCs w:val="20"/>
              </w:rPr>
              <w:t>Yes</w:t>
            </w:r>
          </w:p>
          <w:p w14:paraId="3C8BB724" w14:textId="1DB17416" w:rsidR="00EB2B55" w:rsidRPr="00672DBE" w:rsidRDefault="00EB2B55" w:rsidP="003414BB">
            <w:pPr>
              <w:jc w:val="center"/>
              <w:rPr>
                <w:sz w:val="20"/>
                <w:szCs w:val="20"/>
              </w:rPr>
            </w:pPr>
            <w:r w:rsidRPr="00672DBE">
              <w:rPr>
                <w:sz w:val="20"/>
                <w:szCs w:val="20"/>
              </w:rPr>
              <w:t>(</w:t>
            </w:r>
            <w:r w:rsidR="00FC3501">
              <w:rPr>
                <w:sz w:val="20"/>
                <w:szCs w:val="20"/>
              </w:rPr>
              <w:t>review</w:t>
            </w:r>
            <w:r w:rsidRPr="00672DBE">
              <w:rPr>
                <w:sz w:val="20"/>
                <w:szCs w:val="20"/>
              </w:rPr>
              <w:t>)</w:t>
            </w:r>
          </w:p>
        </w:tc>
        <w:tc>
          <w:tcPr>
            <w:tcW w:w="1843" w:type="dxa"/>
            <w:shd w:val="clear" w:color="auto" w:fill="auto"/>
          </w:tcPr>
          <w:p w14:paraId="56FDC72E" w14:textId="77777777" w:rsidR="00EB2B55" w:rsidRPr="00672DBE" w:rsidRDefault="00EB2B55" w:rsidP="003414BB">
            <w:pPr>
              <w:jc w:val="center"/>
              <w:rPr>
                <w:sz w:val="20"/>
                <w:szCs w:val="20"/>
              </w:rPr>
            </w:pPr>
            <w:r w:rsidRPr="00672DBE">
              <w:rPr>
                <w:sz w:val="20"/>
                <w:szCs w:val="20"/>
              </w:rPr>
              <w:t>Yes</w:t>
            </w:r>
          </w:p>
        </w:tc>
        <w:tc>
          <w:tcPr>
            <w:tcW w:w="1843" w:type="dxa"/>
          </w:tcPr>
          <w:p w14:paraId="60CF0727" w14:textId="77777777" w:rsidR="00EB2B55" w:rsidRPr="00672DBE" w:rsidRDefault="00EB2B55" w:rsidP="003414BB">
            <w:pPr>
              <w:jc w:val="center"/>
              <w:rPr>
                <w:sz w:val="20"/>
                <w:szCs w:val="20"/>
              </w:rPr>
            </w:pPr>
            <w:r w:rsidRPr="00672DBE">
              <w:rPr>
                <w:sz w:val="20"/>
                <w:szCs w:val="20"/>
              </w:rPr>
              <w:t>Yes</w:t>
            </w:r>
          </w:p>
        </w:tc>
        <w:tc>
          <w:tcPr>
            <w:tcW w:w="1560" w:type="dxa"/>
          </w:tcPr>
          <w:p w14:paraId="01523C09" w14:textId="77777777" w:rsidR="00EB2B55" w:rsidRPr="00672DBE" w:rsidRDefault="00EB2B55" w:rsidP="003414BB">
            <w:pPr>
              <w:jc w:val="center"/>
              <w:rPr>
                <w:sz w:val="20"/>
                <w:szCs w:val="20"/>
              </w:rPr>
            </w:pPr>
            <w:r w:rsidRPr="00672DBE">
              <w:rPr>
                <w:sz w:val="20"/>
                <w:szCs w:val="20"/>
              </w:rPr>
              <w:t>Yes</w:t>
            </w:r>
          </w:p>
        </w:tc>
        <w:tc>
          <w:tcPr>
            <w:tcW w:w="1417" w:type="dxa"/>
          </w:tcPr>
          <w:p w14:paraId="4AD5E914" w14:textId="77777777" w:rsidR="00EB2B55" w:rsidRPr="00672DBE" w:rsidRDefault="00EB2B55" w:rsidP="003414BB">
            <w:pPr>
              <w:jc w:val="center"/>
              <w:rPr>
                <w:sz w:val="20"/>
                <w:szCs w:val="20"/>
              </w:rPr>
            </w:pPr>
            <w:r w:rsidRPr="00672DBE">
              <w:rPr>
                <w:sz w:val="20"/>
                <w:szCs w:val="20"/>
              </w:rPr>
              <w:t>Yes</w:t>
            </w:r>
          </w:p>
        </w:tc>
        <w:tc>
          <w:tcPr>
            <w:tcW w:w="1218" w:type="dxa"/>
          </w:tcPr>
          <w:p w14:paraId="0B5B8CDF" w14:textId="77777777" w:rsidR="00EB2B55" w:rsidRPr="00672DBE" w:rsidRDefault="00EB2B55" w:rsidP="003414BB">
            <w:pPr>
              <w:jc w:val="center"/>
              <w:rPr>
                <w:sz w:val="20"/>
                <w:szCs w:val="20"/>
              </w:rPr>
            </w:pPr>
            <w:r w:rsidRPr="00672DBE">
              <w:rPr>
                <w:sz w:val="20"/>
                <w:szCs w:val="20"/>
              </w:rPr>
              <w:t>8/8</w:t>
            </w:r>
          </w:p>
        </w:tc>
      </w:tr>
      <w:tr w:rsidR="00AD5473" w:rsidRPr="00672DBE" w14:paraId="346E7629" w14:textId="77777777" w:rsidTr="00AD5473">
        <w:tc>
          <w:tcPr>
            <w:tcW w:w="1387" w:type="dxa"/>
          </w:tcPr>
          <w:p w14:paraId="47D0C7BF" w14:textId="77777777" w:rsidR="00EB2B55" w:rsidRPr="00672DBE" w:rsidRDefault="00EB2B55" w:rsidP="003414BB">
            <w:pPr>
              <w:rPr>
                <w:sz w:val="20"/>
                <w:szCs w:val="20"/>
              </w:rPr>
            </w:pPr>
            <w:r w:rsidRPr="00672DBE">
              <w:rPr>
                <w:sz w:val="20"/>
                <w:szCs w:val="20"/>
              </w:rPr>
              <w:t>Guerrero et al. 2014</w:t>
            </w:r>
          </w:p>
        </w:tc>
        <w:tc>
          <w:tcPr>
            <w:tcW w:w="1297" w:type="dxa"/>
          </w:tcPr>
          <w:p w14:paraId="2F8BCB58" w14:textId="77777777" w:rsidR="00EB2B55" w:rsidRPr="00672DBE" w:rsidRDefault="00EB2B55" w:rsidP="003414BB">
            <w:pPr>
              <w:jc w:val="center"/>
              <w:rPr>
                <w:sz w:val="20"/>
                <w:szCs w:val="20"/>
              </w:rPr>
            </w:pPr>
            <w:r w:rsidRPr="00672DBE">
              <w:rPr>
                <w:sz w:val="20"/>
                <w:szCs w:val="20"/>
              </w:rPr>
              <w:t xml:space="preserve">Yes </w:t>
            </w:r>
          </w:p>
        </w:tc>
        <w:tc>
          <w:tcPr>
            <w:tcW w:w="1422" w:type="dxa"/>
          </w:tcPr>
          <w:p w14:paraId="2104CA75" w14:textId="77777777" w:rsidR="00EB2B55" w:rsidRPr="00672DBE" w:rsidRDefault="00EB2B55" w:rsidP="003414BB">
            <w:pPr>
              <w:jc w:val="center"/>
              <w:rPr>
                <w:sz w:val="20"/>
                <w:szCs w:val="20"/>
              </w:rPr>
            </w:pPr>
            <w:r w:rsidRPr="00672DBE">
              <w:rPr>
                <w:sz w:val="20"/>
                <w:szCs w:val="20"/>
              </w:rPr>
              <w:t>Yes</w:t>
            </w:r>
          </w:p>
        </w:tc>
        <w:tc>
          <w:tcPr>
            <w:tcW w:w="1559" w:type="dxa"/>
          </w:tcPr>
          <w:p w14:paraId="4FD7BC06" w14:textId="77777777" w:rsidR="00EB2B55" w:rsidRPr="00672DBE" w:rsidRDefault="00EB2B55" w:rsidP="003414BB">
            <w:pPr>
              <w:jc w:val="center"/>
              <w:rPr>
                <w:sz w:val="20"/>
                <w:szCs w:val="20"/>
              </w:rPr>
            </w:pPr>
            <w:r w:rsidRPr="00672DBE">
              <w:rPr>
                <w:sz w:val="20"/>
                <w:szCs w:val="20"/>
              </w:rPr>
              <w:t>Yes</w:t>
            </w:r>
          </w:p>
        </w:tc>
        <w:tc>
          <w:tcPr>
            <w:tcW w:w="1701" w:type="dxa"/>
          </w:tcPr>
          <w:p w14:paraId="225523FF" w14:textId="77777777" w:rsidR="00EB2B55" w:rsidRPr="00672DBE" w:rsidRDefault="00EB2B55" w:rsidP="003414BB">
            <w:pPr>
              <w:jc w:val="center"/>
              <w:rPr>
                <w:sz w:val="20"/>
                <w:szCs w:val="20"/>
              </w:rPr>
            </w:pPr>
            <w:r w:rsidRPr="00672DBE">
              <w:rPr>
                <w:sz w:val="20"/>
                <w:szCs w:val="20"/>
              </w:rPr>
              <w:t>No</w:t>
            </w:r>
          </w:p>
        </w:tc>
        <w:tc>
          <w:tcPr>
            <w:tcW w:w="1843" w:type="dxa"/>
            <w:shd w:val="clear" w:color="auto" w:fill="auto"/>
          </w:tcPr>
          <w:p w14:paraId="3752C41B" w14:textId="77777777" w:rsidR="00EB2B55" w:rsidRPr="00672DBE" w:rsidRDefault="00EB2B55" w:rsidP="003414BB">
            <w:pPr>
              <w:jc w:val="center"/>
              <w:rPr>
                <w:sz w:val="20"/>
                <w:szCs w:val="20"/>
              </w:rPr>
            </w:pPr>
            <w:r w:rsidRPr="00672DBE">
              <w:rPr>
                <w:sz w:val="20"/>
                <w:szCs w:val="20"/>
              </w:rPr>
              <w:t>Yes</w:t>
            </w:r>
          </w:p>
        </w:tc>
        <w:tc>
          <w:tcPr>
            <w:tcW w:w="1843" w:type="dxa"/>
          </w:tcPr>
          <w:p w14:paraId="7D3A0ACF" w14:textId="77777777" w:rsidR="00EB2B55" w:rsidRPr="00672DBE" w:rsidRDefault="00EB2B55" w:rsidP="003414BB">
            <w:pPr>
              <w:jc w:val="center"/>
              <w:rPr>
                <w:sz w:val="20"/>
                <w:szCs w:val="20"/>
              </w:rPr>
            </w:pPr>
            <w:r w:rsidRPr="00672DBE">
              <w:rPr>
                <w:sz w:val="20"/>
                <w:szCs w:val="20"/>
              </w:rPr>
              <w:t>Yes</w:t>
            </w:r>
          </w:p>
        </w:tc>
        <w:tc>
          <w:tcPr>
            <w:tcW w:w="1560" w:type="dxa"/>
          </w:tcPr>
          <w:p w14:paraId="36BDA095" w14:textId="3BBF44F6" w:rsidR="00EB2B55" w:rsidRPr="00672DBE" w:rsidRDefault="00FC3501" w:rsidP="003414BB">
            <w:pPr>
              <w:jc w:val="center"/>
              <w:rPr>
                <w:sz w:val="20"/>
                <w:szCs w:val="20"/>
              </w:rPr>
            </w:pPr>
            <w:r>
              <w:rPr>
                <w:sz w:val="20"/>
                <w:szCs w:val="20"/>
              </w:rPr>
              <w:t>Yes</w:t>
            </w:r>
          </w:p>
        </w:tc>
        <w:tc>
          <w:tcPr>
            <w:tcW w:w="1417" w:type="dxa"/>
          </w:tcPr>
          <w:p w14:paraId="23C657DC" w14:textId="77777777" w:rsidR="00EB2B55" w:rsidRPr="00672DBE" w:rsidRDefault="00EB2B55" w:rsidP="003414BB">
            <w:pPr>
              <w:jc w:val="center"/>
              <w:rPr>
                <w:sz w:val="20"/>
                <w:szCs w:val="20"/>
              </w:rPr>
            </w:pPr>
            <w:r w:rsidRPr="00672DBE">
              <w:rPr>
                <w:sz w:val="20"/>
                <w:szCs w:val="20"/>
              </w:rPr>
              <w:t>No</w:t>
            </w:r>
          </w:p>
        </w:tc>
        <w:tc>
          <w:tcPr>
            <w:tcW w:w="1218" w:type="dxa"/>
          </w:tcPr>
          <w:p w14:paraId="0B2563B3" w14:textId="33C56A75" w:rsidR="00EB2B55" w:rsidRPr="00672DBE" w:rsidRDefault="00FC3501" w:rsidP="003414BB">
            <w:pPr>
              <w:jc w:val="center"/>
              <w:rPr>
                <w:sz w:val="20"/>
                <w:szCs w:val="20"/>
              </w:rPr>
            </w:pPr>
            <w:r>
              <w:rPr>
                <w:sz w:val="20"/>
                <w:szCs w:val="20"/>
              </w:rPr>
              <w:t>6</w:t>
            </w:r>
            <w:r w:rsidR="00EB2B55" w:rsidRPr="00672DBE">
              <w:rPr>
                <w:sz w:val="20"/>
                <w:szCs w:val="20"/>
              </w:rPr>
              <w:t>/8</w:t>
            </w:r>
          </w:p>
        </w:tc>
      </w:tr>
      <w:tr w:rsidR="00AD5473" w:rsidRPr="00672DBE" w14:paraId="70AAE332" w14:textId="77777777" w:rsidTr="00AD5473">
        <w:tc>
          <w:tcPr>
            <w:tcW w:w="1387" w:type="dxa"/>
          </w:tcPr>
          <w:p w14:paraId="0CB7DC36" w14:textId="77777777" w:rsidR="00EB2B55" w:rsidRPr="00672DBE" w:rsidRDefault="00EB2B55" w:rsidP="003414BB">
            <w:pPr>
              <w:rPr>
                <w:sz w:val="20"/>
                <w:szCs w:val="20"/>
              </w:rPr>
            </w:pPr>
            <w:r w:rsidRPr="00672DBE">
              <w:rPr>
                <w:sz w:val="20"/>
                <w:szCs w:val="20"/>
              </w:rPr>
              <w:t>Hailemariam et al. 2021</w:t>
            </w:r>
          </w:p>
        </w:tc>
        <w:tc>
          <w:tcPr>
            <w:tcW w:w="1297" w:type="dxa"/>
          </w:tcPr>
          <w:p w14:paraId="0487CAE1" w14:textId="77777777" w:rsidR="00EB2B55" w:rsidRPr="00672DBE" w:rsidRDefault="00EB2B55" w:rsidP="003414BB">
            <w:pPr>
              <w:jc w:val="center"/>
              <w:rPr>
                <w:sz w:val="20"/>
                <w:szCs w:val="20"/>
              </w:rPr>
            </w:pPr>
            <w:r w:rsidRPr="00672DBE">
              <w:rPr>
                <w:sz w:val="20"/>
                <w:szCs w:val="20"/>
              </w:rPr>
              <w:t xml:space="preserve">Yes </w:t>
            </w:r>
          </w:p>
        </w:tc>
        <w:tc>
          <w:tcPr>
            <w:tcW w:w="1422" w:type="dxa"/>
          </w:tcPr>
          <w:p w14:paraId="687EC33F" w14:textId="77777777" w:rsidR="00EB2B55" w:rsidRPr="00672DBE" w:rsidRDefault="00EB2B55" w:rsidP="003414BB">
            <w:pPr>
              <w:jc w:val="center"/>
              <w:rPr>
                <w:sz w:val="20"/>
                <w:szCs w:val="20"/>
              </w:rPr>
            </w:pPr>
            <w:r w:rsidRPr="00672DBE">
              <w:rPr>
                <w:sz w:val="20"/>
                <w:szCs w:val="20"/>
              </w:rPr>
              <w:t>Yes</w:t>
            </w:r>
          </w:p>
        </w:tc>
        <w:tc>
          <w:tcPr>
            <w:tcW w:w="1559" w:type="dxa"/>
          </w:tcPr>
          <w:p w14:paraId="621539DA" w14:textId="77777777" w:rsidR="00EB2B55" w:rsidRPr="00672DBE" w:rsidRDefault="00EB2B55" w:rsidP="003414BB">
            <w:pPr>
              <w:jc w:val="center"/>
              <w:rPr>
                <w:sz w:val="20"/>
                <w:szCs w:val="20"/>
              </w:rPr>
            </w:pPr>
            <w:r w:rsidRPr="00672DBE">
              <w:rPr>
                <w:sz w:val="20"/>
                <w:szCs w:val="20"/>
              </w:rPr>
              <w:t>Yes</w:t>
            </w:r>
          </w:p>
        </w:tc>
        <w:tc>
          <w:tcPr>
            <w:tcW w:w="1701" w:type="dxa"/>
          </w:tcPr>
          <w:p w14:paraId="388A13C6" w14:textId="77777777" w:rsidR="00504B69" w:rsidRDefault="00EB2B55" w:rsidP="003414BB">
            <w:pPr>
              <w:jc w:val="center"/>
              <w:rPr>
                <w:sz w:val="20"/>
                <w:szCs w:val="20"/>
              </w:rPr>
            </w:pPr>
            <w:r w:rsidRPr="00672DBE">
              <w:rPr>
                <w:sz w:val="20"/>
                <w:szCs w:val="20"/>
              </w:rPr>
              <w:t>Yes</w:t>
            </w:r>
          </w:p>
          <w:p w14:paraId="63594499" w14:textId="3791E338" w:rsidR="00EB2B55" w:rsidRPr="00672DBE" w:rsidRDefault="00EB2B55" w:rsidP="003414BB">
            <w:pPr>
              <w:jc w:val="center"/>
              <w:rPr>
                <w:sz w:val="20"/>
                <w:szCs w:val="20"/>
              </w:rPr>
            </w:pPr>
            <w:r w:rsidRPr="00672DBE">
              <w:rPr>
                <w:sz w:val="20"/>
                <w:szCs w:val="20"/>
              </w:rPr>
              <w:t>(</w:t>
            </w:r>
            <w:r w:rsidR="00262A35" w:rsidRPr="00672DBE">
              <w:rPr>
                <w:sz w:val="20"/>
                <w:szCs w:val="20"/>
              </w:rPr>
              <w:t>HILDA</w:t>
            </w:r>
            <w:r w:rsidRPr="00672DBE">
              <w:rPr>
                <w:sz w:val="20"/>
                <w:szCs w:val="20"/>
              </w:rPr>
              <w:t xml:space="preserve"> database)</w:t>
            </w:r>
          </w:p>
        </w:tc>
        <w:tc>
          <w:tcPr>
            <w:tcW w:w="1843" w:type="dxa"/>
            <w:shd w:val="clear" w:color="auto" w:fill="auto"/>
          </w:tcPr>
          <w:p w14:paraId="72A98AB4" w14:textId="77777777" w:rsidR="00EB2B55" w:rsidRPr="00672DBE" w:rsidRDefault="00EB2B55" w:rsidP="003414BB">
            <w:pPr>
              <w:jc w:val="center"/>
              <w:rPr>
                <w:sz w:val="20"/>
                <w:szCs w:val="20"/>
              </w:rPr>
            </w:pPr>
            <w:r w:rsidRPr="00672DBE">
              <w:rPr>
                <w:sz w:val="20"/>
                <w:szCs w:val="20"/>
              </w:rPr>
              <w:t>Yes</w:t>
            </w:r>
          </w:p>
        </w:tc>
        <w:tc>
          <w:tcPr>
            <w:tcW w:w="1843" w:type="dxa"/>
          </w:tcPr>
          <w:p w14:paraId="6D3B1585" w14:textId="77777777" w:rsidR="00EB2B55" w:rsidRPr="00672DBE" w:rsidRDefault="00EB2B55" w:rsidP="003414BB">
            <w:pPr>
              <w:jc w:val="center"/>
              <w:rPr>
                <w:sz w:val="20"/>
                <w:szCs w:val="20"/>
              </w:rPr>
            </w:pPr>
            <w:r w:rsidRPr="00672DBE">
              <w:rPr>
                <w:sz w:val="20"/>
                <w:szCs w:val="20"/>
              </w:rPr>
              <w:t>Yes</w:t>
            </w:r>
          </w:p>
        </w:tc>
        <w:tc>
          <w:tcPr>
            <w:tcW w:w="1560" w:type="dxa"/>
          </w:tcPr>
          <w:p w14:paraId="0EB59285" w14:textId="77777777" w:rsidR="00EB2B55" w:rsidRPr="00672DBE" w:rsidRDefault="00EB2B55" w:rsidP="003414BB">
            <w:pPr>
              <w:jc w:val="center"/>
              <w:rPr>
                <w:sz w:val="20"/>
                <w:szCs w:val="20"/>
              </w:rPr>
            </w:pPr>
            <w:r w:rsidRPr="00672DBE">
              <w:rPr>
                <w:sz w:val="20"/>
                <w:szCs w:val="20"/>
              </w:rPr>
              <w:t>Yes</w:t>
            </w:r>
          </w:p>
        </w:tc>
        <w:tc>
          <w:tcPr>
            <w:tcW w:w="1417" w:type="dxa"/>
          </w:tcPr>
          <w:p w14:paraId="66C2ADE3" w14:textId="77777777" w:rsidR="00EB2B55" w:rsidRPr="00672DBE" w:rsidRDefault="00EB2B55" w:rsidP="003414BB">
            <w:pPr>
              <w:jc w:val="center"/>
              <w:rPr>
                <w:sz w:val="20"/>
                <w:szCs w:val="20"/>
              </w:rPr>
            </w:pPr>
            <w:r w:rsidRPr="00672DBE">
              <w:rPr>
                <w:sz w:val="20"/>
                <w:szCs w:val="20"/>
              </w:rPr>
              <w:t>No</w:t>
            </w:r>
          </w:p>
        </w:tc>
        <w:tc>
          <w:tcPr>
            <w:tcW w:w="1218" w:type="dxa"/>
          </w:tcPr>
          <w:p w14:paraId="5595D8CC" w14:textId="77777777" w:rsidR="00EB2B55" w:rsidRPr="00672DBE" w:rsidRDefault="00EB2B55" w:rsidP="003414BB">
            <w:pPr>
              <w:jc w:val="center"/>
              <w:rPr>
                <w:sz w:val="20"/>
                <w:szCs w:val="20"/>
              </w:rPr>
            </w:pPr>
            <w:r w:rsidRPr="00672DBE">
              <w:rPr>
                <w:sz w:val="20"/>
                <w:szCs w:val="20"/>
              </w:rPr>
              <w:t>7/8</w:t>
            </w:r>
          </w:p>
        </w:tc>
      </w:tr>
      <w:tr w:rsidR="00AD5473" w:rsidRPr="00672DBE" w14:paraId="15E82284" w14:textId="77777777" w:rsidTr="00AD5473">
        <w:tc>
          <w:tcPr>
            <w:tcW w:w="1387" w:type="dxa"/>
          </w:tcPr>
          <w:p w14:paraId="66DAF43E" w14:textId="77777777" w:rsidR="00EB2B55" w:rsidRPr="00672DBE" w:rsidRDefault="00EB2B55" w:rsidP="003414BB">
            <w:pPr>
              <w:rPr>
                <w:sz w:val="20"/>
                <w:szCs w:val="20"/>
              </w:rPr>
            </w:pPr>
            <w:r w:rsidRPr="00672DBE">
              <w:rPr>
                <w:sz w:val="20"/>
                <w:szCs w:val="20"/>
              </w:rPr>
              <w:t>Hamilton et al. 2022</w:t>
            </w:r>
          </w:p>
        </w:tc>
        <w:tc>
          <w:tcPr>
            <w:tcW w:w="1297" w:type="dxa"/>
          </w:tcPr>
          <w:p w14:paraId="78D8CAC2" w14:textId="77777777" w:rsidR="00EB2B55" w:rsidRPr="00672DBE" w:rsidRDefault="00EB2B55" w:rsidP="003414BB">
            <w:pPr>
              <w:jc w:val="center"/>
              <w:rPr>
                <w:sz w:val="20"/>
                <w:szCs w:val="20"/>
              </w:rPr>
            </w:pPr>
            <w:r w:rsidRPr="00672DBE">
              <w:rPr>
                <w:sz w:val="20"/>
                <w:szCs w:val="20"/>
              </w:rPr>
              <w:t>Yes</w:t>
            </w:r>
          </w:p>
        </w:tc>
        <w:tc>
          <w:tcPr>
            <w:tcW w:w="1422" w:type="dxa"/>
          </w:tcPr>
          <w:p w14:paraId="2FE76552" w14:textId="77777777" w:rsidR="00EB2B55" w:rsidRPr="00672DBE" w:rsidRDefault="00EB2B55" w:rsidP="003414BB">
            <w:pPr>
              <w:jc w:val="center"/>
              <w:rPr>
                <w:sz w:val="20"/>
                <w:szCs w:val="20"/>
              </w:rPr>
            </w:pPr>
            <w:r w:rsidRPr="00672DBE">
              <w:rPr>
                <w:sz w:val="20"/>
                <w:szCs w:val="20"/>
              </w:rPr>
              <w:t>Yes</w:t>
            </w:r>
          </w:p>
        </w:tc>
        <w:tc>
          <w:tcPr>
            <w:tcW w:w="1559" w:type="dxa"/>
          </w:tcPr>
          <w:p w14:paraId="5B26C38B" w14:textId="77777777" w:rsidR="00EB2B55" w:rsidRPr="00672DBE" w:rsidRDefault="00EB2B55" w:rsidP="003414BB">
            <w:pPr>
              <w:jc w:val="center"/>
              <w:rPr>
                <w:sz w:val="20"/>
                <w:szCs w:val="20"/>
              </w:rPr>
            </w:pPr>
            <w:r w:rsidRPr="00672DBE">
              <w:rPr>
                <w:sz w:val="20"/>
                <w:szCs w:val="20"/>
              </w:rPr>
              <w:t>Yes</w:t>
            </w:r>
          </w:p>
        </w:tc>
        <w:tc>
          <w:tcPr>
            <w:tcW w:w="1701" w:type="dxa"/>
          </w:tcPr>
          <w:p w14:paraId="07DFCA91" w14:textId="77777777" w:rsidR="00504B69" w:rsidRDefault="00EB2B55" w:rsidP="003414BB">
            <w:pPr>
              <w:jc w:val="center"/>
              <w:rPr>
                <w:sz w:val="20"/>
                <w:szCs w:val="20"/>
              </w:rPr>
            </w:pPr>
            <w:r w:rsidRPr="00672DBE">
              <w:rPr>
                <w:sz w:val="20"/>
                <w:szCs w:val="20"/>
              </w:rPr>
              <w:t>Yes</w:t>
            </w:r>
          </w:p>
          <w:p w14:paraId="792893A5" w14:textId="213C7C76" w:rsidR="00EB2B55" w:rsidRPr="00672DBE" w:rsidRDefault="00EB2B55" w:rsidP="003414BB">
            <w:pPr>
              <w:jc w:val="center"/>
              <w:rPr>
                <w:sz w:val="20"/>
                <w:szCs w:val="20"/>
              </w:rPr>
            </w:pPr>
            <w:r w:rsidRPr="00672DBE">
              <w:rPr>
                <w:sz w:val="20"/>
                <w:szCs w:val="20"/>
              </w:rPr>
              <w:t>(hosp</w:t>
            </w:r>
            <w:r w:rsidR="00262A35" w:rsidRPr="00672DBE">
              <w:rPr>
                <w:sz w:val="20"/>
                <w:szCs w:val="20"/>
              </w:rPr>
              <w:t xml:space="preserve">ital </w:t>
            </w:r>
            <w:r w:rsidRPr="00672DBE">
              <w:rPr>
                <w:sz w:val="20"/>
                <w:szCs w:val="20"/>
              </w:rPr>
              <w:t>records)</w:t>
            </w:r>
          </w:p>
        </w:tc>
        <w:tc>
          <w:tcPr>
            <w:tcW w:w="1843" w:type="dxa"/>
            <w:shd w:val="clear" w:color="auto" w:fill="auto"/>
          </w:tcPr>
          <w:p w14:paraId="24B50D37" w14:textId="77777777" w:rsidR="00EB2B55" w:rsidRPr="00672DBE" w:rsidRDefault="00EB2B55" w:rsidP="003414BB">
            <w:pPr>
              <w:jc w:val="center"/>
              <w:rPr>
                <w:sz w:val="20"/>
                <w:szCs w:val="20"/>
              </w:rPr>
            </w:pPr>
            <w:r w:rsidRPr="00672DBE">
              <w:rPr>
                <w:sz w:val="20"/>
                <w:szCs w:val="20"/>
              </w:rPr>
              <w:t>Yes</w:t>
            </w:r>
          </w:p>
        </w:tc>
        <w:tc>
          <w:tcPr>
            <w:tcW w:w="1843" w:type="dxa"/>
          </w:tcPr>
          <w:p w14:paraId="50C8BC97" w14:textId="77777777" w:rsidR="00EB2B55" w:rsidRPr="00672DBE" w:rsidRDefault="00EB2B55" w:rsidP="003414BB">
            <w:pPr>
              <w:jc w:val="center"/>
              <w:rPr>
                <w:sz w:val="20"/>
                <w:szCs w:val="20"/>
              </w:rPr>
            </w:pPr>
            <w:r w:rsidRPr="00672DBE">
              <w:rPr>
                <w:sz w:val="20"/>
                <w:szCs w:val="20"/>
              </w:rPr>
              <w:t>Yes</w:t>
            </w:r>
          </w:p>
        </w:tc>
        <w:tc>
          <w:tcPr>
            <w:tcW w:w="1560" w:type="dxa"/>
          </w:tcPr>
          <w:p w14:paraId="3FF7BCE1" w14:textId="77777777" w:rsidR="00EB2B55" w:rsidRPr="00672DBE" w:rsidRDefault="00EB2B55" w:rsidP="003414BB">
            <w:pPr>
              <w:jc w:val="center"/>
              <w:rPr>
                <w:sz w:val="20"/>
                <w:szCs w:val="20"/>
              </w:rPr>
            </w:pPr>
            <w:r w:rsidRPr="00672DBE">
              <w:rPr>
                <w:sz w:val="20"/>
                <w:szCs w:val="20"/>
              </w:rPr>
              <w:t>Yes</w:t>
            </w:r>
          </w:p>
        </w:tc>
        <w:tc>
          <w:tcPr>
            <w:tcW w:w="1417" w:type="dxa"/>
          </w:tcPr>
          <w:p w14:paraId="1E15DD48" w14:textId="77777777" w:rsidR="00EB2B55" w:rsidRPr="00672DBE" w:rsidRDefault="00EB2B55" w:rsidP="003414BB">
            <w:pPr>
              <w:jc w:val="center"/>
              <w:rPr>
                <w:sz w:val="20"/>
                <w:szCs w:val="20"/>
              </w:rPr>
            </w:pPr>
            <w:r w:rsidRPr="00672DBE">
              <w:rPr>
                <w:sz w:val="20"/>
                <w:szCs w:val="20"/>
              </w:rPr>
              <w:t>No</w:t>
            </w:r>
          </w:p>
        </w:tc>
        <w:tc>
          <w:tcPr>
            <w:tcW w:w="1218" w:type="dxa"/>
          </w:tcPr>
          <w:p w14:paraId="47D6C8F4" w14:textId="77777777" w:rsidR="00EB2B55" w:rsidRPr="00672DBE" w:rsidRDefault="00EB2B55" w:rsidP="003414BB">
            <w:pPr>
              <w:jc w:val="center"/>
              <w:rPr>
                <w:sz w:val="20"/>
                <w:szCs w:val="20"/>
              </w:rPr>
            </w:pPr>
            <w:r w:rsidRPr="00672DBE">
              <w:rPr>
                <w:sz w:val="20"/>
                <w:szCs w:val="20"/>
              </w:rPr>
              <w:t>7/8</w:t>
            </w:r>
          </w:p>
        </w:tc>
      </w:tr>
      <w:tr w:rsidR="00AD5473" w:rsidRPr="00672DBE" w14:paraId="0BE2294D" w14:textId="77777777" w:rsidTr="00AD5473">
        <w:tc>
          <w:tcPr>
            <w:tcW w:w="1387" w:type="dxa"/>
          </w:tcPr>
          <w:p w14:paraId="5845BC34" w14:textId="529E9A2B" w:rsidR="00B03A71" w:rsidRPr="00672DBE" w:rsidRDefault="00B03A71" w:rsidP="00B03A71">
            <w:pPr>
              <w:rPr>
                <w:sz w:val="20"/>
                <w:szCs w:val="20"/>
              </w:rPr>
            </w:pPr>
            <w:r w:rsidRPr="00BB1688">
              <w:rPr>
                <w:sz w:val="20"/>
                <w:szCs w:val="20"/>
              </w:rPr>
              <w:t>Hammarberg et al. 2020</w:t>
            </w:r>
          </w:p>
        </w:tc>
        <w:tc>
          <w:tcPr>
            <w:tcW w:w="1297" w:type="dxa"/>
          </w:tcPr>
          <w:p w14:paraId="0652051D" w14:textId="298D4CBF" w:rsidR="00B03A71" w:rsidRPr="00672DBE" w:rsidRDefault="00B03A71" w:rsidP="00B03A71">
            <w:pPr>
              <w:jc w:val="center"/>
              <w:rPr>
                <w:sz w:val="20"/>
                <w:szCs w:val="20"/>
              </w:rPr>
            </w:pPr>
            <w:r>
              <w:rPr>
                <w:sz w:val="20"/>
                <w:szCs w:val="20"/>
              </w:rPr>
              <w:t>Yes</w:t>
            </w:r>
          </w:p>
        </w:tc>
        <w:tc>
          <w:tcPr>
            <w:tcW w:w="1422" w:type="dxa"/>
          </w:tcPr>
          <w:p w14:paraId="2CC60F28" w14:textId="77777777" w:rsidR="00B03A71" w:rsidRDefault="00B03A71" w:rsidP="00B03A71">
            <w:pPr>
              <w:jc w:val="center"/>
              <w:rPr>
                <w:sz w:val="20"/>
                <w:szCs w:val="20"/>
              </w:rPr>
            </w:pPr>
            <w:r>
              <w:rPr>
                <w:sz w:val="20"/>
                <w:szCs w:val="20"/>
              </w:rPr>
              <w:t>No</w:t>
            </w:r>
          </w:p>
          <w:p w14:paraId="139AE46F" w14:textId="097ABE48" w:rsidR="00B03A71" w:rsidRPr="00672DBE" w:rsidRDefault="00B03A71" w:rsidP="00B03A71">
            <w:pPr>
              <w:jc w:val="center"/>
              <w:rPr>
                <w:sz w:val="20"/>
                <w:szCs w:val="20"/>
              </w:rPr>
            </w:pPr>
            <w:r>
              <w:rPr>
                <w:sz w:val="20"/>
                <w:szCs w:val="20"/>
              </w:rPr>
              <w:t>(</w:t>
            </w:r>
            <w:r w:rsidR="00504B69">
              <w:rPr>
                <w:sz w:val="20"/>
                <w:szCs w:val="20"/>
              </w:rPr>
              <w:t>survey</w:t>
            </w:r>
            <w:r>
              <w:rPr>
                <w:sz w:val="20"/>
                <w:szCs w:val="20"/>
              </w:rPr>
              <w:t>)</w:t>
            </w:r>
          </w:p>
        </w:tc>
        <w:tc>
          <w:tcPr>
            <w:tcW w:w="1559" w:type="dxa"/>
          </w:tcPr>
          <w:p w14:paraId="383A20F6" w14:textId="7E4F3AA6" w:rsidR="00B03A71" w:rsidRPr="00672DBE" w:rsidRDefault="00B03A71" w:rsidP="00B03A71">
            <w:pPr>
              <w:jc w:val="center"/>
              <w:rPr>
                <w:sz w:val="20"/>
                <w:szCs w:val="20"/>
              </w:rPr>
            </w:pPr>
            <w:r>
              <w:rPr>
                <w:sz w:val="20"/>
                <w:szCs w:val="20"/>
              </w:rPr>
              <w:t>Yes (self-report)</w:t>
            </w:r>
          </w:p>
        </w:tc>
        <w:tc>
          <w:tcPr>
            <w:tcW w:w="1701" w:type="dxa"/>
          </w:tcPr>
          <w:p w14:paraId="290F3E68" w14:textId="22499550" w:rsidR="00B03A71" w:rsidRPr="00672DBE" w:rsidRDefault="00B03A71" w:rsidP="00B03A71">
            <w:pPr>
              <w:jc w:val="center"/>
              <w:rPr>
                <w:sz w:val="20"/>
                <w:szCs w:val="20"/>
              </w:rPr>
            </w:pPr>
            <w:r>
              <w:rPr>
                <w:sz w:val="20"/>
                <w:szCs w:val="20"/>
              </w:rPr>
              <w:t>Yes</w:t>
            </w:r>
          </w:p>
        </w:tc>
        <w:tc>
          <w:tcPr>
            <w:tcW w:w="1843" w:type="dxa"/>
            <w:shd w:val="clear" w:color="auto" w:fill="auto"/>
          </w:tcPr>
          <w:p w14:paraId="48D9E8BB" w14:textId="7BF1D428" w:rsidR="00B03A71" w:rsidRPr="00672DBE" w:rsidRDefault="00B03A71" w:rsidP="00B03A71">
            <w:pPr>
              <w:jc w:val="center"/>
              <w:rPr>
                <w:sz w:val="20"/>
                <w:szCs w:val="20"/>
              </w:rPr>
            </w:pPr>
            <w:r>
              <w:rPr>
                <w:sz w:val="20"/>
                <w:szCs w:val="20"/>
              </w:rPr>
              <w:t>Yes</w:t>
            </w:r>
          </w:p>
        </w:tc>
        <w:tc>
          <w:tcPr>
            <w:tcW w:w="1843" w:type="dxa"/>
          </w:tcPr>
          <w:p w14:paraId="6AC23CAD" w14:textId="07650848" w:rsidR="00B03A71" w:rsidRPr="00672DBE" w:rsidRDefault="00B03A71" w:rsidP="00B03A71">
            <w:pPr>
              <w:jc w:val="center"/>
              <w:rPr>
                <w:sz w:val="20"/>
                <w:szCs w:val="20"/>
              </w:rPr>
            </w:pPr>
            <w:r>
              <w:rPr>
                <w:sz w:val="20"/>
                <w:szCs w:val="20"/>
              </w:rPr>
              <w:t>Yes</w:t>
            </w:r>
          </w:p>
        </w:tc>
        <w:tc>
          <w:tcPr>
            <w:tcW w:w="1560" w:type="dxa"/>
          </w:tcPr>
          <w:p w14:paraId="389EA485" w14:textId="49FB6E79" w:rsidR="00B03A71" w:rsidRPr="00672DBE" w:rsidRDefault="00B03A71" w:rsidP="00B03A71">
            <w:pPr>
              <w:jc w:val="center"/>
              <w:rPr>
                <w:sz w:val="20"/>
                <w:szCs w:val="20"/>
              </w:rPr>
            </w:pPr>
            <w:r>
              <w:rPr>
                <w:sz w:val="20"/>
                <w:szCs w:val="20"/>
              </w:rPr>
              <w:t>Yes</w:t>
            </w:r>
          </w:p>
        </w:tc>
        <w:tc>
          <w:tcPr>
            <w:tcW w:w="1417" w:type="dxa"/>
          </w:tcPr>
          <w:p w14:paraId="391A5CD5" w14:textId="4DC9FA43" w:rsidR="00B03A71" w:rsidRPr="00672DBE" w:rsidRDefault="00B03A71" w:rsidP="00B03A71">
            <w:pPr>
              <w:jc w:val="center"/>
              <w:rPr>
                <w:sz w:val="20"/>
                <w:szCs w:val="20"/>
              </w:rPr>
            </w:pPr>
            <w:r>
              <w:rPr>
                <w:sz w:val="20"/>
                <w:szCs w:val="20"/>
              </w:rPr>
              <w:t>Yes</w:t>
            </w:r>
          </w:p>
        </w:tc>
        <w:tc>
          <w:tcPr>
            <w:tcW w:w="1218" w:type="dxa"/>
          </w:tcPr>
          <w:p w14:paraId="43681B0A" w14:textId="5892C22B" w:rsidR="00B03A71" w:rsidRPr="00672DBE" w:rsidRDefault="00B03A71" w:rsidP="00B03A71">
            <w:pPr>
              <w:jc w:val="center"/>
              <w:rPr>
                <w:sz w:val="20"/>
                <w:szCs w:val="20"/>
              </w:rPr>
            </w:pPr>
            <w:r>
              <w:rPr>
                <w:sz w:val="20"/>
                <w:szCs w:val="20"/>
              </w:rPr>
              <w:t>7/8</w:t>
            </w:r>
          </w:p>
        </w:tc>
      </w:tr>
      <w:tr w:rsidR="00AD5473" w:rsidRPr="00672DBE" w14:paraId="31A7F543" w14:textId="77777777" w:rsidTr="00AD5473">
        <w:tc>
          <w:tcPr>
            <w:tcW w:w="1387" w:type="dxa"/>
          </w:tcPr>
          <w:p w14:paraId="0580EEAF" w14:textId="04C765E4" w:rsidR="00EB2B55" w:rsidRPr="007225DB" w:rsidRDefault="00EB2B55" w:rsidP="003414BB">
            <w:pPr>
              <w:rPr>
                <w:sz w:val="20"/>
                <w:szCs w:val="20"/>
              </w:rPr>
            </w:pPr>
            <w:proofErr w:type="spellStart"/>
            <w:r w:rsidRPr="007225DB">
              <w:rPr>
                <w:sz w:val="20"/>
                <w:szCs w:val="20"/>
              </w:rPr>
              <w:t>Harreiter</w:t>
            </w:r>
            <w:proofErr w:type="spellEnd"/>
            <w:r w:rsidRPr="007225DB">
              <w:rPr>
                <w:sz w:val="20"/>
                <w:szCs w:val="20"/>
              </w:rPr>
              <w:t xml:space="preserve"> </w:t>
            </w:r>
            <w:r w:rsidR="007225DB" w:rsidRPr="007225DB">
              <w:rPr>
                <w:sz w:val="20"/>
                <w:szCs w:val="20"/>
              </w:rPr>
              <w:t xml:space="preserve">&amp; </w:t>
            </w:r>
            <w:r w:rsidR="007225DB" w:rsidRPr="00FB66CC">
              <w:rPr>
                <w:sz w:val="20"/>
                <w:szCs w:val="20"/>
              </w:rPr>
              <w:t>Kautzky-Willer</w:t>
            </w:r>
            <w:r w:rsidRPr="007225DB">
              <w:rPr>
                <w:sz w:val="20"/>
                <w:szCs w:val="20"/>
              </w:rPr>
              <w:t xml:space="preserve"> 2018</w:t>
            </w:r>
          </w:p>
        </w:tc>
        <w:tc>
          <w:tcPr>
            <w:tcW w:w="1297" w:type="dxa"/>
          </w:tcPr>
          <w:p w14:paraId="3E51630D" w14:textId="77777777" w:rsidR="00EB2B55" w:rsidRPr="007225DB" w:rsidRDefault="00EB2B55" w:rsidP="003414BB">
            <w:pPr>
              <w:jc w:val="center"/>
              <w:rPr>
                <w:sz w:val="20"/>
                <w:szCs w:val="20"/>
              </w:rPr>
            </w:pPr>
            <w:r w:rsidRPr="007225DB">
              <w:rPr>
                <w:sz w:val="20"/>
                <w:szCs w:val="20"/>
              </w:rPr>
              <w:t>Yes</w:t>
            </w:r>
          </w:p>
        </w:tc>
        <w:tc>
          <w:tcPr>
            <w:tcW w:w="1422" w:type="dxa"/>
          </w:tcPr>
          <w:p w14:paraId="5351BB65" w14:textId="77777777" w:rsidR="00EB2B55" w:rsidRPr="00672DBE" w:rsidRDefault="00EB2B55" w:rsidP="003414BB">
            <w:pPr>
              <w:jc w:val="center"/>
              <w:rPr>
                <w:sz w:val="20"/>
                <w:szCs w:val="20"/>
              </w:rPr>
            </w:pPr>
            <w:r w:rsidRPr="00672DBE">
              <w:rPr>
                <w:sz w:val="20"/>
                <w:szCs w:val="20"/>
              </w:rPr>
              <w:t>Yes</w:t>
            </w:r>
          </w:p>
        </w:tc>
        <w:tc>
          <w:tcPr>
            <w:tcW w:w="1559" w:type="dxa"/>
          </w:tcPr>
          <w:p w14:paraId="018EEB16" w14:textId="77777777" w:rsidR="00EB2B55" w:rsidRPr="00672DBE" w:rsidRDefault="00EB2B55" w:rsidP="003414BB">
            <w:pPr>
              <w:jc w:val="center"/>
              <w:rPr>
                <w:sz w:val="20"/>
                <w:szCs w:val="20"/>
              </w:rPr>
            </w:pPr>
            <w:r w:rsidRPr="00672DBE">
              <w:rPr>
                <w:sz w:val="20"/>
                <w:szCs w:val="20"/>
              </w:rPr>
              <w:t>Yes</w:t>
            </w:r>
          </w:p>
        </w:tc>
        <w:tc>
          <w:tcPr>
            <w:tcW w:w="1701" w:type="dxa"/>
          </w:tcPr>
          <w:p w14:paraId="3957EE21" w14:textId="77777777" w:rsidR="00504B69" w:rsidRDefault="00EB2B55" w:rsidP="003414BB">
            <w:pPr>
              <w:jc w:val="center"/>
              <w:rPr>
                <w:sz w:val="20"/>
                <w:szCs w:val="20"/>
              </w:rPr>
            </w:pPr>
            <w:r w:rsidRPr="00672DBE">
              <w:rPr>
                <w:sz w:val="20"/>
                <w:szCs w:val="20"/>
              </w:rPr>
              <w:t>Yes</w:t>
            </w:r>
          </w:p>
          <w:p w14:paraId="62DD52DA" w14:textId="40EF0EE1" w:rsidR="00EB2B55" w:rsidRPr="00672DBE" w:rsidRDefault="00EB2B55" w:rsidP="003414BB">
            <w:pPr>
              <w:jc w:val="center"/>
              <w:rPr>
                <w:sz w:val="20"/>
                <w:szCs w:val="20"/>
              </w:rPr>
            </w:pPr>
            <w:r w:rsidRPr="00672DBE">
              <w:rPr>
                <w:sz w:val="20"/>
                <w:szCs w:val="20"/>
              </w:rPr>
              <w:t>(</w:t>
            </w:r>
            <w:r w:rsidR="00504B69">
              <w:rPr>
                <w:sz w:val="20"/>
                <w:szCs w:val="20"/>
              </w:rPr>
              <w:t>review</w:t>
            </w:r>
            <w:r w:rsidRPr="00672DBE">
              <w:rPr>
                <w:sz w:val="20"/>
                <w:szCs w:val="20"/>
              </w:rPr>
              <w:t>)</w:t>
            </w:r>
          </w:p>
        </w:tc>
        <w:tc>
          <w:tcPr>
            <w:tcW w:w="1843" w:type="dxa"/>
            <w:shd w:val="clear" w:color="auto" w:fill="auto"/>
          </w:tcPr>
          <w:p w14:paraId="5FC06750" w14:textId="77777777" w:rsidR="00EB2B55" w:rsidRPr="00672DBE" w:rsidRDefault="00EB2B55" w:rsidP="003414BB">
            <w:pPr>
              <w:jc w:val="center"/>
              <w:rPr>
                <w:sz w:val="20"/>
                <w:szCs w:val="20"/>
              </w:rPr>
            </w:pPr>
            <w:r w:rsidRPr="00672DBE">
              <w:rPr>
                <w:sz w:val="20"/>
                <w:szCs w:val="20"/>
              </w:rPr>
              <w:t>Yes</w:t>
            </w:r>
          </w:p>
        </w:tc>
        <w:tc>
          <w:tcPr>
            <w:tcW w:w="1843" w:type="dxa"/>
          </w:tcPr>
          <w:p w14:paraId="73483F80" w14:textId="77777777" w:rsidR="00EB2B55" w:rsidRPr="00672DBE" w:rsidRDefault="00EB2B55" w:rsidP="003414BB">
            <w:pPr>
              <w:jc w:val="center"/>
              <w:rPr>
                <w:sz w:val="20"/>
                <w:szCs w:val="20"/>
              </w:rPr>
            </w:pPr>
            <w:r w:rsidRPr="00672DBE">
              <w:rPr>
                <w:sz w:val="20"/>
                <w:szCs w:val="20"/>
              </w:rPr>
              <w:t>Yes</w:t>
            </w:r>
          </w:p>
        </w:tc>
        <w:tc>
          <w:tcPr>
            <w:tcW w:w="1560" w:type="dxa"/>
          </w:tcPr>
          <w:p w14:paraId="35B910BB" w14:textId="77777777" w:rsidR="00EB2B55" w:rsidRPr="00672DBE" w:rsidRDefault="00EB2B55" w:rsidP="003414BB">
            <w:pPr>
              <w:jc w:val="center"/>
              <w:rPr>
                <w:sz w:val="20"/>
                <w:szCs w:val="20"/>
              </w:rPr>
            </w:pPr>
            <w:r w:rsidRPr="00672DBE">
              <w:rPr>
                <w:sz w:val="20"/>
                <w:szCs w:val="20"/>
              </w:rPr>
              <w:t>Yes</w:t>
            </w:r>
          </w:p>
        </w:tc>
        <w:tc>
          <w:tcPr>
            <w:tcW w:w="1417" w:type="dxa"/>
          </w:tcPr>
          <w:p w14:paraId="17C399E5" w14:textId="77777777" w:rsidR="00EB2B55" w:rsidRPr="00672DBE" w:rsidRDefault="00EB2B55" w:rsidP="003414BB">
            <w:pPr>
              <w:jc w:val="center"/>
              <w:rPr>
                <w:sz w:val="20"/>
                <w:szCs w:val="20"/>
              </w:rPr>
            </w:pPr>
            <w:r w:rsidRPr="00672DBE">
              <w:rPr>
                <w:sz w:val="20"/>
                <w:szCs w:val="20"/>
              </w:rPr>
              <w:t>Yes</w:t>
            </w:r>
          </w:p>
        </w:tc>
        <w:tc>
          <w:tcPr>
            <w:tcW w:w="1218" w:type="dxa"/>
          </w:tcPr>
          <w:p w14:paraId="45F3B65D" w14:textId="77777777" w:rsidR="00EB2B55" w:rsidRPr="00672DBE" w:rsidRDefault="00EB2B55" w:rsidP="003414BB">
            <w:pPr>
              <w:jc w:val="center"/>
              <w:rPr>
                <w:sz w:val="20"/>
                <w:szCs w:val="20"/>
              </w:rPr>
            </w:pPr>
            <w:r w:rsidRPr="00672DBE">
              <w:rPr>
                <w:sz w:val="20"/>
                <w:szCs w:val="20"/>
              </w:rPr>
              <w:t>8/8</w:t>
            </w:r>
          </w:p>
        </w:tc>
      </w:tr>
      <w:tr w:rsidR="00AD5473" w:rsidRPr="00672DBE" w14:paraId="773B7D37" w14:textId="77777777" w:rsidTr="00AD5473">
        <w:tc>
          <w:tcPr>
            <w:tcW w:w="1387" w:type="dxa"/>
          </w:tcPr>
          <w:p w14:paraId="1378DF43" w14:textId="3CB29E6F" w:rsidR="00EB2B55" w:rsidRPr="00672DBE" w:rsidRDefault="00EB2B55" w:rsidP="003414BB">
            <w:pPr>
              <w:rPr>
                <w:sz w:val="20"/>
                <w:szCs w:val="20"/>
              </w:rPr>
            </w:pPr>
            <w:r w:rsidRPr="00672DBE">
              <w:rPr>
                <w:sz w:val="20"/>
                <w:szCs w:val="20"/>
              </w:rPr>
              <w:t>Hashmi et al. 2023</w:t>
            </w:r>
          </w:p>
        </w:tc>
        <w:tc>
          <w:tcPr>
            <w:tcW w:w="1297" w:type="dxa"/>
          </w:tcPr>
          <w:p w14:paraId="1F19D19A" w14:textId="77777777" w:rsidR="00EB2B55" w:rsidRPr="00672DBE" w:rsidRDefault="00EB2B55" w:rsidP="003414BB">
            <w:pPr>
              <w:jc w:val="center"/>
              <w:rPr>
                <w:sz w:val="20"/>
                <w:szCs w:val="20"/>
              </w:rPr>
            </w:pPr>
            <w:r w:rsidRPr="00672DBE">
              <w:rPr>
                <w:sz w:val="20"/>
                <w:szCs w:val="20"/>
              </w:rPr>
              <w:t>No</w:t>
            </w:r>
          </w:p>
        </w:tc>
        <w:tc>
          <w:tcPr>
            <w:tcW w:w="1422" w:type="dxa"/>
          </w:tcPr>
          <w:p w14:paraId="3C8AC6A1" w14:textId="77777777" w:rsidR="00EB2B55" w:rsidRPr="00672DBE" w:rsidRDefault="00EB2B55" w:rsidP="003414BB">
            <w:pPr>
              <w:jc w:val="center"/>
              <w:rPr>
                <w:sz w:val="20"/>
                <w:szCs w:val="20"/>
              </w:rPr>
            </w:pPr>
            <w:r w:rsidRPr="00672DBE">
              <w:rPr>
                <w:sz w:val="20"/>
                <w:szCs w:val="20"/>
              </w:rPr>
              <w:t>Yes</w:t>
            </w:r>
          </w:p>
        </w:tc>
        <w:tc>
          <w:tcPr>
            <w:tcW w:w="1559" w:type="dxa"/>
          </w:tcPr>
          <w:p w14:paraId="32F2E57B" w14:textId="77777777" w:rsidR="00EB2B55" w:rsidRPr="00672DBE" w:rsidRDefault="00EB2B55" w:rsidP="003414BB">
            <w:pPr>
              <w:jc w:val="center"/>
              <w:rPr>
                <w:sz w:val="20"/>
                <w:szCs w:val="20"/>
              </w:rPr>
            </w:pPr>
            <w:r w:rsidRPr="00672DBE">
              <w:rPr>
                <w:sz w:val="20"/>
                <w:szCs w:val="20"/>
              </w:rPr>
              <w:t>Yes</w:t>
            </w:r>
          </w:p>
        </w:tc>
        <w:tc>
          <w:tcPr>
            <w:tcW w:w="1701" w:type="dxa"/>
          </w:tcPr>
          <w:p w14:paraId="70E8F18F" w14:textId="77777777" w:rsidR="00504B69" w:rsidRDefault="00EB2B55" w:rsidP="003414BB">
            <w:pPr>
              <w:jc w:val="center"/>
              <w:rPr>
                <w:sz w:val="20"/>
                <w:szCs w:val="20"/>
              </w:rPr>
            </w:pPr>
            <w:r w:rsidRPr="00672DBE">
              <w:rPr>
                <w:sz w:val="20"/>
                <w:szCs w:val="20"/>
              </w:rPr>
              <w:t>Yes</w:t>
            </w:r>
          </w:p>
          <w:p w14:paraId="2B5A751A" w14:textId="2E1A9286" w:rsidR="00EB2B55" w:rsidRPr="00672DBE" w:rsidRDefault="00504B69" w:rsidP="003414BB">
            <w:pPr>
              <w:jc w:val="center"/>
              <w:rPr>
                <w:sz w:val="20"/>
                <w:szCs w:val="20"/>
              </w:rPr>
            </w:pPr>
            <w:r>
              <w:rPr>
                <w:sz w:val="20"/>
                <w:szCs w:val="20"/>
              </w:rPr>
              <w:t>(HILDA database</w:t>
            </w:r>
            <w:r w:rsidR="00EB2B55" w:rsidRPr="00672DBE">
              <w:rPr>
                <w:sz w:val="20"/>
                <w:szCs w:val="20"/>
              </w:rPr>
              <w:t>)</w:t>
            </w:r>
          </w:p>
        </w:tc>
        <w:tc>
          <w:tcPr>
            <w:tcW w:w="1843" w:type="dxa"/>
            <w:shd w:val="clear" w:color="auto" w:fill="auto"/>
          </w:tcPr>
          <w:p w14:paraId="484B42FB" w14:textId="77777777" w:rsidR="00EB2B55" w:rsidRPr="00672DBE" w:rsidRDefault="00EB2B55" w:rsidP="003414BB">
            <w:pPr>
              <w:jc w:val="center"/>
              <w:rPr>
                <w:sz w:val="20"/>
                <w:szCs w:val="20"/>
              </w:rPr>
            </w:pPr>
            <w:r w:rsidRPr="00672DBE">
              <w:rPr>
                <w:sz w:val="20"/>
                <w:szCs w:val="20"/>
              </w:rPr>
              <w:t>Yes</w:t>
            </w:r>
          </w:p>
        </w:tc>
        <w:tc>
          <w:tcPr>
            <w:tcW w:w="1843" w:type="dxa"/>
          </w:tcPr>
          <w:p w14:paraId="0A557D8A" w14:textId="77777777" w:rsidR="00EB2B55" w:rsidRPr="00672DBE" w:rsidRDefault="00EB2B55" w:rsidP="003414BB">
            <w:pPr>
              <w:jc w:val="center"/>
              <w:rPr>
                <w:sz w:val="20"/>
                <w:szCs w:val="20"/>
              </w:rPr>
            </w:pPr>
            <w:r w:rsidRPr="00672DBE">
              <w:rPr>
                <w:sz w:val="20"/>
                <w:szCs w:val="20"/>
              </w:rPr>
              <w:t xml:space="preserve">Yes </w:t>
            </w:r>
          </w:p>
        </w:tc>
        <w:tc>
          <w:tcPr>
            <w:tcW w:w="1560" w:type="dxa"/>
          </w:tcPr>
          <w:p w14:paraId="0CBDCF42" w14:textId="77777777" w:rsidR="00EB2B55" w:rsidRPr="00672DBE" w:rsidRDefault="00EB2B55" w:rsidP="003414BB">
            <w:pPr>
              <w:jc w:val="center"/>
              <w:rPr>
                <w:sz w:val="20"/>
                <w:szCs w:val="20"/>
              </w:rPr>
            </w:pPr>
            <w:r w:rsidRPr="00672DBE">
              <w:rPr>
                <w:sz w:val="20"/>
                <w:szCs w:val="20"/>
              </w:rPr>
              <w:t>Yes</w:t>
            </w:r>
          </w:p>
        </w:tc>
        <w:tc>
          <w:tcPr>
            <w:tcW w:w="1417" w:type="dxa"/>
          </w:tcPr>
          <w:p w14:paraId="68C4CC53" w14:textId="77777777" w:rsidR="00EB2B55" w:rsidRPr="00672DBE" w:rsidRDefault="00EB2B55" w:rsidP="003414BB">
            <w:pPr>
              <w:jc w:val="center"/>
              <w:rPr>
                <w:sz w:val="20"/>
                <w:szCs w:val="20"/>
              </w:rPr>
            </w:pPr>
            <w:r w:rsidRPr="00672DBE">
              <w:rPr>
                <w:sz w:val="20"/>
                <w:szCs w:val="20"/>
              </w:rPr>
              <w:t>No</w:t>
            </w:r>
          </w:p>
        </w:tc>
        <w:tc>
          <w:tcPr>
            <w:tcW w:w="1218" w:type="dxa"/>
          </w:tcPr>
          <w:p w14:paraId="60DF7294" w14:textId="77777777" w:rsidR="00EB2B55" w:rsidRPr="00672DBE" w:rsidRDefault="00EB2B55" w:rsidP="003414BB">
            <w:pPr>
              <w:jc w:val="center"/>
              <w:rPr>
                <w:sz w:val="20"/>
                <w:szCs w:val="20"/>
              </w:rPr>
            </w:pPr>
            <w:r w:rsidRPr="00672DBE">
              <w:rPr>
                <w:sz w:val="20"/>
                <w:szCs w:val="20"/>
              </w:rPr>
              <w:t>7/8</w:t>
            </w:r>
          </w:p>
        </w:tc>
      </w:tr>
      <w:tr w:rsidR="00AD5473" w:rsidRPr="00672DBE" w14:paraId="5050B4F6" w14:textId="77777777" w:rsidTr="00AD5473">
        <w:tc>
          <w:tcPr>
            <w:tcW w:w="1387" w:type="dxa"/>
          </w:tcPr>
          <w:p w14:paraId="403FA4EF" w14:textId="77777777" w:rsidR="00EB2B55" w:rsidRPr="00672DBE" w:rsidRDefault="00EB2B55" w:rsidP="003414BB">
            <w:pPr>
              <w:rPr>
                <w:sz w:val="20"/>
                <w:szCs w:val="20"/>
              </w:rPr>
            </w:pPr>
            <w:proofErr w:type="spellStart"/>
            <w:r w:rsidRPr="00672DBE">
              <w:rPr>
                <w:sz w:val="20"/>
                <w:szCs w:val="20"/>
              </w:rPr>
              <w:t>Huded</w:t>
            </w:r>
            <w:proofErr w:type="spellEnd"/>
            <w:r w:rsidRPr="00672DBE">
              <w:rPr>
                <w:sz w:val="20"/>
                <w:szCs w:val="20"/>
              </w:rPr>
              <w:t xml:space="preserve"> et al. 2018</w:t>
            </w:r>
          </w:p>
        </w:tc>
        <w:tc>
          <w:tcPr>
            <w:tcW w:w="1297" w:type="dxa"/>
          </w:tcPr>
          <w:p w14:paraId="64A74BB3" w14:textId="77777777" w:rsidR="00EB2B55" w:rsidRPr="00672DBE" w:rsidRDefault="00EB2B55" w:rsidP="003414BB">
            <w:pPr>
              <w:jc w:val="center"/>
              <w:rPr>
                <w:sz w:val="20"/>
                <w:szCs w:val="20"/>
              </w:rPr>
            </w:pPr>
            <w:r w:rsidRPr="00672DBE">
              <w:rPr>
                <w:sz w:val="20"/>
                <w:szCs w:val="20"/>
              </w:rPr>
              <w:t>Yes</w:t>
            </w:r>
          </w:p>
        </w:tc>
        <w:tc>
          <w:tcPr>
            <w:tcW w:w="1422" w:type="dxa"/>
          </w:tcPr>
          <w:p w14:paraId="010FFAEE" w14:textId="77777777" w:rsidR="00EB2B55" w:rsidRPr="00672DBE" w:rsidRDefault="00EB2B55" w:rsidP="003414BB">
            <w:pPr>
              <w:jc w:val="center"/>
              <w:rPr>
                <w:sz w:val="20"/>
                <w:szCs w:val="20"/>
              </w:rPr>
            </w:pPr>
            <w:r w:rsidRPr="00672DBE">
              <w:rPr>
                <w:sz w:val="20"/>
                <w:szCs w:val="20"/>
              </w:rPr>
              <w:t>Yes</w:t>
            </w:r>
          </w:p>
        </w:tc>
        <w:tc>
          <w:tcPr>
            <w:tcW w:w="1559" w:type="dxa"/>
          </w:tcPr>
          <w:p w14:paraId="5D1A3B53" w14:textId="77777777" w:rsidR="00EB2B55" w:rsidRPr="00672DBE" w:rsidRDefault="00EB2B55" w:rsidP="003414BB">
            <w:pPr>
              <w:jc w:val="center"/>
              <w:rPr>
                <w:sz w:val="20"/>
                <w:szCs w:val="20"/>
              </w:rPr>
            </w:pPr>
            <w:r w:rsidRPr="00672DBE">
              <w:rPr>
                <w:sz w:val="20"/>
                <w:szCs w:val="20"/>
              </w:rPr>
              <w:t>Yes</w:t>
            </w:r>
          </w:p>
        </w:tc>
        <w:tc>
          <w:tcPr>
            <w:tcW w:w="1701" w:type="dxa"/>
          </w:tcPr>
          <w:p w14:paraId="0C20B4CA" w14:textId="77777777" w:rsidR="00504B69" w:rsidRDefault="00EB2B55" w:rsidP="003414BB">
            <w:pPr>
              <w:jc w:val="center"/>
              <w:rPr>
                <w:sz w:val="20"/>
                <w:szCs w:val="20"/>
              </w:rPr>
            </w:pPr>
            <w:r w:rsidRPr="00672DBE">
              <w:rPr>
                <w:sz w:val="20"/>
                <w:szCs w:val="20"/>
              </w:rPr>
              <w:t>Yes</w:t>
            </w:r>
          </w:p>
          <w:p w14:paraId="5262C834" w14:textId="169C28CE" w:rsidR="00EB2B55" w:rsidRPr="00672DBE" w:rsidRDefault="00EB2B55" w:rsidP="003414BB">
            <w:pPr>
              <w:jc w:val="center"/>
              <w:rPr>
                <w:sz w:val="20"/>
                <w:szCs w:val="20"/>
              </w:rPr>
            </w:pPr>
            <w:r w:rsidRPr="00672DBE">
              <w:rPr>
                <w:sz w:val="20"/>
                <w:szCs w:val="20"/>
              </w:rPr>
              <w:t>(ho</w:t>
            </w:r>
            <w:r w:rsidR="00195044">
              <w:rPr>
                <w:sz w:val="20"/>
                <w:szCs w:val="20"/>
              </w:rPr>
              <w:t>s</w:t>
            </w:r>
            <w:r w:rsidRPr="00672DBE">
              <w:rPr>
                <w:sz w:val="20"/>
                <w:szCs w:val="20"/>
              </w:rPr>
              <w:t>p</w:t>
            </w:r>
            <w:r w:rsidR="00504B69">
              <w:rPr>
                <w:sz w:val="20"/>
                <w:szCs w:val="20"/>
              </w:rPr>
              <w:t>ital</w:t>
            </w:r>
            <w:r w:rsidR="00504B69" w:rsidRPr="00672DBE">
              <w:rPr>
                <w:sz w:val="20"/>
                <w:szCs w:val="20"/>
              </w:rPr>
              <w:t xml:space="preserve"> </w:t>
            </w:r>
            <w:r w:rsidRPr="00672DBE">
              <w:rPr>
                <w:sz w:val="20"/>
                <w:szCs w:val="20"/>
              </w:rPr>
              <w:t>record</w:t>
            </w:r>
            <w:r w:rsidR="00504B69">
              <w:rPr>
                <w:sz w:val="20"/>
                <w:szCs w:val="20"/>
              </w:rPr>
              <w:t>s</w:t>
            </w:r>
            <w:r w:rsidRPr="00672DBE">
              <w:rPr>
                <w:sz w:val="20"/>
                <w:szCs w:val="20"/>
              </w:rPr>
              <w:t>)</w:t>
            </w:r>
          </w:p>
        </w:tc>
        <w:tc>
          <w:tcPr>
            <w:tcW w:w="1843" w:type="dxa"/>
            <w:shd w:val="clear" w:color="auto" w:fill="auto"/>
          </w:tcPr>
          <w:p w14:paraId="32A74B28" w14:textId="77777777" w:rsidR="00EB2B55" w:rsidRPr="00672DBE" w:rsidRDefault="00EB2B55" w:rsidP="003414BB">
            <w:pPr>
              <w:jc w:val="center"/>
              <w:rPr>
                <w:sz w:val="20"/>
                <w:szCs w:val="20"/>
              </w:rPr>
            </w:pPr>
            <w:r w:rsidRPr="00672DBE">
              <w:rPr>
                <w:sz w:val="20"/>
                <w:szCs w:val="20"/>
              </w:rPr>
              <w:t>Yes</w:t>
            </w:r>
          </w:p>
        </w:tc>
        <w:tc>
          <w:tcPr>
            <w:tcW w:w="1843" w:type="dxa"/>
          </w:tcPr>
          <w:p w14:paraId="56FB1652" w14:textId="77777777" w:rsidR="00EB2B55" w:rsidRPr="00672DBE" w:rsidRDefault="00EB2B55" w:rsidP="003414BB">
            <w:pPr>
              <w:jc w:val="center"/>
              <w:rPr>
                <w:sz w:val="20"/>
                <w:szCs w:val="20"/>
              </w:rPr>
            </w:pPr>
            <w:r w:rsidRPr="00672DBE">
              <w:rPr>
                <w:sz w:val="20"/>
                <w:szCs w:val="20"/>
              </w:rPr>
              <w:t>Yes</w:t>
            </w:r>
          </w:p>
        </w:tc>
        <w:tc>
          <w:tcPr>
            <w:tcW w:w="1560" w:type="dxa"/>
          </w:tcPr>
          <w:p w14:paraId="79942AFE" w14:textId="77777777" w:rsidR="00EB2B55" w:rsidRPr="00672DBE" w:rsidRDefault="00EB2B55" w:rsidP="003414BB">
            <w:pPr>
              <w:jc w:val="center"/>
              <w:rPr>
                <w:sz w:val="20"/>
                <w:szCs w:val="20"/>
              </w:rPr>
            </w:pPr>
            <w:r w:rsidRPr="00672DBE">
              <w:rPr>
                <w:sz w:val="20"/>
                <w:szCs w:val="20"/>
              </w:rPr>
              <w:t>Yes</w:t>
            </w:r>
          </w:p>
        </w:tc>
        <w:tc>
          <w:tcPr>
            <w:tcW w:w="1417" w:type="dxa"/>
          </w:tcPr>
          <w:p w14:paraId="44423EFF" w14:textId="77777777" w:rsidR="00EB2B55" w:rsidRPr="00672DBE" w:rsidRDefault="00EB2B55" w:rsidP="003414BB">
            <w:pPr>
              <w:jc w:val="center"/>
              <w:rPr>
                <w:sz w:val="20"/>
                <w:szCs w:val="20"/>
              </w:rPr>
            </w:pPr>
            <w:r w:rsidRPr="00672DBE">
              <w:rPr>
                <w:sz w:val="20"/>
                <w:szCs w:val="20"/>
              </w:rPr>
              <w:t>Yes</w:t>
            </w:r>
          </w:p>
        </w:tc>
        <w:tc>
          <w:tcPr>
            <w:tcW w:w="1218" w:type="dxa"/>
          </w:tcPr>
          <w:p w14:paraId="3C7785B1" w14:textId="77777777" w:rsidR="00EB2B55" w:rsidRPr="00672DBE" w:rsidRDefault="00EB2B55" w:rsidP="003414BB">
            <w:pPr>
              <w:jc w:val="center"/>
              <w:rPr>
                <w:sz w:val="20"/>
                <w:szCs w:val="20"/>
              </w:rPr>
            </w:pPr>
            <w:r w:rsidRPr="00672DBE">
              <w:rPr>
                <w:sz w:val="20"/>
                <w:szCs w:val="20"/>
              </w:rPr>
              <w:t>8/8</w:t>
            </w:r>
          </w:p>
        </w:tc>
      </w:tr>
      <w:tr w:rsidR="00AD5473" w:rsidRPr="00672DBE" w14:paraId="1063CCBD" w14:textId="77777777" w:rsidTr="00AD5473">
        <w:tc>
          <w:tcPr>
            <w:tcW w:w="1387" w:type="dxa"/>
          </w:tcPr>
          <w:p w14:paraId="433B1D28" w14:textId="7FD61883" w:rsidR="00EB2B55" w:rsidRPr="00672DBE" w:rsidRDefault="00EB2B55" w:rsidP="003414BB">
            <w:pPr>
              <w:rPr>
                <w:sz w:val="20"/>
                <w:szCs w:val="20"/>
              </w:rPr>
            </w:pPr>
            <w:r w:rsidRPr="00672DBE">
              <w:rPr>
                <w:sz w:val="20"/>
                <w:szCs w:val="20"/>
              </w:rPr>
              <w:lastRenderedPageBreak/>
              <w:t>Hy</w:t>
            </w:r>
            <w:r w:rsidR="00504B69">
              <w:rPr>
                <w:sz w:val="20"/>
                <w:szCs w:val="20"/>
              </w:rPr>
              <w:t>u</w:t>
            </w:r>
            <w:r w:rsidRPr="00672DBE">
              <w:rPr>
                <w:sz w:val="20"/>
                <w:szCs w:val="20"/>
              </w:rPr>
              <w:t>n et al. 2017</w:t>
            </w:r>
          </w:p>
        </w:tc>
        <w:tc>
          <w:tcPr>
            <w:tcW w:w="1297" w:type="dxa"/>
          </w:tcPr>
          <w:p w14:paraId="4DDA4E90" w14:textId="77777777" w:rsidR="00EB2B55" w:rsidRPr="00672DBE" w:rsidRDefault="00EB2B55" w:rsidP="003414BB">
            <w:pPr>
              <w:jc w:val="center"/>
              <w:rPr>
                <w:sz w:val="20"/>
                <w:szCs w:val="20"/>
              </w:rPr>
            </w:pPr>
            <w:r w:rsidRPr="00672DBE">
              <w:rPr>
                <w:sz w:val="20"/>
                <w:szCs w:val="20"/>
              </w:rPr>
              <w:t>Yes</w:t>
            </w:r>
          </w:p>
        </w:tc>
        <w:tc>
          <w:tcPr>
            <w:tcW w:w="1422" w:type="dxa"/>
          </w:tcPr>
          <w:p w14:paraId="4B04CBA5" w14:textId="77777777" w:rsidR="00EB2B55" w:rsidRPr="00672DBE" w:rsidRDefault="00EB2B55" w:rsidP="003414BB">
            <w:pPr>
              <w:jc w:val="center"/>
              <w:rPr>
                <w:sz w:val="20"/>
                <w:szCs w:val="20"/>
              </w:rPr>
            </w:pPr>
            <w:r w:rsidRPr="00672DBE">
              <w:rPr>
                <w:sz w:val="20"/>
                <w:szCs w:val="20"/>
              </w:rPr>
              <w:t>Yes</w:t>
            </w:r>
          </w:p>
        </w:tc>
        <w:tc>
          <w:tcPr>
            <w:tcW w:w="1559" w:type="dxa"/>
          </w:tcPr>
          <w:p w14:paraId="120550E9" w14:textId="77777777" w:rsidR="00EB2B55" w:rsidRPr="00672DBE" w:rsidRDefault="00EB2B55" w:rsidP="003414BB">
            <w:pPr>
              <w:jc w:val="center"/>
              <w:rPr>
                <w:sz w:val="20"/>
                <w:szCs w:val="20"/>
              </w:rPr>
            </w:pPr>
            <w:r w:rsidRPr="00672DBE">
              <w:rPr>
                <w:sz w:val="20"/>
                <w:szCs w:val="20"/>
              </w:rPr>
              <w:t>Yes</w:t>
            </w:r>
          </w:p>
        </w:tc>
        <w:tc>
          <w:tcPr>
            <w:tcW w:w="1701" w:type="dxa"/>
          </w:tcPr>
          <w:p w14:paraId="70FDB78F" w14:textId="2231BB87" w:rsidR="00EB2B55" w:rsidRPr="00672DBE" w:rsidRDefault="00EB2B55" w:rsidP="003414BB">
            <w:pPr>
              <w:jc w:val="center"/>
              <w:rPr>
                <w:sz w:val="20"/>
                <w:szCs w:val="20"/>
              </w:rPr>
            </w:pPr>
            <w:r w:rsidRPr="00672DBE">
              <w:rPr>
                <w:sz w:val="20"/>
                <w:szCs w:val="20"/>
              </w:rPr>
              <w:t>Yes (</w:t>
            </w:r>
            <w:r w:rsidR="00262A35" w:rsidRPr="00672DBE">
              <w:rPr>
                <w:sz w:val="20"/>
                <w:szCs w:val="20"/>
              </w:rPr>
              <w:t xml:space="preserve">primary health </w:t>
            </w:r>
            <w:r w:rsidR="0084674B">
              <w:rPr>
                <w:sz w:val="20"/>
                <w:szCs w:val="20"/>
              </w:rPr>
              <w:t>d</w:t>
            </w:r>
            <w:r w:rsidR="0084674B" w:rsidRPr="00672DBE">
              <w:rPr>
                <w:sz w:val="20"/>
                <w:szCs w:val="20"/>
              </w:rPr>
              <w:t>atabase</w:t>
            </w:r>
            <w:r w:rsidRPr="00672DBE">
              <w:rPr>
                <w:sz w:val="20"/>
                <w:szCs w:val="20"/>
              </w:rPr>
              <w:t>)</w:t>
            </w:r>
          </w:p>
        </w:tc>
        <w:tc>
          <w:tcPr>
            <w:tcW w:w="1843" w:type="dxa"/>
            <w:shd w:val="clear" w:color="auto" w:fill="auto"/>
          </w:tcPr>
          <w:p w14:paraId="5077DCA3" w14:textId="77777777" w:rsidR="00EB2B55" w:rsidRPr="00672DBE" w:rsidRDefault="00EB2B55" w:rsidP="003414BB">
            <w:pPr>
              <w:jc w:val="center"/>
              <w:rPr>
                <w:sz w:val="20"/>
                <w:szCs w:val="20"/>
              </w:rPr>
            </w:pPr>
            <w:r w:rsidRPr="00672DBE">
              <w:rPr>
                <w:sz w:val="20"/>
                <w:szCs w:val="20"/>
              </w:rPr>
              <w:t>Yes</w:t>
            </w:r>
          </w:p>
        </w:tc>
        <w:tc>
          <w:tcPr>
            <w:tcW w:w="1843" w:type="dxa"/>
          </w:tcPr>
          <w:p w14:paraId="21584470" w14:textId="77777777" w:rsidR="00EB2B55" w:rsidRPr="00672DBE" w:rsidRDefault="00EB2B55" w:rsidP="003414BB">
            <w:pPr>
              <w:jc w:val="center"/>
              <w:rPr>
                <w:sz w:val="20"/>
                <w:szCs w:val="20"/>
              </w:rPr>
            </w:pPr>
            <w:r w:rsidRPr="00672DBE">
              <w:rPr>
                <w:sz w:val="20"/>
                <w:szCs w:val="20"/>
              </w:rPr>
              <w:t>Yes</w:t>
            </w:r>
          </w:p>
        </w:tc>
        <w:tc>
          <w:tcPr>
            <w:tcW w:w="1560" w:type="dxa"/>
          </w:tcPr>
          <w:p w14:paraId="524653C1" w14:textId="77777777" w:rsidR="00EB2B55" w:rsidRPr="00672DBE" w:rsidRDefault="00EB2B55" w:rsidP="003414BB">
            <w:pPr>
              <w:jc w:val="center"/>
              <w:rPr>
                <w:sz w:val="20"/>
                <w:szCs w:val="20"/>
              </w:rPr>
            </w:pPr>
            <w:r w:rsidRPr="00672DBE">
              <w:rPr>
                <w:sz w:val="20"/>
                <w:szCs w:val="20"/>
              </w:rPr>
              <w:t>Yes</w:t>
            </w:r>
          </w:p>
        </w:tc>
        <w:tc>
          <w:tcPr>
            <w:tcW w:w="1417" w:type="dxa"/>
          </w:tcPr>
          <w:p w14:paraId="6F07EF7F" w14:textId="77777777" w:rsidR="00EB2B55" w:rsidRPr="00672DBE" w:rsidRDefault="00EB2B55" w:rsidP="003414BB">
            <w:pPr>
              <w:jc w:val="center"/>
              <w:rPr>
                <w:sz w:val="20"/>
                <w:szCs w:val="20"/>
              </w:rPr>
            </w:pPr>
            <w:r w:rsidRPr="00672DBE">
              <w:rPr>
                <w:sz w:val="20"/>
                <w:szCs w:val="20"/>
              </w:rPr>
              <w:t>No</w:t>
            </w:r>
          </w:p>
        </w:tc>
        <w:tc>
          <w:tcPr>
            <w:tcW w:w="1218" w:type="dxa"/>
          </w:tcPr>
          <w:p w14:paraId="1E7BD9EB" w14:textId="77777777" w:rsidR="00EB2B55" w:rsidRPr="00672DBE" w:rsidRDefault="00EB2B55" w:rsidP="003414BB">
            <w:pPr>
              <w:jc w:val="center"/>
              <w:rPr>
                <w:sz w:val="20"/>
                <w:szCs w:val="20"/>
              </w:rPr>
            </w:pPr>
            <w:r w:rsidRPr="00672DBE">
              <w:rPr>
                <w:sz w:val="20"/>
                <w:szCs w:val="20"/>
              </w:rPr>
              <w:t>7/8</w:t>
            </w:r>
          </w:p>
        </w:tc>
      </w:tr>
      <w:tr w:rsidR="00AD5473" w:rsidRPr="00672DBE" w14:paraId="4F8592A7" w14:textId="77777777" w:rsidTr="00AD5473">
        <w:tc>
          <w:tcPr>
            <w:tcW w:w="1387" w:type="dxa"/>
          </w:tcPr>
          <w:p w14:paraId="5FB22342" w14:textId="77777777" w:rsidR="00EB2B55" w:rsidRPr="00672DBE" w:rsidRDefault="00EB2B55" w:rsidP="003414BB">
            <w:pPr>
              <w:rPr>
                <w:sz w:val="20"/>
                <w:szCs w:val="20"/>
              </w:rPr>
            </w:pPr>
            <w:r w:rsidRPr="00672DBE">
              <w:rPr>
                <w:sz w:val="20"/>
                <w:szCs w:val="20"/>
              </w:rPr>
              <w:t>Isgro et al. 2020</w:t>
            </w:r>
          </w:p>
        </w:tc>
        <w:tc>
          <w:tcPr>
            <w:tcW w:w="1297" w:type="dxa"/>
          </w:tcPr>
          <w:p w14:paraId="4FFF8872" w14:textId="77777777" w:rsidR="00EB2B55" w:rsidRPr="00672DBE" w:rsidRDefault="00EB2B55" w:rsidP="003414BB">
            <w:pPr>
              <w:jc w:val="center"/>
              <w:rPr>
                <w:sz w:val="20"/>
                <w:szCs w:val="20"/>
              </w:rPr>
            </w:pPr>
            <w:r w:rsidRPr="00672DBE">
              <w:rPr>
                <w:sz w:val="20"/>
                <w:szCs w:val="20"/>
              </w:rPr>
              <w:t>Yes</w:t>
            </w:r>
          </w:p>
        </w:tc>
        <w:tc>
          <w:tcPr>
            <w:tcW w:w="1422" w:type="dxa"/>
          </w:tcPr>
          <w:p w14:paraId="192265B8" w14:textId="77777777" w:rsidR="00EB2B55" w:rsidRPr="00672DBE" w:rsidRDefault="00EB2B55" w:rsidP="003414BB">
            <w:pPr>
              <w:jc w:val="center"/>
              <w:rPr>
                <w:sz w:val="20"/>
                <w:szCs w:val="20"/>
              </w:rPr>
            </w:pPr>
            <w:r w:rsidRPr="00672DBE">
              <w:rPr>
                <w:sz w:val="20"/>
                <w:szCs w:val="20"/>
              </w:rPr>
              <w:t>Yes</w:t>
            </w:r>
          </w:p>
        </w:tc>
        <w:tc>
          <w:tcPr>
            <w:tcW w:w="1559" w:type="dxa"/>
          </w:tcPr>
          <w:p w14:paraId="57A4F153" w14:textId="77777777" w:rsidR="00EB2B55" w:rsidRPr="00672DBE" w:rsidRDefault="00EB2B55" w:rsidP="003414BB">
            <w:pPr>
              <w:jc w:val="center"/>
              <w:rPr>
                <w:sz w:val="20"/>
                <w:szCs w:val="20"/>
              </w:rPr>
            </w:pPr>
            <w:r w:rsidRPr="00672DBE">
              <w:rPr>
                <w:sz w:val="20"/>
                <w:szCs w:val="20"/>
              </w:rPr>
              <w:t>Yes</w:t>
            </w:r>
          </w:p>
        </w:tc>
        <w:tc>
          <w:tcPr>
            <w:tcW w:w="1701" w:type="dxa"/>
          </w:tcPr>
          <w:p w14:paraId="3554A6B0" w14:textId="77777777" w:rsidR="00504B69" w:rsidRDefault="00EB2B55" w:rsidP="003414BB">
            <w:pPr>
              <w:jc w:val="center"/>
              <w:rPr>
                <w:sz w:val="20"/>
                <w:szCs w:val="20"/>
              </w:rPr>
            </w:pPr>
            <w:r w:rsidRPr="00672DBE">
              <w:rPr>
                <w:sz w:val="20"/>
                <w:szCs w:val="20"/>
              </w:rPr>
              <w:t>Yes</w:t>
            </w:r>
          </w:p>
          <w:p w14:paraId="6DCAE0CE" w14:textId="354A2BD4" w:rsidR="00EB2B55" w:rsidRPr="00672DBE" w:rsidRDefault="00EB2B55" w:rsidP="003414BB">
            <w:pPr>
              <w:jc w:val="center"/>
              <w:rPr>
                <w:sz w:val="20"/>
                <w:szCs w:val="20"/>
              </w:rPr>
            </w:pPr>
            <w:r w:rsidRPr="00672DBE">
              <w:rPr>
                <w:sz w:val="20"/>
                <w:szCs w:val="20"/>
              </w:rPr>
              <w:t>(me</w:t>
            </w:r>
            <w:r w:rsidR="00504B69">
              <w:rPr>
                <w:sz w:val="20"/>
                <w:szCs w:val="20"/>
              </w:rPr>
              <w:t xml:space="preserve">dical </w:t>
            </w:r>
            <w:r w:rsidRPr="00672DBE">
              <w:rPr>
                <w:sz w:val="20"/>
                <w:szCs w:val="20"/>
              </w:rPr>
              <w:t>record</w:t>
            </w:r>
            <w:r w:rsidR="00504B69">
              <w:rPr>
                <w:sz w:val="20"/>
                <w:szCs w:val="20"/>
              </w:rPr>
              <w:t>s</w:t>
            </w:r>
            <w:r w:rsidRPr="00672DBE">
              <w:rPr>
                <w:sz w:val="20"/>
                <w:szCs w:val="20"/>
              </w:rPr>
              <w:t>)</w:t>
            </w:r>
          </w:p>
        </w:tc>
        <w:tc>
          <w:tcPr>
            <w:tcW w:w="1843" w:type="dxa"/>
            <w:shd w:val="clear" w:color="auto" w:fill="auto"/>
          </w:tcPr>
          <w:p w14:paraId="1B1F2F02" w14:textId="77777777" w:rsidR="00EB2B55" w:rsidRPr="00672DBE" w:rsidRDefault="00EB2B55" w:rsidP="003414BB">
            <w:pPr>
              <w:jc w:val="center"/>
              <w:rPr>
                <w:sz w:val="20"/>
                <w:szCs w:val="20"/>
              </w:rPr>
            </w:pPr>
            <w:r w:rsidRPr="00672DBE">
              <w:rPr>
                <w:sz w:val="20"/>
                <w:szCs w:val="20"/>
              </w:rPr>
              <w:t>Yes</w:t>
            </w:r>
          </w:p>
        </w:tc>
        <w:tc>
          <w:tcPr>
            <w:tcW w:w="1843" w:type="dxa"/>
          </w:tcPr>
          <w:p w14:paraId="165B100F" w14:textId="77777777" w:rsidR="00EB2B55" w:rsidRPr="00672DBE" w:rsidRDefault="00EB2B55" w:rsidP="003414BB">
            <w:pPr>
              <w:jc w:val="center"/>
              <w:rPr>
                <w:sz w:val="20"/>
                <w:szCs w:val="20"/>
              </w:rPr>
            </w:pPr>
            <w:r w:rsidRPr="00672DBE">
              <w:rPr>
                <w:sz w:val="20"/>
                <w:szCs w:val="20"/>
              </w:rPr>
              <w:t>Yes</w:t>
            </w:r>
          </w:p>
        </w:tc>
        <w:tc>
          <w:tcPr>
            <w:tcW w:w="1560" w:type="dxa"/>
          </w:tcPr>
          <w:p w14:paraId="3E83C8FF" w14:textId="77777777" w:rsidR="00EB2B55" w:rsidRPr="00672DBE" w:rsidRDefault="00EB2B55" w:rsidP="003414BB">
            <w:pPr>
              <w:jc w:val="center"/>
              <w:rPr>
                <w:sz w:val="20"/>
                <w:szCs w:val="20"/>
              </w:rPr>
            </w:pPr>
            <w:r w:rsidRPr="00672DBE">
              <w:rPr>
                <w:sz w:val="20"/>
                <w:szCs w:val="20"/>
              </w:rPr>
              <w:t xml:space="preserve">Yes </w:t>
            </w:r>
          </w:p>
        </w:tc>
        <w:tc>
          <w:tcPr>
            <w:tcW w:w="1417" w:type="dxa"/>
          </w:tcPr>
          <w:p w14:paraId="60C2A54B" w14:textId="77777777" w:rsidR="00EB2B55" w:rsidRPr="00672DBE" w:rsidRDefault="00EB2B55" w:rsidP="003414BB">
            <w:pPr>
              <w:jc w:val="center"/>
              <w:rPr>
                <w:sz w:val="20"/>
                <w:szCs w:val="20"/>
              </w:rPr>
            </w:pPr>
            <w:r w:rsidRPr="00672DBE">
              <w:rPr>
                <w:sz w:val="20"/>
                <w:szCs w:val="20"/>
              </w:rPr>
              <w:t>No</w:t>
            </w:r>
          </w:p>
        </w:tc>
        <w:tc>
          <w:tcPr>
            <w:tcW w:w="1218" w:type="dxa"/>
          </w:tcPr>
          <w:p w14:paraId="264C131A" w14:textId="77777777" w:rsidR="00EB2B55" w:rsidRPr="00672DBE" w:rsidRDefault="00EB2B55" w:rsidP="003414BB">
            <w:pPr>
              <w:jc w:val="center"/>
              <w:rPr>
                <w:sz w:val="20"/>
                <w:szCs w:val="20"/>
              </w:rPr>
            </w:pPr>
            <w:r w:rsidRPr="00672DBE">
              <w:rPr>
                <w:sz w:val="20"/>
                <w:szCs w:val="20"/>
              </w:rPr>
              <w:t>7/8</w:t>
            </w:r>
          </w:p>
        </w:tc>
      </w:tr>
      <w:tr w:rsidR="00AD5473" w:rsidRPr="00672DBE" w14:paraId="6BBD932E" w14:textId="77777777" w:rsidTr="00AD5473">
        <w:tc>
          <w:tcPr>
            <w:tcW w:w="1387" w:type="dxa"/>
            <w:tcBorders>
              <w:bottom w:val="single" w:sz="4" w:space="0" w:color="auto"/>
            </w:tcBorders>
          </w:tcPr>
          <w:p w14:paraId="5257F213" w14:textId="77777777" w:rsidR="00EB2B55" w:rsidRPr="00672DBE" w:rsidRDefault="00EB2B55" w:rsidP="003414BB">
            <w:pPr>
              <w:rPr>
                <w:sz w:val="20"/>
                <w:szCs w:val="20"/>
              </w:rPr>
            </w:pPr>
            <w:r w:rsidRPr="00672DBE">
              <w:rPr>
                <w:sz w:val="20"/>
                <w:szCs w:val="20"/>
              </w:rPr>
              <w:t>Jarallah &amp; Baxter, 2019</w:t>
            </w:r>
          </w:p>
        </w:tc>
        <w:tc>
          <w:tcPr>
            <w:tcW w:w="1297" w:type="dxa"/>
            <w:tcBorders>
              <w:bottom w:val="single" w:sz="4" w:space="0" w:color="auto"/>
            </w:tcBorders>
          </w:tcPr>
          <w:p w14:paraId="12EEA1D7" w14:textId="77777777" w:rsidR="00EB2B55" w:rsidRPr="00672DBE" w:rsidRDefault="00EB2B55" w:rsidP="003414BB">
            <w:pPr>
              <w:jc w:val="center"/>
              <w:rPr>
                <w:sz w:val="20"/>
                <w:szCs w:val="20"/>
              </w:rPr>
            </w:pPr>
            <w:r w:rsidRPr="00672DBE">
              <w:rPr>
                <w:sz w:val="20"/>
                <w:szCs w:val="20"/>
              </w:rPr>
              <w:t>Yes</w:t>
            </w:r>
          </w:p>
        </w:tc>
        <w:tc>
          <w:tcPr>
            <w:tcW w:w="1422" w:type="dxa"/>
            <w:tcBorders>
              <w:bottom w:val="single" w:sz="4" w:space="0" w:color="auto"/>
            </w:tcBorders>
          </w:tcPr>
          <w:p w14:paraId="67C36DE6" w14:textId="77777777" w:rsidR="00EB2B55" w:rsidRPr="00672DBE" w:rsidRDefault="00EB2B55" w:rsidP="003414BB">
            <w:pPr>
              <w:jc w:val="center"/>
              <w:rPr>
                <w:sz w:val="20"/>
                <w:szCs w:val="20"/>
              </w:rPr>
            </w:pPr>
            <w:r w:rsidRPr="00672DBE">
              <w:rPr>
                <w:sz w:val="20"/>
                <w:szCs w:val="20"/>
              </w:rPr>
              <w:t>Yes</w:t>
            </w:r>
          </w:p>
        </w:tc>
        <w:tc>
          <w:tcPr>
            <w:tcW w:w="1559" w:type="dxa"/>
            <w:tcBorders>
              <w:bottom w:val="single" w:sz="4" w:space="0" w:color="auto"/>
            </w:tcBorders>
          </w:tcPr>
          <w:p w14:paraId="4F5C049E" w14:textId="77777777" w:rsidR="00EB2B55" w:rsidRPr="00672DBE" w:rsidRDefault="00EB2B55" w:rsidP="003414BB">
            <w:pPr>
              <w:jc w:val="center"/>
              <w:rPr>
                <w:sz w:val="20"/>
                <w:szCs w:val="20"/>
              </w:rPr>
            </w:pPr>
            <w:r w:rsidRPr="00672DBE">
              <w:rPr>
                <w:sz w:val="20"/>
                <w:szCs w:val="20"/>
              </w:rPr>
              <w:t>Yes</w:t>
            </w:r>
          </w:p>
        </w:tc>
        <w:tc>
          <w:tcPr>
            <w:tcW w:w="1701" w:type="dxa"/>
            <w:tcBorders>
              <w:bottom w:val="single" w:sz="4" w:space="0" w:color="auto"/>
            </w:tcBorders>
          </w:tcPr>
          <w:p w14:paraId="182A091A" w14:textId="77777777" w:rsidR="00EB2B55" w:rsidRPr="00672DBE" w:rsidRDefault="00EB2B55" w:rsidP="003414BB">
            <w:pPr>
              <w:jc w:val="center"/>
              <w:rPr>
                <w:sz w:val="20"/>
                <w:szCs w:val="20"/>
              </w:rPr>
            </w:pPr>
            <w:r w:rsidRPr="00672DBE">
              <w:rPr>
                <w:sz w:val="20"/>
                <w:szCs w:val="20"/>
              </w:rPr>
              <w:t>Yes</w:t>
            </w:r>
          </w:p>
          <w:p w14:paraId="1FABECE9" w14:textId="0B662460" w:rsidR="00EB2B55" w:rsidRPr="00672DBE" w:rsidRDefault="00EB2B55" w:rsidP="003414BB">
            <w:pPr>
              <w:jc w:val="center"/>
              <w:rPr>
                <w:sz w:val="20"/>
                <w:szCs w:val="20"/>
              </w:rPr>
            </w:pPr>
            <w:r w:rsidRPr="00672DBE">
              <w:rPr>
                <w:sz w:val="20"/>
                <w:szCs w:val="20"/>
              </w:rPr>
              <w:t>(</w:t>
            </w:r>
            <w:r w:rsidR="00D812F6">
              <w:rPr>
                <w:sz w:val="20"/>
                <w:szCs w:val="20"/>
              </w:rPr>
              <w:t>d</w:t>
            </w:r>
            <w:r w:rsidR="00D812F6" w:rsidRPr="00672DBE">
              <w:rPr>
                <w:sz w:val="20"/>
                <w:szCs w:val="20"/>
              </w:rPr>
              <w:t>atabase</w:t>
            </w:r>
            <w:r w:rsidRPr="00672DBE">
              <w:rPr>
                <w:sz w:val="20"/>
                <w:szCs w:val="20"/>
              </w:rPr>
              <w:t>: BNLA)</w:t>
            </w:r>
          </w:p>
        </w:tc>
        <w:tc>
          <w:tcPr>
            <w:tcW w:w="1843" w:type="dxa"/>
            <w:tcBorders>
              <w:bottom w:val="single" w:sz="4" w:space="0" w:color="auto"/>
            </w:tcBorders>
            <w:shd w:val="clear" w:color="auto" w:fill="auto"/>
          </w:tcPr>
          <w:p w14:paraId="21AC5E8B" w14:textId="77777777" w:rsidR="00EB2B55" w:rsidRPr="00672DBE" w:rsidRDefault="00EB2B55" w:rsidP="003414BB">
            <w:pPr>
              <w:jc w:val="center"/>
              <w:rPr>
                <w:sz w:val="20"/>
                <w:szCs w:val="20"/>
              </w:rPr>
            </w:pPr>
            <w:r w:rsidRPr="00672DBE">
              <w:rPr>
                <w:sz w:val="20"/>
                <w:szCs w:val="20"/>
              </w:rPr>
              <w:t>Yes</w:t>
            </w:r>
          </w:p>
        </w:tc>
        <w:tc>
          <w:tcPr>
            <w:tcW w:w="1843" w:type="dxa"/>
            <w:tcBorders>
              <w:bottom w:val="single" w:sz="4" w:space="0" w:color="auto"/>
            </w:tcBorders>
          </w:tcPr>
          <w:p w14:paraId="6CB3C14D" w14:textId="77777777" w:rsidR="00EB2B55" w:rsidRPr="00672DBE" w:rsidRDefault="00EB2B55" w:rsidP="003414BB">
            <w:pPr>
              <w:jc w:val="center"/>
              <w:rPr>
                <w:sz w:val="20"/>
                <w:szCs w:val="20"/>
              </w:rPr>
            </w:pPr>
            <w:r w:rsidRPr="00672DBE">
              <w:rPr>
                <w:sz w:val="20"/>
                <w:szCs w:val="20"/>
              </w:rPr>
              <w:t>Yes</w:t>
            </w:r>
          </w:p>
        </w:tc>
        <w:tc>
          <w:tcPr>
            <w:tcW w:w="1560" w:type="dxa"/>
            <w:tcBorders>
              <w:bottom w:val="single" w:sz="4" w:space="0" w:color="auto"/>
            </w:tcBorders>
          </w:tcPr>
          <w:p w14:paraId="470B99C3" w14:textId="77777777" w:rsidR="00EB2B55" w:rsidRPr="00672DBE" w:rsidRDefault="00EB2B55" w:rsidP="003414BB">
            <w:pPr>
              <w:jc w:val="center"/>
              <w:rPr>
                <w:sz w:val="20"/>
                <w:szCs w:val="20"/>
              </w:rPr>
            </w:pPr>
            <w:r w:rsidRPr="00672DBE">
              <w:rPr>
                <w:sz w:val="20"/>
                <w:szCs w:val="20"/>
              </w:rPr>
              <w:t>Yes</w:t>
            </w:r>
          </w:p>
        </w:tc>
        <w:tc>
          <w:tcPr>
            <w:tcW w:w="1417" w:type="dxa"/>
            <w:tcBorders>
              <w:bottom w:val="single" w:sz="4" w:space="0" w:color="auto"/>
            </w:tcBorders>
          </w:tcPr>
          <w:p w14:paraId="2316B22C" w14:textId="77777777" w:rsidR="00EB2B55" w:rsidRPr="00672DBE" w:rsidRDefault="00EB2B55" w:rsidP="003414BB">
            <w:pPr>
              <w:jc w:val="center"/>
              <w:rPr>
                <w:sz w:val="20"/>
                <w:szCs w:val="20"/>
              </w:rPr>
            </w:pPr>
            <w:r w:rsidRPr="00672DBE">
              <w:rPr>
                <w:sz w:val="20"/>
                <w:szCs w:val="20"/>
              </w:rPr>
              <w:t>No</w:t>
            </w:r>
          </w:p>
        </w:tc>
        <w:tc>
          <w:tcPr>
            <w:tcW w:w="1218" w:type="dxa"/>
            <w:tcBorders>
              <w:bottom w:val="single" w:sz="4" w:space="0" w:color="auto"/>
            </w:tcBorders>
          </w:tcPr>
          <w:p w14:paraId="38BDFDC7" w14:textId="77777777" w:rsidR="00EB2B55" w:rsidRPr="00672DBE" w:rsidRDefault="00EB2B55" w:rsidP="003414BB">
            <w:pPr>
              <w:jc w:val="center"/>
              <w:rPr>
                <w:sz w:val="20"/>
                <w:szCs w:val="20"/>
              </w:rPr>
            </w:pPr>
            <w:r w:rsidRPr="00672DBE">
              <w:rPr>
                <w:sz w:val="20"/>
                <w:szCs w:val="20"/>
              </w:rPr>
              <w:t>7/8</w:t>
            </w:r>
          </w:p>
        </w:tc>
      </w:tr>
      <w:tr w:rsidR="00AD5473" w:rsidRPr="00672DBE" w14:paraId="2064DC63" w14:textId="77777777" w:rsidTr="00AD5473">
        <w:tc>
          <w:tcPr>
            <w:tcW w:w="1387" w:type="dxa"/>
            <w:tcBorders>
              <w:bottom w:val="single" w:sz="4" w:space="0" w:color="auto"/>
            </w:tcBorders>
          </w:tcPr>
          <w:p w14:paraId="62C44E62" w14:textId="77777777" w:rsidR="00EB2B55" w:rsidRPr="00672DBE" w:rsidRDefault="00EB2B55" w:rsidP="003414BB">
            <w:pPr>
              <w:rPr>
                <w:sz w:val="20"/>
                <w:szCs w:val="20"/>
              </w:rPr>
            </w:pPr>
            <w:r w:rsidRPr="00672DBE">
              <w:rPr>
                <w:sz w:val="20"/>
                <w:szCs w:val="20"/>
              </w:rPr>
              <w:t>Johansson et al. 2022</w:t>
            </w:r>
          </w:p>
        </w:tc>
        <w:tc>
          <w:tcPr>
            <w:tcW w:w="1297" w:type="dxa"/>
            <w:tcBorders>
              <w:bottom w:val="single" w:sz="4" w:space="0" w:color="auto"/>
            </w:tcBorders>
          </w:tcPr>
          <w:p w14:paraId="1FFFFD6A" w14:textId="77777777" w:rsidR="00EB2B55" w:rsidRPr="00672DBE" w:rsidRDefault="00EB2B55" w:rsidP="003414BB">
            <w:pPr>
              <w:jc w:val="center"/>
              <w:rPr>
                <w:sz w:val="20"/>
                <w:szCs w:val="20"/>
              </w:rPr>
            </w:pPr>
            <w:r w:rsidRPr="00672DBE">
              <w:rPr>
                <w:sz w:val="20"/>
                <w:szCs w:val="20"/>
              </w:rPr>
              <w:t xml:space="preserve">Yes </w:t>
            </w:r>
          </w:p>
        </w:tc>
        <w:tc>
          <w:tcPr>
            <w:tcW w:w="1422" w:type="dxa"/>
            <w:tcBorders>
              <w:bottom w:val="single" w:sz="4" w:space="0" w:color="auto"/>
            </w:tcBorders>
          </w:tcPr>
          <w:p w14:paraId="3AA98FFE" w14:textId="77777777" w:rsidR="00EB2B55" w:rsidRPr="00672DBE" w:rsidRDefault="00EB2B55" w:rsidP="003414BB">
            <w:pPr>
              <w:jc w:val="center"/>
              <w:rPr>
                <w:sz w:val="20"/>
                <w:szCs w:val="20"/>
              </w:rPr>
            </w:pPr>
            <w:r w:rsidRPr="00672DBE">
              <w:rPr>
                <w:sz w:val="20"/>
                <w:szCs w:val="20"/>
              </w:rPr>
              <w:t>Yes</w:t>
            </w:r>
          </w:p>
        </w:tc>
        <w:tc>
          <w:tcPr>
            <w:tcW w:w="1559" w:type="dxa"/>
            <w:tcBorders>
              <w:bottom w:val="single" w:sz="4" w:space="0" w:color="auto"/>
            </w:tcBorders>
          </w:tcPr>
          <w:p w14:paraId="1605DDDD" w14:textId="77777777" w:rsidR="00EB2B55" w:rsidRPr="00672DBE" w:rsidRDefault="00EB2B55" w:rsidP="003414BB">
            <w:pPr>
              <w:jc w:val="center"/>
              <w:rPr>
                <w:sz w:val="20"/>
                <w:szCs w:val="20"/>
              </w:rPr>
            </w:pPr>
            <w:r w:rsidRPr="00672DBE">
              <w:rPr>
                <w:sz w:val="20"/>
                <w:szCs w:val="20"/>
              </w:rPr>
              <w:t>Yes</w:t>
            </w:r>
          </w:p>
        </w:tc>
        <w:tc>
          <w:tcPr>
            <w:tcW w:w="1701" w:type="dxa"/>
            <w:tcBorders>
              <w:bottom w:val="single" w:sz="4" w:space="0" w:color="auto"/>
            </w:tcBorders>
          </w:tcPr>
          <w:p w14:paraId="7A1D31E9" w14:textId="688E386F" w:rsidR="00EB2B55" w:rsidRPr="00672DBE" w:rsidRDefault="00D812F6" w:rsidP="003414BB">
            <w:pPr>
              <w:jc w:val="center"/>
              <w:rPr>
                <w:sz w:val="20"/>
                <w:szCs w:val="20"/>
              </w:rPr>
            </w:pPr>
            <w:r>
              <w:rPr>
                <w:sz w:val="20"/>
                <w:szCs w:val="20"/>
              </w:rPr>
              <w:t>No</w:t>
            </w:r>
          </w:p>
        </w:tc>
        <w:tc>
          <w:tcPr>
            <w:tcW w:w="1843" w:type="dxa"/>
            <w:tcBorders>
              <w:bottom w:val="single" w:sz="4" w:space="0" w:color="auto"/>
            </w:tcBorders>
            <w:shd w:val="clear" w:color="auto" w:fill="auto"/>
          </w:tcPr>
          <w:p w14:paraId="4D10B48D" w14:textId="77777777" w:rsidR="00EB2B55" w:rsidRPr="00672DBE" w:rsidRDefault="00EB2B55" w:rsidP="003414BB">
            <w:pPr>
              <w:jc w:val="center"/>
              <w:rPr>
                <w:sz w:val="20"/>
                <w:szCs w:val="20"/>
              </w:rPr>
            </w:pPr>
            <w:r w:rsidRPr="00672DBE">
              <w:rPr>
                <w:sz w:val="20"/>
                <w:szCs w:val="20"/>
              </w:rPr>
              <w:t>Yes</w:t>
            </w:r>
          </w:p>
        </w:tc>
        <w:tc>
          <w:tcPr>
            <w:tcW w:w="1843" w:type="dxa"/>
            <w:tcBorders>
              <w:bottom w:val="single" w:sz="4" w:space="0" w:color="auto"/>
            </w:tcBorders>
          </w:tcPr>
          <w:p w14:paraId="14EB5746" w14:textId="77777777" w:rsidR="00EB2B55" w:rsidRPr="00672DBE" w:rsidRDefault="00EB2B55" w:rsidP="003414BB">
            <w:pPr>
              <w:jc w:val="center"/>
              <w:rPr>
                <w:sz w:val="20"/>
                <w:szCs w:val="20"/>
              </w:rPr>
            </w:pPr>
            <w:r w:rsidRPr="00672DBE">
              <w:rPr>
                <w:sz w:val="20"/>
                <w:szCs w:val="20"/>
              </w:rPr>
              <w:t>Yes</w:t>
            </w:r>
          </w:p>
        </w:tc>
        <w:tc>
          <w:tcPr>
            <w:tcW w:w="1560" w:type="dxa"/>
            <w:tcBorders>
              <w:bottom w:val="single" w:sz="4" w:space="0" w:color="auto"/>
            </w:tcBorders>
          </w:tcPr>
          <w:p w14:paraId="04980C1D" w14:textId="77777777" w:rsidR="00D812F6" w:rsidRDefault="00EB2B55" w:rsidP="003414BB">
            <w:pPr>
              <w:jc w:val="center"/>
              <w:rPr>
                <w:sz w:val="20"/>
                <w:szCs w:val="20"/>
              </w:rPr>
            </w:pPr>
            <w:r w:rsidRPr="00672DBE">
              <w:rPr>
                <w:sz w:val="20"/>
                <w:szCs w:val="20"/>
              </w:rPr>
              <w:t>Yes</w:t>
            </w:r>
          </w:p>
          <w:p w14:paraId="237FC7F0" w14:textId="3317F80E" w:rsidR="00EB2B55" w:rsidRPr="00672DBE" w:rsidRDefault="00EB2B55" w:rsidP="003414BB">
            <w:pPr>
              <w:jc w:val="center"/>
              <w:rPr>
                <w:sz w:val="20"/>
                <w:szCs w:val="20"/>
              </w:rPr>
            </w:pPr>
            <w:r w:rsidRPr="00672DBE">
              <w:rPr>
                <w:sz w:val="20"/>
                <w:szCs w:val="20"/>
              </w:rPr>
              <w:t>(sex only)</w:t>
            </w:r>
          </w:p>
        </w:tc>
        <w:tc>
          <w:tcPr>
            <w:tcW w:w="1417" w:type="dxa"/>
            <w:tcBorders>
              <w:bottom w:val="single" w:sz="4" w:space="0" w:color="auto"/>
            </w:tcBorders>
          </w:tcPr>
          <w:p w14:paraId="7825FBCE" w14:textId="77777777" w:rsidR="00EB2B55" w:rsidRPr="00672DBE" w:rsidRDefault="00EB2B55" w:rsidP="003414BB">
            <w:pPr>
              <w:jc w:val="center"/>
              <w:rPr>
                <w:sz w:val="20"/>
                <w:szCs w:val="20"/>
              </w:rPr>
            </w:pPr>
            <w:r w:rsidRPr="00672DBE">
              <w:rPr>
                <w:sz w:val="20"/>
                <w:szCs w:val="20"/>
              </w:rPr>
              <w:t>No</w:t>
            </w:r>
          </w:p>
        </w:tc>
        <w:tc>
          <w:tcPr>
            <w:tcW w:w="1218" w:type="dxa"/>
            <w:tcBorders>
              <w:bottom w:val="single" w:sz="4" w:space="0" w:color="auto"/>
            </w:tcBorders>
          </w:tcPr>
          <w:p w14:paraId="643A01D3" w14:textId="399402FC" w:rsidR="00EB2B55" w:rsidRPr="00672DBE" w:rsidRDefault="00D812F6" w:rsidP="003414BB">
            <w:pPr>
              <w:jc w:val="center"/>
              <w:rPr>
                <w:sz w:val="20"/>
                <w:szCs w:val="20"/>
              </w:rPr>
            </w:pPr>
            <w:r>
              <w:rPr>
                <w:sz w:val="20"/>
                <w:szCs w:val="20"/>
              </w:rPr>
              <w:t>6</w:t>
            </w:r>
            <w:r w:rsidR="00EB2B55" w:rsidRPr="00672DBE">
              <w:rPr>
                <w:sz w:val="20"/>
                <w:szCs w:val="20"/>
              </w:rPr>
              <w:t>/8</w:t>
            </w:r>
          </w:p>
        </w:tc>
      </w:tr>
      <w:tr w:rsidR="00AD5473" w:rsidRPr="00672DBE" w14:paraId="2C14DF96" w14:textId="77777777" w:rsidTr="00AD5473">
        <w:tc>
          <w:tcPr>
            <w:tcW w:w="1387" w:type="dxa"/>
            <w:shd w:val="clear" w:color="auto" w:fill="auto"/>
          </w:tcPr>
          <w:p w14:paraId="5867888C" w14:textId="77777777" w:rsidR="00EB2B55" w:rsidRPr="00672DBE" w:rsidRDefault="00EB2B55" w:rsidP="003414BB">
            <w:pPr>
              <w:rPr>
                <w:sz w:val="20"/>
                <w:szCs w:val="20"/>
              </w:rPr>
            </w:pPr>
            <w:r w:rsidRPr="00672DBE">
              <w:rPr>
                <w:sz w:val="20"/>
                <w:szCs w:val="20"/>
              </w:rPr>
              <w:t>Kim et al. 2023</w:t>
            </w:r>
          </w:p>
        </w:tc>
        <w:tc>
          <w:tcPr>
            <w:tcW w:w="1297" w:type="dxa"/>
            <w:shd w:val="clear" w:color="auto" w:fill="auto"/>
          </w:tcPr>
          <w:p w14:paraId="16EE40BF" w14:textId="77777777" w:rsidR="00EB2B55" w:rsidRPr="00672DBE" w:rsidRDefault="00EB2B55" w:rsidP="003414BB">
            <w:pPr>
              <w:jc w:val="center"/>
              <w:rPr>
                <w:sz w:val="20"/>
                <w:szCs w:val="20"/>
              </w:rPr>
            </w:pPr>
            <w:r w:rsidRPr="00672DBE">
              <w:rPr>
                <w:sz w:val="20"/>
                <w:szCs w:val="20"/>
              </w:rPr>
              <w:t>Yes</w:t>
            </w:r>
          </w:p>
        </w:tc>
        <w:tc>
          <w:tcPr>
            <w:tcW w:w="1422" w:type="dxa"/>
            <w:shd w:val="clear" w:color="auto" w:fill="auto"/>
          </w:tcPr>
          <w:p w14:paraId="4D36A9B7" w14:textId="77777777" w:rsidR="00EB2B55" w:rsidRPr="00672DBE" w:rsidRDefault="00EB2B55" w:rsidP="003414BB">
            <w:pPr>
              <w:jc w:val="center"/>
              <w:rPr>
                <w:sz w:val="20"/>
                <w:szCs w:val="20"/>
              </w:rPr>
            </w:pPr>
            <w:r w:rsidRPr="00672DBE">
              <w:rPr>
                <w:sz w:val="20"/>
                <w:szCs w:val="20"/>
              </w:rPr>
              <w:t>Yes</w:t>
            </w:r>
          </w:p>
        </w:tc>
        <w:tc>
          <w:tcPr>
            <w:tcW w:w="1559" w:type="dxa"/>
            <w:shd w:val="clear" w:color="auto" w:fill="auto"/>
          </w:tcPr>
          <w:p w14:paraId="4519B283" w14:textId="77777777" w:rsidR="00EB2B55" w:rsidRPr="00672DBE" w:rsidRDefault="00EB2B55" w:rsidP="003414BB">
            <w:pPr>
              <w:jc w:val="center"/>
              <w:rPr>
                <w:sz w:val="20"/>
                <w:szCs w:val="20"/>
              </w:rPr>
            </w:pPr>
            <w:r w:rsidRPr="00672DBE">
              <w:rPr>
                <w:sz w:val="20"/>
                <w:szCs w:val="20"/>
              </w:rPr>
              <w:t>Yes</w:t>
            </w:r>
          </w:p>
        </w:tc>
        <w:tc>
          <w:tcPr>
            <w:tcW w:w="1701" w:type="dxa"/>
            <w:shd w:val="clear" w:color="auto" w:fill="auto"/>
          </w:tcPr>
          <w:p w14:paraId="05E22E0D" w14:textId="77777777" w:rsidR="00EB2B55" w:rsidRPr="00672DBE" w:rsidRDefault="00EB2B55" w:rsidP="003414BB">
            <w:pPr>
              <w:jc w:val="center"/>
              <w:rPr>
                <w:sz w:val="20"/>
                <w:szCs w:val="20"/>
              </w:rPr>
            </w:pPr>
            <w:r w:rsidRPr="00672DBE">
              <w:rPr>
                <w:sz w:val="20"/>
                <w:szCs w:val="20"/>
              </w:rPr>
              <w:t>Yes</w:t>
            </w:r>
          </w:p>
          <w:p w14:paraId="510D4FC2" w14:textId="7E434579" w:rsidR="00EB2B55" w:rsidRPr="00672DBE" w:rsidRDefault="00EB2B55" w:rsidP="003414BB">
            <w:pPr>
              <w:jc w:val="center"/>
              <w:rPr>
                <w:sz w:val="20"/>
                <w:szCs w:val="20"/>
              </w:rPr>
            </w:pPr>
            <w:r w:rsidRPr="00672DBE">
              <w:rPr>
                <w:sz w:val="20"/>
                <w:szCs w:val="20"/>
              </w:rPr>
              <w:t>(ANZDATA</w:t>
            </w:r>
            <w:r w:rsidR="00E71C5B">
              <w:rPr>
                <w:sz w:val="20"/>
                <w:szCs w:val="20"/>
              </w:rPr>
              <w:t xml:space="preserve"> </w:t>
            </w:r>
            <w:r w:rsidRPr="00672DBE">
              <w:rPr>
                <w:sz w:val="20"/>
                <w:szCs w:val="20"/>
              </w:rPr>
              <w:t xml:space="preserve">&amp; ANZOD </w:t>
            </w:r>
            <w:r w:rsidR="00E71C5B">
              <w:rPr>
                <w:sz w:val="20"/>
                <w:szCs w:val="20"/>
              </w:rPr>
              <w:t>d</w:t>
            </w:r>
            <w:r w:rsidR="00E71C5B" w:rsidRPr="00672DBE">
              <w:rPr>
                <w:sz w:val="20"/>
                <w:szCs w:val="20"/>
              </w:rPr>
              <w:t>atabases</w:t>
            </w:r>
            <w:r w:rsidRPr="00672DBE">
              <w:rPr>
                <w:sz w:val="20"/>
                <w:szCs w:val="20"/>
              </w:rPr>
              <w:t>)</w:t>
            </w:r>
          </w:p>
        </w:tc>
        <w:tc>
          <w:tcPr>
            <w:tcW w:w="1843" w:type="dxa"/>
            <w:shd w:val="clear" w:color="auto" w:fill="auto"/>
          </w:tcPr>
          <w:p w14:paraId="06B9B7AC" w14:textId="77777777" w:rsidR="00EB2B55" w:rsidRPr="00672DBE" w:rsidRDefault="00EB2B55" w:rsidP="003414BB">
            <w:pPr>
              <w:jc w:val="center"/>
              <w:rPr>
                <w:sz w:val="20"/>
                <w:szCs w:val="20"/>
              </w:rPr>
            </w:pPr>
            <w:r w:rsidRPr="00672DBE">
              <w:rPr>
                <w:sz w:val="20"/>
                <w:szCs w:val="20"/>
              </w:rPr>
              <w:t>Yes</w:t>
            </w:r>
          </w:p>
        </w:tc>
        <w:tc>
          <w:tcPr>
            <w:tcW w:w="1843" w:type="dxa"/>
            <w:shd w:val="clear" w:color="auto" w:fill="auto"/>
          </w:tcPr>
          <w:p w14:paraId="1DC7EE12" w14:textId="77777777" w:rsidR="00EB2B55" w:rsidRPr="00672DBE" w:rsidRDefault="00EB2B55" w:rsidP="003414BB">
            <w:pPr>
              <w:jc w:val="center"/>
              <w:rPr>
                <w:sz w:val="20"/>
                <w:szCs w:val="20"/>
              </w:rPr>
            </w:pPr>
            <w:r w:rsidRPr="00672DBE">
              <w:rPr>
                <w:sz w:val="20"/>
                <w:szCs w:val="20"/>
              </w:rPr>
              <w:t>Yes</w:t>
            </w:r>
          </w:p>
        </w:tc>
        <w:tc>
          <w:tcPr>
            <w:tcW w:w="1560" w:type="dxa"/>
            <w:shd w:val="clear" w:color="auto" w:fill="auto"/>
          </w:tcPr>
          <w:p w14:paraId="1A04DEF1" w14:textId="77777777" w:rsidR="00EB2B55" w:rsidRPr="00672DBE" w:rsidRDefault="00EB2B55" w:rsidP="003414BB">
            <w:pPr>
              <w:jc w:val="center"/>
              <w:rPr>
                <w:sz w:val="20"/>
                <w:szCs w:val="20"/>
              </w:rPr>
            </w:pPr>
            <w:r w:rsidRPr="00672DBE">
              <w:rPr>
                <w:sz w:val="20"/>
                <w:szCs w:val="20"/>
              </w:rPr>
              <w:t>Yes</w:t>
            </w:r>
          </w:p>
        </w:tc>
        <w:tc>
          <w:tcPr>
            <w:tcW w:w="1417" w:type="dxa"/>
            <w:shd w:val="clear" w:color="auto" w:fill="auto"/>
          </w:tcPr>
          <w:p w14:paraId="47E97215" w14:textId="75CD418B" w:rsidR="00EB2B55" w:rsidRPr="00672DBE" w:rsidRDefault="00E71C5B" w:rsidP="003414BB">
            <w:pPr>
              <w:jc w:val="center"/>
              <w:rPr>
                <w:sz w:val="20"/>
                <w:szCs w:val="20"/>
              </w:rPr>
            </w:pPr>
            <w:r>
              <w:rPr>
                <w:sz w:val="20"/>
                <w:szCs w:val="20"/>
              </w:rPr>
              <w:t>Yes</w:t>
            </w:r>
          </w:p>
        </w:tc>
        <w:tc>
          <w:tcPr>
            <w:tcW w:w="1218" w:type="dxa"/>
            <w:shd w:val="clear" w:color="auto" w:fill="auto"/>
          </w:tcPr>
          <w:p w14:paraId="61CA61C0" w14:textId="5E5864CF" w:rsidR="00EB2B55" w:rsidRPr="00672DBE" w:rsidRDefault="00E71C5B" w:rsidP="003414BB">
            <w:pPr>
              <w:jc w:val="center"/>
              <w:rPr>
                <w:sz w:val="20"/>
                <w:szCs w:val="20"/>
              </w:rPr>
            </w:pPr>
            <w:r>
              <w:rPr>
                <w:sz w:val="20"/>
                <w:szCs w:val="20"/>
              </w:rPr>
              <w:t>8</w:t>
            </w:r>
            <w:r w:rsidR="00EB2B55" w:rsidRPr="00672DBE">
              <w:rPr>
                <w:sz w:val="20"/>
                <w:szCs w:val="20"/>
              </w:rPr>
              <w:t>/8</w:t>
            </w:r>
          </w:p>
        </w:tc>
      </w:tr>
      <w:tr w:rsidR="00AD5473" w:rsidRPr="00672DBE" w14:paraId="2AB12EDE" w14:textId="77777777" w:rsidTr="00AD5473">
        <w:tc>
          <w:tcPr>
            <w:tcW w:w="1387" w:type="dxa"/>
          </w:tcPr>
          <w:p w14:paraId="37D2595B" w14:textId="77777777" w:rsidR="00EB2B55" w:rsidRPr="00672DBE" w:rsidRDefault="00EB2B55" w:rsidP="003414BB">
            <w:pPr>
              <w:rPr>
                <w:sz w:val="20"/>
                <w:szCs w:val="20"/>
              </w:rPr>
            </w:pPr>
            <w:r w:rsidRPr="00672DBE">
              <w:rPr>
                <w:sz w:val="20"/>
                <w:szCs w:val="20"/>
              </w:rPr>
              <w:t>Ladhani et al. 2020</w:t>
            </w:r>
          </w:p>
        </w:tc>
        <w:tc>
          <w:tcPr>
            <w:tcW w:w="1297" w:type="dxa"/>
          </w:tcPr>
          <w:p w14:paraId="1BBAC610" w14:textId="77777777" w:rsidR="00EB2B55" w:rsidRPr="00672DBE" w:rsidRDefault="00EB2B55" w:rsidP="003414BB">
            <w:pPr>
              <w:jc w:val="center"/>
              <w:rPr>
                <w:sz w:val="20"/>
                <w:szCs w:val="20"/>
              </w:rPr>
            </w:pPr>
            <w:r w:rsidRPr="00672DBE">
              <w:rPr>
                <w:sz w:val="20"/>
                <w:szCs w:val="20"/>
              </w:rPr>
              <w:t>Yes</w:t>
            </w:r>
          </w:p>
        </w:tc>
        <w:tc>
          <w:tcPr>
            <w:tcW w:w="1422" w:type="dxa"/>
          </w:tcPr>
          <w:p w14:paraId="674D0AA8" w14:textId="77777777" w:rsidR="00EB2B55" w:rsidRPr="00672DBE" w:rsidRDefault="00EB2B55" w:rsidP="003414BB">
            <w:pPr>
              <w:jc w:val="center"/>
              <w:rPr>
                <w:sz w:val="20"/>
                <w:szCs w:val="20"/>
              </w:rPr>
            </w:pPr>
            <w:r w:rsidRPr="00672DBE">
              <w:rPr>
                <w:sz w:val="20"/>
                <w:szCs w:val="20"/>
              </w:rPr>
              <w:t>Yes</w:t>
            </w:r>
          </w:p>
        </w:tc>
        <w:tc>
          <w:tcPr>
            <w:tcW w:w="1559" w:type="dxa"/>
          </w:tcPr>
          <w:p w14:paraId="119ECDBD" w14:textId="77777777" w:rsidR="00EB2B55" w:rsidRPr="00672DBE" w:rsidRDefault="00EB2B55" w:rsidP="003414BB">
            <w:pPr>
              <w:jc w:val="center"/>
              <w:rPr>
                <w:sz w:val="20"/>
                <w:szCs w:val="20"/>
              </w:rPr>
            </w:pPr>
            <w:r w:rsidRPr="00672DBE">
              <w:rPr>
                <w:sz w:val="20"/>
                <w:szCs w:val="20"/>
              </w:rPr>
              <w:t>Yes</w:t>
            </w:r>
          </w:p>
        </w:tc>
        <w:tc>
          <w:tcPr>
            <w:tcW w:w="1701" w:type="dxa"/>
          </w:tcPr>
          <w:p w14:paraId="34234CCA" w14:textId="77777777" w:rsidR="0013098E" w:rsidRDefault="00EB2B55" w:rsidP="003414BB">
            <w:pPr>
              <w:jc w:val="center"/>
              <w:rPr>
                <w:sz w:val="20"/>
                <w:szCs w:val="20"/>
              </w:rPr>
            </w:pPr>
            <w:r w:rsidRPr="00672DBE">
              <w:rPr>
                <w:sz w:val="20"/>
                <w:szCs w:val="20"/>
              </w:rPr>
              <w:t>Yes</w:t>
            </w:r>
          </w:p>
          <w:p w14:paraId="1447850F" w14:textId="00204806" w:rsidR="00EB2B55" w:rsidRPr="00672DBE" w:rsidRDefault="00EB2B55" w:rsidP="003414BB">
            <w:pPr>
              <w:jc w:val="center"/>
              <w:rPr>
                <w:sz w:val="20"/>
                <w:szCs w:val="20"/>
              </w:rPr>
            </w:pPr>
            <w:r w:rsidRPr="00672DBE">
              <w:rPr>
                <w:sz w:val="20"/>
                <w:szCs w:val="20"/>
              </w:rPr>
              <w:t>(</w:t>
            </w:r>
            <w:r w:rsidR="0013098E">
              <w:rPr>
                <w:sz w:val="20"/>
                <w:szCs w:val="20"/>
              </w:rPr>
              <w:t xml:space="preserve">existing </w:t>
            </w:r>
            <w:r w:rsidRPr="00672DBE">
              <w:rPr>
                <w:sz w:val="20"/>
                <w:szCs w:val="20"/>
              </w:rPr>
              <w:t>database</w:t>
            </w:r>
            <w:r w:rsidR="0013098E">
              <w:rPr>
                <w:sz w:val="20"/>
                <w:szCs w:val="20"/>
              </w:rPr>
              <w:t>s</w:t>
            </w:r>
            <w:r w:rsidRPr="00672DBE">
              <w:rPr>
                <w:sz w:val="20"/>
                <w:szCs w:val="20"/>
              </w:rPr>
              <w:t>)</w:t>
            </w:r>
          </w:p>
        </w:tc>
        <w:tc>
          <w:tcPr>
            <w:tcW w:w="1843" w:type="dxa"/>
            <w:shd w:val="clear" w:color="auto" w:fill="auto"/>
          </w:tcPr>
          <w:p w14:paraId="16C8492C" w14:textId="77777777" w:rsidR="00EB2B55" w:rsidRPr="00672DBE" w:rsidRDefault="00EB2B55" w:rsidP="003414BB">
            <w:pPr>
              <w:jc w:val="center"/>
              <w:rPr>
                <w:sz w:val="20"/>
                <w:szCs w:val="20"/>
              </w:rPr>
            </w:pPr>
            <w:r w:rsidRPr="00672DBE">
              <w:rPr>
                <w:sz w:val="20"/>
                <w:szCs w:val="20"/>
              </w:rPr>
              <w:t>Yes</w:t>
            </w:r>
          </w:p>
        </w:tc>
        <w:tc>
          <w:tcPr>
            <w:tcW w:w="1843" w:type="dxa"/>
          </w:tcPr>
          <w:p w14:paraId="1CABE3B8" w14:textId="77777777" w:rsidR="00EB2B55" w:rsidRPr="00672DBE" w:rsidRDefault="00EB2B55" w:rsidP="003414BB">
            <w:pPr>
              <w:jc w:val="center"/>
              <w:rPr>
                <w:sz w:val="20"/>
                <w:szCs w:val="20"/>
              </w:rPr>
            </w:pPr>
            <w:r w:rsidRPr="00672DBE">
              <w:rPr>
                <w:sz w:val="20"/>
                <w:szCs w:val="20"/>
              </w:rPr>
              <w:t>Yes</w:t>
            </w:r>
          </w:p>
        </w:tc>
        <w:tc>
          <w:tcPr>
            <w:tcW w:w="1560" w:type="dxa"/>
          </w:tcPr>
          <w:p w14:paraId="094BCF4E" w14:textId="77777777" w:rsidR="00EB2B55" w:rsidRPr="00672DBE" w:rsidRDefault="00EB2B55" w:rsidP="003414BB">
            <w:pPr>
              <w:jc w:val="center"/>
              <w:rPr>
                <w:sz w:val="20"/>
                <w:szCs w:val="20"/>
              </w:rPr>
            </w:pPr>
            <w:r w:rsidRPr="00672DBE">
              <w:rPr>
                <w:sz w:val="20"/>
                <w:szCs w:val="20"/>
              </w:rPr>
              <w:t>Yes</w:t>
            </w:r>
          </w:p>
        </w:tc>
        <w:tc>
          <w:tcPr>
            <w:tcW w:w="1417" w:type="dxa"/>
          </w:tcPr>
          <w:p w14:paraId="3C5CA56C" w14:textId="77777777" w:rsidR="00EB2B55" w:rsidRPr="00672DBE" w:rsidRDefault="00EB2B55" w:rsidP="003414BB">
            <w:pPr>
              <w:jc w:val="center"/>
              <w:rPr>
                <w:sz w:val="20"/>
                <w:szCs w:val="20"/>
              </w:rPr>
            </w:pPr>
            <w:r w:rsidRPr="00672DBE">
              <w:rPr>
                <w:sz w:val="20"/>
                <w:szCs w:val="20"/>
              </w:rPr>
              <w:t>No</w:t>
            </w:r>
          </w:p>
        </w:tc>
        <w:tc>
          <w:tcPr>
            <w:tcW w:w="1218" w:type="dxa"/>
          </w:tcPr>
          <w:p w14:paraId="49430204" w14:textId="77777777" w:rsidR="00EB2B55" w:rsidRPr="00672DBE" w:rsidRDefault="00EB2B55" w:rsidP="003414BB">
            <w:pPr>
              <w:jc w:val="center"/>
              <w:rPr>
                <w:sz w:val="20"/>
                <w:szCs w:val="20"/>
              </w:rPr>
            </w:pPr>
            <w:r w:rsidRPr="00672DBE">
              <w:rPr>
                <w:sz w:val="20"/>
                <w:szCs w:val="20"/>
              </w:rPr>
              <w:t>7/8</w:t>
            </w:r>
          </w:p>
        </w:tc>
      </w:tr>
      <w:tr w:rsidR="00AD5473" w:rsidRPr="00672DBE" w14:paraId="0800D8C8" w14:textId="77777777" w:rsidTr="00AD5473">
        <w:tc>
          <w:tcPr>
            <w:tcW w:w="1387" w:type="dxa"/>
          </w:tcPr>
          <w:p w14:paraId="6A5FC533" w14:textId="77777777" w:rsidR="00EB2B55" w:rsidRPr="00672DBE" w:rsidRDefault="00EB2B55" w:rsidP="003414BB">
            <w:pPr>
              <w:rPr>
                <w:sz w:val="20"/>
                <w:szCs w:val="20"/>
              </w:rPr>
            </w:pPr>
            <w:r w:rsidRPr="00672DBE">
              <w:rPr>
                <w:sz w:val="20"/>
                <w:szCs w:val="20"/>
              </w:rPr>
              <w:t>Lee et al. 2019</w:t>
            </w:r>
          </w:p>
        </w:tc>
        <w:tc>
          <w:tcPr>
            <w:tcW w:w="1297" w:type="dxa"/>
          </w:tcPr>
          <w:p w14:paraId="771D2B76" w14:textId="77777777" w:rsidR="00EB2B55" w:rsidRPr="00672DBE" w:rsidRDefault="00EB2B55" w:rsidP="003414BB">
            <w:pPr>
              <w:jc w:val="center"/>
              <w:rPr>
                <w:sz w:val="20"/>
                <w:szCs w:val="20"/>
              </w:rPr>
            </w:pPr>
            <w:r w:rsidRPr="00672DBE">
              <w:rPr>
                <w:sz w:val="20"/>
                <w:szCs w:val="20"/>
              </w:rPr>
              <w:t>Yes</w:t>
            </w:r>
          </w:p>
        </w:tc>
        <w:tc>
          <w:tcPr>
            <w:tcW w:w="1422" w:type="dxa"/>
          </w:tcPr>
          <w:p w14:paraId="35194A53" w14:textId="77777777" w:rsidR="00EB2B55" w:rsidRPr="00672DBE" w:rsidRDefault="00EB2B55" w:rsidP="003414BB">
            <w:pPr>
              <w:jc w:val="center"/>
              <w:rPr>
                <w:sz w:val="20"/>
                <w:szCs w:val="20"/>
              </w:rPr>
            </w:pPr>
            <w:r w:rsidRPr="00672DBE">
              <w:rPr>
                <w:sz w:val="20"/>
                <w:szCs w:val="20"/>
              </w:rPr>
              <w:t>Yes</w:t>
            </w:r>
          </w:p>
        </w:tc>
        <w:tc>
          <w:tcPr>
            <w:tcW w:w="1559" w:type="dxa"/>
          </w:tcPr>
          <w:p w14:paraId="264520C1" w14:textId="77777777" w:rsidR="00EB2B55" w:rsidRPr="00672DBE" w:rsidRDefault="00EB2B55" w:rsidP="003414BB">
            <w:pPr>
              <w:jc w:val="center"/>
              <w:rPr>
                <w:sz w:val="20"/>
                <w:szCs w:val="20"/>
              </w:rPr>
            </w:pPr>
            <w:r w:rsidRPr="00672DBE">
              <w:rPr>
                <w:sz w:val="20"/>
                <w:szCs w:val="20"/>
              </w:rPr>
              <w:t>Yes</w:t>
            </w:r>
          </w:p>
        </w:tc>
        <w:tc>
          <w:tcPr>
            <w:tcW w:w="1701" w:type="dxa"/>
          </w:tcPr>
          <w:p w14:paraId="45065458" w14:textId="77777777" w:rsidR="00EB2B55" w:rsidRPr="00672DBE" w:rsidRDefault="00EB2B55" w:rsidP="003414BB">
            <w:pPr>
              <w:jc w:val="center"/>
              <w:rPr>
                <w:sz w:val="20"/>
                <w:szCs w:val="20"/>
              </w:rPr>
            </w:pPr>
            <w:r w:rsidRPr="00672DBE">
              <w:rPr>
                <w:sz w:val="20"/>
                <w:szCs w:val="20"/>
              </w:rPr>
              <w:t>Yes (registry)</w:t>
            </w:r>
          </w:p>
        </w:tc>
        <w:tc>
          <w:tcPr>
            <w:tcW w:w="1843" w:type="dxa"/>
            <w:shd w:val="clear" w:color="auto" w:fill="auto"/>
          </w:tcPr>
          <w:p w14:paraId="1EDE91B5" w14:textId="77777777" w:rsidR="00EB2B55" w:rsidRPr="00672DBE" w:rsidRDefault="00EB2B55" w:rsidP="003414BB">
            <w:pPr>
              <w:jc w:val="center"/>
              <w:rPr>
                <w:sz w:val="20"/>
                <w:szCs w:val="20"/>
              </w:rPr>
            </w:pPr>
            <w:r w:rsidRPr="00672DBE">
              <w:rPr>
                <w:sz w:val="20"/>
                <w:szCs w:val="20"/>
              </w:rPr>
              <w:t>Yes</w:t>
            </w:r>
          </w:p>
        </w:tc>
        <w:tc>
          <w:tcPr>
            <w:tcW w:w="1843" w:type="dxa"/>
          </w:tcPr>
          <w:p w14:paraId="5B888925" w14:textId="77777777" w:rsidR="00EB2B55" w:rsidRPr="00672DBE" w:rsidRDefault="00EB2B55" w:rsidP="003414BB">
            <w:pPr>
              <w:jc w:val="center"/>
              <w:rPr>
                <w:sz w:val="20"/>
                <w:szCs w:val="20"/>
              </w:rPr>
            </w:pPr>
            <w:r w:rsidRPr="00672DBE">
              <w:rPr>
                <w:sz w:val="20"/>
                <w:szCs w:val="20"/>
              </w:rPr>
              <w:t>Yes</w:t>
            </w:r>
          </w:p>
        </w:tc>
        <w:tc>
          <w:tcPr>
            <w:tcW w:w="1560" w:type="dxa"/>
          </w:tcPr>
          <w:p w14:paraId="200239B8" w14:textId="77777777" w:rsidR="00EB2B55" w:rsidRPr="00672DBE" w:rsidRDefault="00EB2B55" w:rsidP="003414BB">
            <w:pPr>
              <w:jc w:val="center"/>
              <w:rPr>
                <w:sz w:val="20"/>
                <w:szCs w:val="20"/>
              </w:rPr>
            </w:pPr>
            <w:r w:rsidRPr="00672DBE">
              <w:rPr>
                <w:sz w:val="20"/>
                <w:szCs w:val="20"/>
              </w:rPr>
              <w:t>Yes</w:t>
            </w:r>
          </w:p>
        </w:tc>
        <w:tc>
          <w:tcPr>
            <w:tcW w:w="1417" w:type="dxa"/>
          </w:tcPr>
          <w:p w14:paraId="106D0331" w14:textId="7177B417" w:rsidR="00EB2B55" w:rsidRPr="00672DBE" w:rsidRDefault="0013098E" w:rsidP="003414BB">
            <w:pPr>
              <w:jc w:val="center"/>
              <w:rPr>
                <w:sz w:val="20"/>
                <w:szCs w:val="20"/>
              </w:rPr>
            </w:pPr>
            <w:r>
              <w:rPr>
                <w:sz w:val="20"/>
                <w:szCs w:val="20"/>
              </w:rPr>
              <w:t>Yes</w:t>
            </w:r>
          </w:p>
        </w:tc>
        <w:tc>
          <w:tcPr>
            <w:tcW w:w="1218" w:type="dxa"/>
          </w:tcPr>
          <w:p w14:paraId="41201CE2" w14:textId="1844D31E" w:rsidR="00EB2B55" w:rsidRPr="00672DBE" w:rsidRDefault="0013098E" w:rsidP="003414BB">
            <w:pPr>
              <w:jc w:val="center"/>
              <w:rPr>
                <w:sz w:val="20"/>
                <w:szCs w:val="20"/>
              </w:rPr>
            </w:pPr>
            <w:r>
              <w:rPr>
                <w:sz w:val="20"/>
                <w:szCs w:val="20"/>
              </w:rPr>
              <w:t>8</w:t>
            </w:r>
            <w:r w:rsidR="00EB2B55" w:rsidRPr="00672DBE">
              <w:rPr>
                <w:sz w:val="20"/>
                <w:szCs w:val="20"/>
              </w:rPr>
              <w:t>/8</w:t>
            </w:r>
          </w:p>
        </w:tc>
      </w:tr>
      <w:tr w:rsidR="00AD5473" w:rsidRPr="00672DBE" w14:paraId="47BA5F35" w14:textId="77777777" w:rsidTr="00AD5473">
        <w:tc>
          <w:tcPr>
            <w:tcW w:w="1387" w:type="dxa"/>
          </w:tcPr>
          <w:p w14:paraId="2389197F" w14:textId="112D52C7" w:rsidR="00EB2B55" w:rsidRPr="00672DBE" w:rsidRDefault="00EB2B55" w:rsidP="003414BB">
            <w:pPr>
              <w:rPr>
                <w:sz w:val="20"/>
                <w:szCs w:val="20"/>
              </w:rPr>
            </w:pPr>
            <w:r w:rsidRPr="00672DBE">
              <w:rPr>
                <w:sz w:val="20"/>
                <w:szCs w:val="20"/>
              </w:rPr>
              <w:t xml:space="preserve">Looi et al. </w:t>
            </w:r>
            <w:r w:rsidR="00927242" w:rsidRPr="00672DBE">
              <w:rPr>
                <w:sz w:val="20"/>
                <w:szCs w:val="20"/>
              </w:rPr>
              <w:t>201</w:t>
            </w:r>
            <w:r w:rsidR="00927242">
              <w:rPr>
                <w:sz w:val="20"/>
                <w:szCs w:val="20"/>
              </w:rPr>
              <w:t>8</w:t>
            </w:r>
          </w:p>
        </w:tc>
        <w:tc>
          <w:tcPr>
            <w:tcW w:w="1297" w:type="dxa"/>
          </w:tcPr>
          <w:p w14:paraId="5DA3D063" w14:textId="77777777" w:rsidR="00EB2B55" w:rsidRPr="00672DBE" w:rsidRDefault="00EB2B55" w:rsidP="003414BB">
            <w:pPr>
              <w:jc w:val="center"/>
              <w:rPr>
                <w:sz w:val="20"/>
                <w:szCs w:val="20"/>
              </w:rPr>
            </w:pPr>
            <w:r w:rsidRPr="00672DBE">
              <w:rPr>
                <w:sz w:val="20"/>
                <w:szCs w:val="20"/>
              </w:rPr>
              <w:t>Yes</w:t>
            </w:r>
          </w:p>
        </w:tc>
        <w:tc>
          <w:tcPr>
            <w:tcW w:w="1422" w:type="dxa"/>
          </w:tcPr>
          <w:p w14:paraId="707E4918" w14:textId="77777777" w:rsidR="00EB2B55" w:rsidRPr="00672DBE" w:rsidRDefault="00EB2B55" w:rsidP="003414BB">
            <w:pPr>
              <w:jc w:val="center"/>
              <w:rPr>
                <w:sz w:val="20"/>
                <w:szCs w:val="20"/>
              </w:rPr>
            </w:pPr>
            <w:r w:rsidRPr="00672DBE">
              <w:rPr>
                <w:sz w:val="20"/>
                <w:szCs w:val="20"/>
              </w:rPr>
              <w:t>Yes</w:t>
            </w:r>
          </w:p>
        </w:tc>
        <w:tc>
          <w:tcPr>
            <w:tcW w:w="1559" w:type="dxa"/>
          </w:tcPr>
          <w:p w14:paraId="37C70379" w14:textId="77777777" w:rsidR="00EB2B55" w:rsidRPr="00672DBE" w:rsidRDefault="00EB2B55" w:rsidP="003414BB">
            <w:pPr>
              <w:jc w:val="center"/>
              <w:rPr>
                <w:sz w:val="20"/>
                <w:szCs w:val="20"/>
              </w:rPr>
            </w:pPr>
            <w:r w:rsidRPr="00672DBE">
              <w:rPr>
                <w:sz w:val="20"/>
                <w:szCs w:val="20"/>
              </w:rPr>
              <w:t>Yes</w:t>
            </w:r>
          </w:p>
        </w:tc>
        <w:tc>
          <w:tcPr>
            <w:tcW w:w="1701" w:type="dxa"/>
          </w:tcPr>
          <w:p w14:paraId="02D7C09A" w14:textId="77777777" w:rsidR="00E05567" w:rsidRDefault="00EB2B55" w:rsidP="003414BB">
            <w:pPr>
              <w:jc w:val="center"/>
              <w:rPr>
                <w:sz w:val="20"/>
                <w:szCs w:val="20"/>
              </w:rPr>
            </w:pPr>
            <w:r w:rsidRPr="00672DBE">
              <w:rPr>
                <w:sz w:val="20"/>
                <w:szCs w:val="20"/>
              </w:rPr>
              <w:t>Yes</w:t>
            </w:r>
          </w:p>
          <w:p w14:paraId="68DD0635" w14:textId="6B52CE27" w:rsidR="00EB2B55" w:rsidRPr="00672DBE" w:rsidRDefault="00EB2B55" w:rsidP="003414BB">
            <w:pPr>
              <w:jc w:val="center"/>
              <w:rPr>
                <w:sz w:val="20"/>
                <w:szCs w:val="20"/>
              </w:rPr>
            </w:pPr>
            <w:r w:rsidRPr="00672DBE">
              <w:rPr>
                <w:sz w:val="20"/>
                <w:szCs w:val="20"/>
              </w:rPr>
              <w:t>(hosp</w:t>
            </w:r>
            <w:r w:rsidR="00E05567">
              <w:rPr>
                <w:sz w:val="20"/>
                <w:szCs w:val="20"/>
              </w:rPr>
              <w:t>ital</w:t>
            </w:r>
            <w:r w:rsidR="00E05567" w:rsidRPr="00672DBE">
              <w:rPr>
                <w:sz w:val="20"/>
                <w:szCs w:val="20"/>
              </w:rPr>
              <w:t xml:space="preserve"> </w:t>
            </w:r>
            <w:r w:rsidRPr="00672DBE">
              <w:rPr>
                <w:sz w:val="20"/>
                <w:szCs w:val="20"/>
              </w:rPr>
              <w:t>record</w:t>
            </w:r>
            <w:r w:rsidR="00E05567">
              <w:rPr>
                <w:sz w:val="20"/>
                <w:szCs w:val="20"/>
              </w:rPr>
              <w:t>s</w:t>
            </w:r>
            <w:r w:rsidRPr="00672DBE">
              <w:rPr>
                <w:sz w:val="20"/>
                <w:szCs w:val="20"/>
              </w:rPr>
              <w:t>)</w:t>
            </w:r>
          </w:p>
        </w:tc>
        <w:tc>
          <w:tcPr>
            <w:tcW w:w="1843" w:type="dxa"/>
            <w:shd w:val="clear" w:color="auto" w:fill="auto"/>
          </w:tcPr>
          <w:p w14:paraId="02440383" w14:textId="77777777" w:rsidR="00EB2B55" w:rsidRPr="00672DBE" w:rsidRDefault="00EB2B55" w:rsidP="003414BB">
            <w:pPr>
              <w:jc w:val="center"/>
              <w:rPr>
                <w:sz w:val="20"/>
                <w:szCs w:val="20"/>
              </w:rPr>
            </w:pPr>
            <w:r w:rsidRPr="00672DBE">
              <w:rPr>
                <w:sz w:val="20"/>
                <w:szCs w:val="20"/>
              </w:rPr>
              <w:t>Yes</w:t>
            </w:r>
          </w:p>
        </w:tc>
        <w:tc>
          <w:tcPr>
            <w:tcW w:w="1843" w:type="dxa"/>
          </w:tcPr>
          <w:p w14:paraId="06476D6B" w14:textId="77777777" w:rsidR="00EB2B55" w:rsidRPr="00672DBE" w:rsidRDefault="00EB2B55" w:rsidP="003414BB">
            <w:pPr>
              <w:jc w:val="center"/>
              <w:rPr>
                <w:sz w:val="20"/>
                <w:szCs w:val="20"/>
              </w:rPr>
            </w:pPr>
            <w:r w:rsidRPr="00672DBE">
              <w:rPr>
                <w:sz w:val="20"/>
                <w:szCs w:val="20"/>
              </w:rPr>
              <w:t>Yes</w:t>
            </w:r>
          </w:p>
        </w:tc>
        <w:tc>
          <w:tcPr>
            <w:tcW w:w="1560" w:type="dxa"/>
          </w:tcPr>
          <w:p w14:paraId="7D3D5785" w14:textId="77777777" w:rsidR="00EB2B55" w:rsidRPr="00672DBE" w:rsidRDefault="00EB2B55" w:rsidP="003414BB">
            <w:pPr>
              <w:jc w:val="center"/>
              <w:rPr>
                <w:sz w:val="20"/>
                <w:szCs w:val="20"/>
              </w:rPr>
            </w:pPr>
            <w:r w:rsidRPr="00672DBE">
              <w:rPr>
                <w:sz w:val="20"/>
                <w:szCs w:val="20"/>
              </w:rPr>
              <w:t>Yes</w:t>
            </w:r>
          </w:p>
        </w:tc>
        <w:tc>
          <w:tcPr>
            <w:tcW w:w="1417" w:type="dxa"/>
          </w:tcPr>
          <w:p w14:paraId="35537C3F" w14:textId="77777777" w:rsidR="00EB2B55" w:rsidRPr="00672DBE" w:rsidRDefault="00EB2B55" w:rsidP="003414BB">
            <w:pPr>
              <w:jc w:val="center"/>
              <w:rPr>
                <w:sz w:val="20"/>
                <w:szCs w:val="20"/>
              </w:rPr>
            </w:pPr>
            <w:r w:rsidRPr="00672DBE">
              <w:rPr>
                <w:sz w:val="20"/>
                <w:szCs w:val="20"/>
              </w:rPr>
              <w:t>No</w:t>
            </w:r>
          </w:p>
        </w:tc>
        <w:tc>
          <w:tcPr>
            <w:tcW w:w="1218" w:type="dxa"/>
          </w:tcPr>
          <w:p w14:paraId="5ED26004" w14:textId="77777777" w:rsidR="00EB2B55" w:rsidRPr="00672DBE" w:rsidRDefault="00EB2B55" w:rsidP="003414BB">
            <w:pPr>
              <w:jc w:val="center"/>
              <w:rPr>
                <w:sz w:val="20"/>
                <w:szCs w:val="20"/>
              </w:rPr>
            </w:pPr>
            <w:r w:rsidRPr="00672DBE">
              <w:rPr>
                <w:sz w:val="20"/>
                <w:szCs w:val="20"/>
              </w:rPr>
              <w:t>7/8</w:t>
            </w:r>
          </w:p>
        </w:tc>
      </w:tr>
      <w:tr w:rsidR="003C3D42" w:rsidRPr="00672DBE" w14:paraId="42E7B0D1" w14:textId="77777777" w:rsidTr="00AD5473">
        <w:tc>
          <w:tcPr>
            <w:tcW w:w="1387" w:type="dxa"/>
          </w:tcPr>
          <w:p w14:paraId="55D8FCAC" w14:textId="1DBDBC0A" w:rsidR="003C3D42" w:rsidRPr="003C3D42" w:rsidRDefault="003C3D42" w:rsidP="003C3D42">
            <w:pPr>
              <w:rPr>
                <w:sz w:val="20"/>
                <w:szCs w:val="20"/>
              </w:rPr>
            </w:pPr>
            <w:r w:rsidRPr="003C3D42">
              <w:rPr>
                <w:sz w:val="20"/>
                <w:szCs w:val="20"/>
              </w:rPr>
              <w:t>McBride et al. 2022</w:t>
            </w:r>
          </w:p>
        </w:tc>
        <w:tc>
          <w:tcPr>
            <w:tcW w:w="1297" w:type="dxa"/>
          </w:tcPr>
          <w:p w14:paraId="00622609" w14:textId="3F6D25DE" w:rsidR="003C3D42" w:rsidRPr="003C3D42" w:rsidRDefault="003C3D42" w:rsidP="003C3D42">
            <w:pPr>
              <w:jc w:val="center"/>
              <w:rPr>
                <w:sz w:val="20"/>
                <w:szCs w:val="20"/>
              </w:rPr>
            </w:pPr>
            <w:r w:rsidRPr="003C3D42">
              <w:rPr>
                <w:sz w:val="20"/>
                <w:szCs w:val="20"/>
              </w:rPr>
              <w:t>Yes</w:t>
            </w:r>
          </w:p>
        </w:tc>
        <w:tc>
          <w:tcPr>
            <w:tcW w:w="1422" w:type="dxa"/>
          </w:tcPr>
          <w:p w14:paraId="5059C8B0" w14:textId="2ADF00B5" w:rsidR="003C3D42" w:rsidRPr="003C3D42" w:rsidRDefault="003C3D42" w:rsidP="003C3D42">
            <w:pPr>
              <w:jc w:val="center"/>
              <w:rPr>
                <w:sz w:val="20"/>
                <w:szCs w:val="20"/>
              </w:rPr>
            </w:pPr>
            <w:r>
              <w:rPr>
                <w:sz w:val="20"/>
                <w:szCs w:val="20"/>
              </w:rPr>
              <w:t>NA (review)</w:t>
            </w:r>
          </w:p>
        </w:tc>
        <w:tc>
          <w:tcPr>
            <w:tcW w:w="1559" w:type="dxa"/>
          </w:tcPr>
          <w:p w14:paraId="1F74E23B" w14:textId="3FE9DFA7" w:rsidR="003C3D42" w:rsidRPr="003C3D42" w:rsidRDefault="003C3D42" w:rsidP="003C3D42">
            <w:pPr>
              <w:jc w:val="center"/>
              <w:rPr>
                <w:sz w:val="20"/>
                <w:szCs w:val="20"/>
              </w:rPr>
            </w:pPr>
            <w:r w:rsidRPr="003C3D42">
              <w:rPr>
                <w:sz w:val="20"/>
                <w:szCs w:val="20"/>
              </w:rPr>
              <w:t>Yes</w:t>
            </w:r>
          </w:p>
        </w:tc>
        <w:tc>
          <w:tcPr>
            <w:tcW w:w="1701" w:type="dxa"/>
          </w:tcPr>
          <w:p w14:paraId="6217AE93" w14:textId="3001BBD2" w:rsidR="003C3D42" w:rsidRPr="003C3D42" w:rsidRDefault="003C3D42" w:rsidP="003C3D42">
            <w:pPr>
              <w:jc w:val="center"/>
              <w:rPr>
                <w:sz w:val="20"/>
                <w:szCs w:val="20"/>
              </w:rPr>
            </w:pPr>
            <w:r>
              <w:rPr>
                <w:sz w:val="20"/>
                <w:szCs w:val="20"/>
              </w:rPr>
              <w:t>No</w:t>
            </w:r>
          </w:p>
        </w:tc>
        <w:tc>
          <w:tcPr>
            <w:tcW w:w="1843" w:type="dxa"/>
            <w:shd w:val="clear" w:color="auto" w:fill="auto"/>
          </w:tcPr>
          <w:p w14:paraId="41911FA2" w14:textId="4E88995E" w:rsidR="003C3D42" w:rsidRPr="003C3D42" w:rsidRDefault="003C3D42" w:rsidP="003C3D42">
            <w:pPr>
              <w:jc w:val="center"/>
              <w:rPr>
                <w:sz w:val="20"/>
                <w:szCs w:val="20"/>
              </w:rPr>
            </w:pPr>
            <w:r w:rsidRPr="003C3D42">
              <w:rPr>
                <w:sz w:val="20"/>
                <w:szCs w:val="20"/>
              </w:rPr>
              <w:t>Yes</w:t>
            </w:r>
          </w:p>
        </w:tc>
        <w:tc>
          <w:tcPr>
            <w:tcW w:w="1843" w:type="dxa"/>
          </w:tcPr>
          <w:p w14:paraId="777768B5" w14:textId="69707E18" w:rsidR="003C3D42" w:rsidRPr="003C3D42" w:rsidRDefault="003C3D42" w:rsidP="003C3D42">
            <w:pPr>
              <w:jc w:val="center"/>
              <w:rPr>
                <w:sz w:val="20"/>
                <w:szCs w:val="20"/>
              </w:rPr>
            </w:pPr>
            <w:r w:rsidRPr="003C3D42">
              <w:rPr>
                <w:sz w:val="20"/>
                <w:szCs w:val="20"/>
              </w:rPr>
              <w:t>Yes</w:t>
            </w:r>
          </w:p>
        </w:tc>
        <w:tc>
          <w:tcPr>
            <w:tcW w:w="1560" w:type="dxa"/>
          </w:tcPr>
          <w:p w14:paraId="3AF8E64F" w14:textId="1BA23B7C" w:rsidR="003C3D42" w:rsidRPr="003C3D42" w:rsidRDefault="003C3D42" w:rsidP="003C3D42">
            <w:pPr>
              <w:jc w:val="center"/>
              <w:rPr>
                <w:sz w:val="20"/>
                <w:szCs w:val="20"/>
              </w:rPr>
            </w:pPr>
            <w:r w:rsidRPr="003C3D42">
              <w:rPr>
                <w:sz w:val="20"/>
                <w:szCs w:val="20"/>
              </w:rPr>
              <w:t>Yes</w:t>
            </w:r>
          </w:p>
        </w:tc>
        <w:tc>
          <w:tcPr>
            <w:tcW w:w="1417" w:type="dxa"/>
          </w:tcPr>
          <w:p w14:paraId="79A83698" w14:textId="39D0B294" w:rsidR="003C3D42" w:rsidRPr="003C3D42" w:rsidRDefault="003C3D42" w:rsidP="003C3D42">
            <w:pPr>
              <w:jc w:val="center"/>
              <w:rPr>
                <w:sz w:val="20"/>
                <w:szCs w:val="20"/>
              </w:rPr>
            </w:pPr>
            <w:r w:rsidRPr="003C3D42">
              <w:rPr>
                <w:sz w:val="20"/>
                <w:szCs w:val="20"/>
              </w:rPr>
              <w:t>No</w:t>
            </w:r>
          </w:p>
        </w:tc>
        <w:tc>
          <w:tcPr>
            <w:tcW w:w="1218" w:type="dxa"/>
          </w:tcPr>
          <w:p w14:paraId="45435383" w14:textId="36C79771" w:rsidR="003C3D42" w:rsidRPr="003C3D42" w:rsidRDefault="003C3D42" w:rsidP="003C3D42">
            <w:pPr>
              <w:jc w:val="center"/>
              <w:rPr>
                <w:sz w:val="20"/>
                <w:szCs w:val="20"/>
              </w:rPr>
            </w:pPr>
            <w:r>
              <w:rPr>
                <w:sz w:val="20"/>
                <w:szCs w:val="20"/>
              </w:rPr>
              <w:t>5</w:t>
            </w:r>
          </w:p>
        </w:tc>
      </w:tr>
      <w:tr w:rsidR="00AD5473" w:rsidRPr="00672DBE" w14:paraId="099877F0" w14:textId="77777777" w:rsidTr="00AD5473">
        <w:tc>
          <w:tcPr>
            <w:tcW w:w="1387" w:type="dxa"/>
          </w:tcPr>
          <w:p w14:paraId="53E3415B" w14:textId="77777777" w:rsidR="00EB2B55" w:rsidRPr="00672DBE" w:rsidRDefault="00EB2B55" w:rsidP="003414BB">
            <w:pPr>
              <w:rPr>
                <w:sz w:val="20"/>
                <w:szCs w:val="20"/>
              </w:rPr>
            </w:pPr>
            <w:proofErr w:type="spellStart"/>
            <w:r w:rsidRPr="00672DBE">
              <w:rPr>
                <w:sz w:val="20"/>
                <w:szCs w:val="20"/>
              </w:rPr>
              <w:t>Mnatzagnian</w:t>
            </w:r>
            <w:proofErr w:type="spellEnd"/>
            <w:r w:rsidRPr="00672DBE">
              <w:rPr>
                <w:sz w:val="20"/>
                <w:szCs w:val="20"/>
              </w:rPr>
              <w:t xml:space="preserve"> et al. 2016</w:t>
            </w:r>
          </w:p>
        </w:tc>
        <w:tc>
          <w:tcPr>
            <w:tcW w:w="1297" w:type="dxa"/>
          </w:tcPr>
          <w:p w14:paraId="504F1660" w14:textId="77777777" w:rsidR="00EB2B55" w:rsidRPr="00672DBE" w:rsidRDefault="00EB2B55" w:rsidP="003414BB">
            <w:pPr>
              <w:jc w:val="center"/>
              <w:rPr>
                <w:sz w:val="20"/>
                <w:szCs w:val="20"/>
              </w:rPr>
            </w:pPr>
            <w:r w:rsidRPr="00672DBE">
              <w:rPr>
                <w:sz w:val="20"/>
                <w:szCs w:val="20"/>
              </w:rPr>
              <w:t>Yes</w:t>
            </w:r>
          </w:p>
        </w:tc>
        <w:tc>
          <w:tcPr>
            <w:tcW w:w="1422" w:type="dxa"/>
          </w:tcPr>
          <w:p w14:paraId="051A444F" w14:textId="77777777" w:rsidR="00EB2B55" w:rsidRPr="00672DBE" w:rsidRDefault="00EB2B55" w:rsidP="003414BB">
            <w:pPr>
              <w:jc w:val="center"/>
              <w:rPr>
                <w:sz w:val="20"/>
                <w:szCs w:val="20"/>
              </w:rPr>
            </w:pPr>
            <w:r w:rsidRPr="00672DBE">
              <w:rPr>
                <w:sz w:val="20"/>
                <w:szCs w:val="20"/>
              </w:rPr>
              <w:t>Yes</w:t>
            </w:r>
          </w:p>
        </w:tc>
        <w:tc>
          <w:tcPr>
            <w:tcW w:w="1559" w:type="dxa"/>
          </w:tcPr>
          <w:p w14:paraId="5BBB3F99" w14:textId="77777777" w:rsidR="00EB2B55" w:rsidRPr="00672DBE" w:rsidRDefault="00EB2B55" w:rsidP="003414BB">
            <w:pPr>
              <w:jc w:val="center"/>
              <w:rPr>
                <w:sz w:val="20"/>
                <w:szCs w:val="20"/>
              </w:rPr>
            </w:pPr>
            <w:r w:rsidRPr="00672DBE">
              <w:rPr>
                <w:sz w:val="20"/>
                <w:szCs w:val="20"/>
              </w:rPr>
              <w:t>Yes</w:t>
            </w:r>
          </w:p>
        </w:tc>
        <w:tc>
          <w:tcPr>
            <w:tcW w:w="1701" w:type="dxa"/>
          </w:tcPr>
          <w:p w14:paraId="0A40E740" w14:textId="77777777" w:rsidR="00E05567" w:rsidRDefault="00EB2B55" w:rsidP="003414BB">
            <w:pPr>
              <w:jc w:val="center"/>
              <w:rPr>
                <w:sz w:val="20"/>
                <w:szCs w:val="20"/>
              </w:rPr>
            </w:pPr>
            <w:r w:rsidRPr="00672DBE">
              <w:rPr>
                <w:sz w:val="20"/>
                <w:szCs w:val="20"/>
              </w:rPr>
              <w:t>Yes</w:t>
            </w:r>
          </w:p>
          <w:p w14:paraId="3983B390" w14:textId="521AE6EB" w:rsidR="00EB2B55" w:rsidRPr="00672DBE" w:rsidRDefault="00EB2B55" w:rsidP="003414BB">
            <w:pPr>
              <w:jc w:val="center"/>
              <w:rPr>
                <w:sz w:val="20"/>
                <w:szCs w:val="20"/>
              </w:rPr>
            </w:pPr>
            <w:r w:rsidRPr="00672DBE">
              <w:rPr>
                <w:sz w:val="20"/>
                <w:szCs w:val="20"/>
              </w:rPr>
              <w:t>(hosp</w:t>
            </w:r>
            <w:r w:rsidR="00E05567">
              <w:rPr>
                <w:sz w:val="20"/>
                <w:szCs w:val="20"/>
              </w:rPr>
              <w:t>ital</w:t>
            </w:r>
            <w:r w:rsidR="00E05567" w:rsidRPr="00672DBE">
              <w:rPr>
                <w:sz w:val="20"/>
                <w:szCs w:val="20"/>
              </w:rPr>
              <w:t xml:space="preserve"> </w:t>
            </w:r>
            <w:r w:rsidRPr="00672DBE">
              <w:rPr>
                <w:sz w:val="20"/>
                <w:szCs w:val="20"/>
              </w:rPr>
              <w:t>record</w:t>
            </w:r>
            <w:r w:rsidR="00E05567">
              <w:rPr>
                <w:sz w:val="20"/>
                <w:szCs w:val="20"/>
              </w:rPr>
              <w:t>s</w:t>
            </w:r>
            <w:r w:rsidRPr="00672DBE">
              <w:rPr>
                <w:sz w:val="20"/>
                <w:szCs w:val="20"/>
              </w:rPr>
              <w:t>)</w:t>
            </w:r>
          </w:p>
        </w:tc>
        <w:tc>
          <w:tcPr>
            <w:tcW w:w="1843" w:type="dxa"/>
            <w:shd w:val="clear" w:color="auto" w:fill="auto"/>
          </w:tcPr>
          <w:p w14:paraId="0C8C7322" w14:textId="77777777" w:rsidR="00EB2B55" w:rsidRPr="00672DBE" w:rsidRDefault="00EB2B55" w:rsidP="003414BB">
            <w:pPr>
              <w:jc w:val="center"/>
              <w:rPr>
                <w:sz w:val="20"/>
                <w:szCs w:val="20"/>
              </w:rPr>
            </w:pPr>
            <w:r w:rsidRPr="00672DBE">
              <w:rPr>
                <w:sz w:val="20"/>
                <w:szCs w:val="20"/>
              </w:rPr>
              <w:t>Yes</w:t>
            </w:r>
          </w:p>
        </w:tc>
        <w:tc>
          <w:tcPr>
            <w:tcW w:w="1843" w:type="dxa"/>
          </w:tcPr>
          <w:p w14:paraId="03298E56" w14:textId="77777777" w:rsidR="00EB2B55" w:rsidRPr="00672DBE" w:rsidRDefault="00EB2B55" w:rsidP="003414BB">
            <w:pPr>
              <w:jc w:val="center"/>
              <w:rPr>
                <w:sz w:val="20"/>
                <w:szCs w:val="20"/>
              </w:rPr>
            </w:pPr>
            <w:r w:rsidRPr="00672DBE">
              <w:rPr>
                <w:sz w:val="20"/>
                <w:szCs w:val="20"/>
              </w:rPr>
              <w:t>Yes</w:t>
            </w:r>
          </w:p>
        </w:tc>
        <w:tc>
          <w:tcPr>
            <w:tcW w:w="1560" w:type="dxa"/>
          </w:tcPr>
          <w:p w14:paraId="6C462872" w14:textId="77777777" w:rsidR="00EB2B55" w:rsidRPr="00672DBE" w:rsidRDefault="00EB2B55" w:rsidP="003414BB">
            <w:pPr>
              <w:jc w:val="center"/>
              <w:rPr>
                <w:sz w:val="20"/>
                <w:szCs w:val="20"/>
              </w:rPr>
            </w:pPr>
            <w:r w:rsidRPr="00672DBE">
              <w:rPr>
                <w:sz w:val="20"/>
                <w:szCs w:val="20"/>
              </w:rPr>
              <w:t>Yes</w:t>
            </w:r>
          </w:p>
        </w:tc>
        <w:tc>
          <w:tcPr>
            <w:tcW w:w="1417" w:type="dxa"/>
          </w:tcPr>
          <w:p w14:paraId="5A8A87E3" w14:textId="6D199DA2" w:rsidR="00EB2B55" w:rsidRPr="00672DBE" w:rsidRDefault="00E05567" w:rsidP="003414BB">
            <w:pPr>
              <w:jc w:val="center"/>
              <w:rPr>
                <w:sz w:val="20"/>
                <w:szCs w:val="20"/>
              </w:rPr>
            </w:pPr>
            <w:r>
              <w:rPr>
                <w:sz w:val="20"/>
                <w:szCs w:val="20"/>
              </w:rPr>
              <w:t>No</w:t>
            </w:r>
          </w:p>
        </w:tc>
        <w:tc>
          <w:tcPr>
            <w:tcW w:w="1218" w:type="dxa"/>
          </w:tcPr>
          <w:p w14:paraId="0F8C0495" w14:textId="0AC14F02" w:rsidR="00EB2B55" w:rsidRPr="00672DBE" w:rsidRDefault="00E05567" w:rsidP="003414BB">
            <w:pPr>
              <w:jc w:val="center"/>
              <w:rPr>
                <w:sz w:val="20"/>
                <w:szCs w:val="20"/>
              </w:rPr>
            </w:pPr>
            <w:r>
              <w:rPr>
                <w:sz w:val="20"/>
                <w:szCs w:val="20"/>
              </w:rPr>
              <w:t>7</w:t>
            </w:r>
            <w:r w:rsidR="00EB2B55" w:rsidRPr="00672DBE">
              <w:rPr>
                <w:sz w:val="20"/>
                <w:szCs w:val="20"/>
              </w:rPr>
              <w:t>/8</w:t>
            </w:r>
          </w:p>
        </w:tc>
      </w:tr>
      <w:tr w:rsidR="00AD5473" w:rsidRPr="00672DBE" w14:paraId="75E184FC" w14:textId="77777777" w:rsidTr="00AD5473">
        <w:tc>
          <w:tcPr>
            <w:tcW w:w="1387" w:type="dxa"/>
          </w:tcPr>
          <w:p w14:paraId="393DE151" w14:textId="77777777" w:rsidR="00EB2B55" w:rsidRPr="00672DBE" w:rsidRDefault="00EB2B55" w:rsidP="003414BB">
            <w:pPr>
              <w:rPr>
                <w:sz w:val="20"/>
                <w:szCs w:val="20"/>
              </w:rPr>
            </w:pPr>
            <w:proofErr w:type="spellStart"/>
            <w:r w:rsidRPr="00672DBE">
              <w:rPr>
                <w:sz w:val="20"/>
                <w:szCs w:val="20"/>
              </w:rPr>
              <w:t>Mnatzagnian</w:t>
            </w:r>
            <w:proofErr w:type="spellEnd"/>
            <w:r w:rsidRPr="00672DBE">
              <w:rPr>
                <w:sz w:val="20"/>
                <w:szCs w:val="20"/>
              </w:rPr>
              <w:t xml:space="preserve"> et al. 2019</w:t>
            </w:r>
          </w:p>
        </w:tc>
        <w:tc>
          <w:tcPr>
            <w:tcW w:w="1297" w:type="dxa"/>
          </w:tcPr>
          <w:p w14:paraId="15F9C3EF" w14:textId="77777777" w:rsidR="00EB2B55" w:rsidRPr="00672DBE" w:rsidRDefault="00EB2B55" w:rsidP="003414BB">
            <w:pPr>
              <w:jc w:val="center"/>
              <w:rPr>
                <w:sz w:val="20"/>
                <w:szCs w:val="20"/>
              </w:rPr>
            </w:pPr>
            <w:r w:rsidRPr="00672DBE">
              <w:rPr>
                <w:sz w:val="20"/>
                <w:szCs w:val="20"/>
              </w:rPr>
              <w:t>Yes</w:t>
            </w:r>
          </w:p>
        </w:tc>
        <w:tc>
          <w:tcPr>
            <w:tcW w:w="1422" w:type="dxa"/>
          </w:tcPr>
          <w:p w14:paraId="29DE63B2" w14:textId="77777777" w:rsidR="00EB2B55" w:rsidRPr="00672DBE" w:rsidRDefault="00EB2B55" w:rsidP="003414BB">
            <w:pPr>
              <w:jc w:val="center"/>
              <w:rPr>
                <w:sz w:val="20"/>
                <w:szCs w:val="20"/>
              </w:rPr>
            </w:pPr>
            <w:r w:rsidRPr="00672DBE">
              <w:rPr>
                <w:sz w:val="20"/>
                <w:szCs w:val="20"/>
              </w:rPr>
              <w:t>Yes</w:t>
            </w:r>
          </w:p>
        </w:tc>
        <w:tc>
          <w:tcPr>
            <w:tcW w:w="1559" w:type="dxa"/>
          </w:tcPr>
          <w:p w14:paraId="53A35C29" w14:textId="77777777" w:rsidR="00EB2B55" w:rsidRPr="00672DBE" w:rsidRDefault="00EB2B55" w:rsidP="003414BB">
            <w:pPr>
              <w:jc w:val="center"/>
              <w:rPr>
                <w:sz w:val="20"/>
                <w:szCs w:val="20"/>
              </w:rPr>
            </w:pPr>
            <w:r w:rsidRPr="00672DBE">
              <w:rPr>
                <w:sz w:val="20"/>
                <w:szCs w:val="20"/>
              </w:rPr>
              <w:t>Yes</w:t>
            </w:r>
          </w:p>
        </w:tc>
        <w:tc>
          <w:tcPr>
            <w:tcW w:w="1701" w:type="dxa"/>
          </w:tcPr>
          <w:p w14:paraId="313B12A5" w14:textId="77777777" w:rsidR="00E05567" w:rsidRDefault="00EB2B55" w:rsidP="003414BB">
            <w:pPr>
              <w:jc w:val="center"/>
              <w:rPr>
                <w:sz w:val="20"/>
                <w:szCs w:val="20"/>
              </w:rPr>
            </w:pPr>
            <w:r w:rsidRPr="00672DBE">
              <w:rPr>
                <w:sz w:val="20"/>
                <w:szCs w:val="20"/>
              </w:rPr>
              <w:t>Yes</w:t>
            </w:r>
          </w:p>
          <w:p w14:paraId="3D136916" w14:textId="7851D344" w:rsidR="00EB2B55" w:rsidRPr="00672DBE" w:rsidRDefault="00EB2B55" w:rsidP="003414BB">
            <w:pPr>
              <w:jc w:val="center"/>
              <w:rPr>
                <w:sz w:val="20"/>
                <w:szCs w:val="20"/>
              </w:rPr>
            </w:pPr>
            <w:r w:rsidRPr="00672DBE">
              <w:rPr>
                <w:sz w:val="20"/>
                <w:szCs w:val="20"/>
              </w:rPr>
              <w:t>(hosp</w:t>
            </w:r>
            <w:r w:rsidR="00E05567">
              <w:rPr>
                <w:sz w:val="20"/>
                <w:szCs w:val="20"/>
              </w:rPr>
              <w:t>ital</w:t>
            </w:r>
            <w:r w:rsidR="00E05567" w:rsidRPr="00672DBE">
              <w:rPr>
                <w:sz w:val="20"/>
                <w:szCs w:val="20"/>
              </w:rPr>
              <w:t xml:space="preserve"> </w:t>
            </w:r>
            <w:r w:rsidRPr="00672DBE">
              <w:rPr>
                <w:sz w:val="20"/>
                <w:szCs w:val="20"/>
              </w:rPr>
              <w:t>record</w:t>
            </w:r>
            <w:r w:rsidR="00E05567">
              <w:rPr>
                <w:sz w:val="20"/>
                <w:szCs w:val="20"/>
              </w:rPr>
              <w:t>s</w:t>
            </w:r>
            <w:r w:rsidRPr="00672DBE">
              <w:rPr>
                <w:sz w:val="20"/>
                <w:szCs w:val="20"/>
              </w:rPr>
              <w:t>)</w:t>
            </w:r>
          </w:p>
        </w:tc>
        <w:tc>
          <w:tcPr>
            <w:tcW w:w="1843" w:type="dxa"/>
            <w:shd w:val="clear" w:color="auto" w:fill="auto"/>
          </w:tcPr>
          <w:p w14:paraId="2CB342D1" w14:textId="77777777" w:rsidR="00EB2B55" w:rsidRPr="00672DBE" w:rsidRDefault="00EB2B55" w:rsidP="003414BB">
            <w:pPr>
              <w:jc w:val="center"/>
              <w:rPr>
                <w:sz w:val="20"/>
                <w:szCs w:val="20"/>
              </w:rPr>
            </w:pPr>
            <w:r w:rsidRPr="00672DBE">
              <w:rPr>
                <w:sz w:val="20"/>
                <w:szCs w:val="20"/>
              </w:rPr>
              <w:t>Yes</w:t>
            </w:r>
          </w:p>
        </w:tc>
        <w:tc>
          <w:tcPr>
            <w:tcW w:w="1843" w:type="dxa"/>
          </w:tcPr>
          <w:p w14:paraId="74170CE3" w14:textId="77777777" w:rsidR="00EB2B55" w:rsidRPr="00672DBE" w:rsidRDefault="00EB2B55" w:rsidP="003414BB">
            <w:pPr>
              <w:jc w:val="center"/>
              <w:rPr>
                <w:sz w:val="20"/>
                <w:szCs w:val="20"/>
              </w:rPr>
            </w:pPr>
            <w:r w:rsidRPr="00672DBE">
              <w:rPr>
                <w:sz w:val="20"/>
                <w:szCs w:val="20"/>
              </w:rPr>
              <w:t>Yes</w:t>
            </w:r>
          </w:p>
        </w:tc>
        <w:tc>
          <w:tcPr>
            <w:tcW w:w="1560" w:type="dxa"/>
          </w:tcPr>
          <w:p w14:paraId="33564CD0" w14:textId="77777777" w:rsidR="00EB2B55" w:rsidRPr="00672DBE" w:rsidRDefault="00EB2B55" w:rsidP="003414BB">
            <w:pPr>
              <w:jc w:val="center"/>
              <w:rPr>
                <w:sz w:val="20"/>
                <w:szCs w:val="20"/>
              </w:rPr>
            </w:pPr>
            <w:r w:rsidRPr="00672DBE">
              <w:rPr>
                <w:sz w:val="20"/>
                <w:szCs w:val="20"/>
              </w:rPr>
              <w:t>Yes</w:t>
            </w:r>
          </w:p>
        </w:tc>
        <w:tc>
          <w:tcPr>
            <w:tcW w:w="1417" w:type="dxa"/>
          </w:tcPr>
          <w:p w14:paraId="10CD9438" w14:textId="77777777" w:rsidR="00EB2B55" w:rsidRPr="00672DBE" w:rsidRDefault="00EB2B55" w:rsidP="003414BB">
            <w:pPr>
              <w:jc w:val="center"/>
              <w:rPr>
                <w:sz w:val="20"/>
                <w:szCs w:val="20"/>
              </w:rPr>
            </w:pPr>
            <w:r w:rsidRPr="00672DBE">
              <w:rPr>
                <w:sz w:val="20"/>
                <w:szCs w:val="20"/>
              </w:rPr>
              <w:t>Yes (sex only)</w:t>
            </w:r>
          </w:p>
        </w:tc>
        <w:tc>
          <w:tcPr>
            <w:tcW w:w="1218" w:type="dxa"/>
          </w:tcPr>
          <w:p w14:paraId="39BBD4DA" w14:textId="77777777" w:rsidR="00EB2B55" w:rsidRPr="00672DBE" w:rsidRDefault="00EB2B55" w:rsidP="003414BB">
            <w:pPr>
              <w:jc w:val="center"/>
              <w:rPr>
                <w:sz w:val="20"/>
                <w:szCs w:val="20"/>
              </w:rPr>
            </w:pPr>
            <w:r w:rsidRPr="00672DBE">
              <w:rPr>
                <w:sz w:val="20"/>
                <w:szCs w:val="20"/>
              </w:rPr>
              <w:t>8/8</w:t>
            </w:r>
          </w:p>
        </w:tc>
      </w:tr>
      <w:tr w:rsidR="00AD5473" w:rsidRPr="00672DBE" w14:paraId="47D651CC" w14:textId="77777777" w:rsidTr="00AD5473">
        <w:tc>
          <w:tcPr>
            <w:tcW w:w="1387" w:type="dxa"/>
          </w:tcPr>
          <w:p w14:paraId="67B7B6EC" w14:textId="7622C2EC" w:rsidR="00EB2B55" w:rsidRPr="00672DBE" w:rsidRDefault="00EB2B55" w:rsidP="003414BB">
            <w:pPr>
              <w:rPr>
                <w:sz w:val="20"/>
                <w:szCs w:val="20"/>
              </w:rPr>
            </w:pPr>
            <w:proofErr w:type="gramStart"/>
            <w:r w:rsidRPr="00672DBE">
              <w:rPr>
                <w:sz w:val="20"/>
                <w:szCs w:val="20"/>
              </w:rPr>
              <w:t>Murphy  et al.</w:t>
            </w:r>
            <w:proofErr w:type="gramEnd"/>
            <w:r w:rsidRPr="00672DBE">
              <w:rPr>
                <w:sz w:val="20"/>
                <w:szCs w:val="20"/>
              </w:rPr>
              <w:t xml:space="preserve"> 20</w:t>
            </w:r>
            <w:r w:rsidR="002120CE">
              <w:rPr>
                <w:sz w:val="20"/>
                <w:szCs w:val="20"/>
              </w:rPr>
              <w:t>19</w:t>
            </w:r>
          </w:p>
        </w:tc>
        <w:tc>
          <w:tcPr>
            <w:tcW w:w="1297" w:type="dxa"/>
          </w:tcPr>
          <w:p w14:paraId="0DF173D9" w14:textId="77777777" w:rsidR="00EB2B55" w:rsidRPr="00672DBE" w:rsidRDefault="00EB2B55" w:rsidP="003414BB">
            <w:pPr>
              <w:jc w:val="center"/>
              <w:rPr>
                <w:sz w:val="20"/>
                <w:szCs w:val="20"/>
              </w:rPr>
            </w:pPr>
            <w:r w:rsidRPr="00672DBE">
              <w:rPr>
                <w:sz w:val="20"/>
                <w:szCs w:val="20"/>
              </w:rPr>
              <w:t>Yes</w:t>
            </w:r>
          </w:p>
        </w:tc>
        <w:tc>
          <w:tcPr>
            <w:tcW w:w="1422" w:type="dxa"/>
          </w:tcPr>
          <w:p w14:paraId="02F605D5" w14:textId="77777777" w:rsidR="00EB2B55" w:rsidRPr="00672DBE" w:rsidRDefault="00EB2B55" w:rsidP="003414BB">
            <w:pPr>
              <w:jc w:val="center"/>
              <w:rPr>
                <w:sz w:val="20"/>
                <w:szCs w:val="20"/>
              </w:rPr>
            </w:pPr>
            <w:r w:rsidRPr="00672DBE">
              <w:rPr>
                <w:sz w:val="20"/>
                <w:szCs w:val="20"/>
              </w:rPr>
              <w:t>Yes</w:t>
            </w:r>
          </w:p>
        </w:tc>
        <w:tc>
          <w:tcPr>
            <w:tcW w:w="1559" w:type="dxa"/>
          </w:tcPr>
          <w:p w14:paraId="334A601F" w14:textId="77777777" w:rsidR="00EB2B55" w:rsidRPr="00672DBE" w:rsidRDefault="00EB2B55" w:rsidP="003414BB">
            <w:pPr>
              <w:jc w:val="center"/>
              <w:rPr>
                <w:sz w:val="20"/>
                <w:szCs w:val="20"/>
              </w:rPr>
            </w:pPr>
            <w:r w:rsidRPr="00672DBE">
              <w:rPr>
                <w:sz w:val="20"/>
                <w:szCs w:val="20"/>
              </w:rPr>
              <w:t>Yes</w:t>
            </w:r>
          </w:p>
        </w:tc>
        <w:tc>
          <w:tcPr>
            <w:tcW w:w="1701" w:type="dxa"/>
          </w:tcPr>
          <w:p w14:paraId="47565164" w14:textId="798036E2" w:rsidR="00EB2B55" w:rsidRPr="00672DBE" w:rsidRDefault="00EB2B55" w:rsidP="003414BB">
            <w:pPr>
              <w:jc w:val="center"/>
              <w:rPr>
                <w:sz w:val="20"/>
                <w:szCs w:val="20"/>
              </w:rPr>
            </w:pPr>
            <w:r w:rsidRPr="00672DBE">
              <w:rPr>
                <w:sz w:val="20"/>
                <w:szCs w:val="20"/>
              </w:rPr>
              <w:t>Yes (registry)</w:t>
            </w:r>
          </w:p>
        </w:tc>
        <w:tc>
          <w:tcPr>
            <w:tcW w:w="1843" w:type="dxa"/>
            <w:shd w:val="clear" w:color="auto" w:fill="auto"/>
          </w:tcPr>
          <w:p w14:paraId="557D48C9" w14:textId="77777777" w:rsidR="00EB2B55" w:rsidRPr="00672DBE" w:rsidRDefault="00EB2B55" w:rsidP="003414BB">
            <w:pPr>
              <w:jc w:val="center"/>
              <w:rPr>
                <w:sz w:val="20"/>
                <w:szCs w:val="20"/>
              </w:rPr>
            </w:pPr>
            <w:r w:rsidRPr="00672DBE">
              <w:rPr>
                <w:sz w:val="20"/>
                <w:szCs w:val="20"/>
              </w:rPr>
              <w:t>Yes</w:t>
            </w:r>
          </w:p>
        </w:tc>
        <w:tc>
          <w:tcPr>
            <w:tcW w:w="1843" w:type="dxa"/>
          </w:tcPr>
          <w:p w14:paraId="425E3098" w14:textId="77777777" w:rsidR="00EB2B55" w:rsidRPr="00672DBE" w:rsidRDefault="00EB2B55" w:rsidP="003414BB">
            <w:pPr>
              <w:jc w:val="center"/>
              <w:rPr>
                <w:sz w:val="20"/>
                <w:szCs w:val="20"/>
              </w:rPr>
            </w:pPr>
            <w:r w:rsidRPr="00672DBE">
              <w:rPr>
                <w:sz w:val="20"/>
                <w:szCs w:val="20"/>
              </w:rPr>
              <w:t>Yes</w:t>
            </w:r>
          </w:p>
        </w:tc>
        <w:tc>
          <w:tcPr>
            <w:tcW w:w="1560" w:type="dxa"/>
          </w:tcPr>
          <w:p w14:paraId="327B0E70" w14:textId="77777777" w:rsidR="00EB2B55" w:rsidRPr="00672DBE" w:rsidRDefault="00EB2B55" w:rsidP="003414BB">
            <w:pPr>
              <w:jc w:val="center"/>
              <w:rPr>
                <w:sz w:val="20"/>
                <w:szCs w:val="20"/>
              </w:rPr>
            </w:pPr>
            <w:r w:rsidRPr="00672DBE">
              <w:rPr>
                <w:sz w:val="20"/>
                <w:szCs w:val="20"/>
              </w:rPr>
              <w:t>Yes</w:t>
            </w:r>
          </w:p>
        </w:tc>
        <w:tc>
          <w:tcPr>
            <w:tcW w:w="1417" w:type="dxa"/>
          </w:tcPr>
          <w:p w14:paraId="35E5A2A6" w14:textId="77777777" w:rsidR="00EB2B55" w:rsidRPr="00672DBE" w:rsidRDefault="00EB2B55" w:rsidP="003414BB">
            <w:pPr>
              <w:jc w:val="center"/>
              <w:rPr>
                <w:sz w:val="20"/>
                <w:szCs w:val="20"/>
              </w:rPr>
            </w:pPr>
            <w:r w:rsidRPr="00672DBE">
              <w:rPr>
                <w:sz w:val="20"/>
                <w:szCs w:val="20"/>
              </w:rPr>
              <w:t>No</w:t>
            </w:r>
          </w:p>
        </w:tc>
        <w:tc>
          <w:tcPr>
            <w:tcW w:w="1218" w:type="dxa"/>
          </w:tcPr>
          <w:p w14:paraId="459D8A7A" w14:textId="77777777" w:rsidR="00EB2B55" w:rsidRPr="00672DBE" w:rsidRDefault="00EB2B55" w:rsidP="003414BB">
            <w:pPr>
              <w:jc w:val="center"/>
              <w:rPr>
                <w:sz w:val="20"/>
                <w:szCs w:val="20"/>
              </w:rPr>
            </w:pPr>
            <w:r w:rsidRPr="00672DBE">
              <w:rPr>
                <w:sz w:val="20"/>
                <w:szCs w:val="20"/>
              </w:rPr>
              <w:t>7/8</w:t>
            </w:r>
          </w:p>
        </w:tc>
      </w:tr>
      <w:tr w:rsidR="00AD5473" w:rsidRPr="00672DBE" w14:paraId="4109891B" w14:textId="77777777" w:rsidTr="00AD5473">
        <w:tc>
          <w:tcPr>
            <w:tcW w:w="1387" w:type="dxa"/>
          </w:tcPr>
          <w:p w14:paraId="040CD308" w14:textId="77777777" w:rsidR="00EB2B55" w:rsidRPr="00672DBE" w:rsidRDefault="00EB2B55" w:rsidP="003414BB">
            <w:pPr>
              <w:rPr>
                <w:sz w:val="20"/>
                <w:szCs w:val="20"/>
              </w:rPr>
            </w:pPr>
            <w:r w:rsidRPr="00672DBE">
              <w:rPr>
                <w:sz w:val="20"/>
                <w:szCs w:val="20"/>
              </w:rPr>
              <w:t>Page et al. 2019</w:t>
            </w:r>
          </w:p>
        </w:tc>
        <w:tc>
          <w:tcPr>
            <w:tcW w:w="1297" w:type="dxa"/>
          </w:tcPr>
          <w:p w14:paraId="7B089E2A" w14:textId="77777777" w:rsidR="00EB2B55" w:rsidRPr="00672DBE" w:rsidRDefault="00EB2B55" w:rsidP="003414BB">
            <w:pPr>
              <w:jc w:val="center"/>
              <w:rPr>
                <w:sz w:val="20"/>
                <w:szCs w:val="20"/>
              </w:rPr>
            </w:pPr>
            <w:r w:rsidRPr="00672DBE">
              <w:rPr>
                <w:sz w:val="20"/>
                <w:szCs w:val="20"/>
              </w:rPr>
              <w:t>No</w:t>
            </w:r>
          </w:p>
        </w:tc>
        <w:tc>
          <w:tcPr>
            <w:tcW w:w="1422" w:type="dxa"/>
          </w:tcPr>
          <w:p w14:paraId="14A89D4F" w14:textId="77777777" w:rsidR="00EB2B55" w:rsidRPr="00672DBE" w:rsidRDefault="00EB2B55" w:rsidP="003414BB">
            <w:pPr>
              <w:jc w:val="center"/>
              <w:rPr>
                <w:sz w:val="20"/>
                <w:szCs w:val="20"/>
              </w:rPr>
            </w:pPr>
            <w:r w:rsidRPr="00672DBE">
              <w:rPr>
                <w:sz w:val="20"/>
                <w:szCs w:val="20"/>
              </w:rPr>
              <w:t>Yes</w:t>
            </w:r>
          </w:p>
        </w:tc>
        <w:tc>
          <w:tcPr>
            <w:tcW w:w="1559" w:type="dxa"/>
          </w:tcPr>
          <w:p w14:paraId="23A7907B" w14:textId="77777777" w:rsidR="00EB2B55" w:rsidRPr="00672DBE" w:rsidRDefault="00EB2B55" w:rsidP="003414BB">
            <w:pPr>
              <w:jc w:val="center"/>
              <w:rPr>
                <w:sz w:val="20"/>
                <w:szCs w:val="20"/>
              </w:rPr>
            </w:pPr>
            <w:r w:rsidRPr="00672DBE">
              <w:rPr>
                <w:sz w:val="20"/>
                <w:szCs w:val="20"/>
              </w:rPr>
              <w:t>Yes</w:t>
            </w:r>
          </w:p>
        </w:tc>
        <w:tc>
          <w:tcPr>
            <w:tcW w:w="1701" w:type="dxa"/>
          </w:tcPr>
          <w:p w14:paraId="230ACE0F" w14:textId="2E9CD53E" w:rsidR="00EB2B55" w:rsidRDefault="00817C92" w:rsidP="003414BB">
            <w:pPr>
              <w:jc w:val="center"/>
              <w:rPr>
                <w:sz w:val="20"/>
                <w:szCs w:val="20"/>
              </w:rPr>
            </w:pPr>
            <w:r>
              <w:rPr>
                <w:sz w:val="20"/>
                <w:szCs w:val="20"/>
              </w:rPr>
              <w:t>Yes</w:t>
            </w:r>
          </w:p>
          <w:p w14:paraId="6E5E7BAC" w14:textId="6C01E2E3" w:rsidR="00817C92" w:rsidRPr="00672DBE" w:rsidRDefault="00817C92" w:rsidP="003414BB">
            <w:pPr>
              <w:jc w:val="center"/>
              <w:rPr>
                <w:sz w:val="20"/>
                <w:szCs w:val="20"/>
              </w:rPr>
            </w:pPr>
            <w:r>
              <w:rPr>
                <w:sz w:val="20"/>
                <w:szCs w:val="20"/>
              </w:rPr>
              <w:t>(registry)</w:t>
            </w:r>
          </w:p>
        </w:tc>
        <w:tc>
          <w:tcPr>
            <w:tcW w:w="1843" w:type="dxa"/>
            <w:shd w:val="clear" w:color="auto" w:fill="auto"/>
          </w:tcPr>
          <w:p w14:paraId="39BB7025" w14:textId="77777777" w:rsidR="00EB2B55" w:rsidRPr="00672DBE" w:rsidRDefault="00EB2B55" w:rsidP="003414BB">
            <w:pPr>
              <w:jc w:val="center"/>
              <w:rPr>
                <w:sz w:val="20"/>
                <w:szCs w:val="20"/>
              </w:rPr>
            </w:pPr>
            <w:r w:rsidRPr="00672DBE">
              <w:rPr>
                <w:sz w:val="20"/>
                <w:szCs w:val="20"/>
              </w:rPr>
              <w:t>Yes</w:t>
            </w:r>
          </w:p>
        </w:tc>
        <w:tc>
          <w:tcPr>
            <w:tcW w:w="1843" w:type="dxa"/>
          </w:tcPr>
          <w:p w14:paraId="66C9FC41" w14:textId="77777777" w:rsidR="00EB2B55" w:rsidRPr="00672DBE" w:rsidRDefault="00EB2B55" w:rsidP="003414BB">
            <w:pPr>
              <w:jc w:val="center"/>
              <w:rPr>
                <w:sz w:val="20"/>
                <w:szCs w:val="20"/>
              </w:rPr>
            </w:pPr>
            <w:r w:rsidRPr="00672DBE">
              <w:rPr>
                <w:sz w:val="20"/>
                <w:szCs w:val="20"/>
              </w:rPr>
              <w:t>No</w:t>
            </w:r>
          </w:p>
        </w:tc>
        <w:tc>
          <w:tcPr>
            <w:tcW w:w="1560" w:type="dxa"/>
          </w:tcPr>
          <w:p w14:paraId="6DDF2805" w14:textId="77777777" w:rsidR="00EB2B55" w:rsidRPr="00672DBE" w:rsidRDefault="00EB2B55" w:rsidP="003414BB">
            <w:pPr>
              <w:jc w:val="center"/>
              <w:rPr>
                <w:sz w:val="20"/>
                <w:szCs w:val="20"/>
              </w:rPr>
            </w:pPr>
            <w:r w:rsidRPr="00672DBE">
              <w:rPr>
                <w:sz w:val="20"/>
                <w:szCs w:val="20"/>
              </w:rPr>
              <w:t>No</w:t>
            </w:r>
          </w:p>
        </w:tc>
        <w:tc>
          <w:tcPr>
            <w:tcW w:w="1417" w:type="dxa"/>
          </w:tcPr>
          <w:p w14:paraId="250F42ED" w14:textId="77777777" w:rsidR="00EB2B55" w:rsidRPr="00672DBE" w:rsidRDefault="00EB2B55" w:rsidP="003414BB">
            <w:pPr>
              <w:jc w:val="center"/>
              <w:rPr>
                <w:sz w:val="20"/>
                <w:szCs w:val="20"/>
              </w:rPr>
            </w:pPr>
            <w:r w:rsidRPr="00672DBE">
              <w:rPr>
                <w:sz w:val="20"/>
                <w:szCs w:val="20"/>
              </w:rPr>
              <w:t>Yes</w:t>
            </w:r>
          </w:p>
        </w:tc>
        <w:tc>
          <w:tcPr>
            <w:tcW w:w="1218" w:type="dxa"/>
          </w:tcPr>
          <w:p w14:paraId="5587425B" w14:textId="51AD6897" w:rsidR="00EB2B55" w:rsidRPr="00672DBE" w:rsidRDefault="00817C92" w:rsidP="003414BB">
            <w:pPr>
              <w:jc w:val="center"/>
              <w:rPr>
                <w:sz w:val="20"/>
                <w:szCs w:val="20"/>
              </w:rPr>
            </w:pPr>
            <w:r>
              <w:rPr>
                <w:sz w:val="20"/>
                <w:szCs w:val="20"/>
              </w:rPr>
              <w:t>5</w:t>
            </w:r>
            <w:r w:rsidR="00EB2B55" w:rsidRPr="00672DBE">
              <w:rPr>
                <w:sz w:val="20"/>
                <w:szCs w:val="20"/>
              </w:rPr>
              <w:t>/8</w:t>
            </w:r>
          </w:p>
        </w:tc>
      </w:tr>
      <w:tr w:rsidR="00AD5473" w:rsidRPr="00672DBE" w14:paraId="787AA4B0" w14:textId="77777777" w:rsidTr="00AD5473">
        <w:tc>
          <w:tcPr>
            <w:tcW w:w="1387" w:type="dxa"/>
          </w:tcPr>
          <w:p w14:paraId="25DDA7CD" w14:textId="77777777" w:rsidR="00EB2B55" w:rsidRPr="00672DBE" w:rsidRDefault="00EB2B55" w:rsidP="003414BB">
            <w:pPr>
              <w:rPr>
                <w:sz w:val="20"/>
                <w:szCs w:val="20"/>
              </w:rPr>
            </w:pPr>
            <w:r w:rsidRPr="00672DBE">
              <w:rPr>
                <w:sz w:val="20"/>
                <w:szCs w:val="20"/>
              </w:rPr>
              <w:lastRenderedPageBreak/>
              <w:t>Perera et al. 2021</w:t>
            </w:r>
          </w:p>
        </w:tc>
        <w:tc>
          <w:tcPr>
            <w:tcW w:w="1297" w:type="dxa"/>
          </w:tcPr>
          <w:p w14:paraId="437B38E4" w14:textId="77777777" w:rsidR="00EB2B55" w:rsidRPr="00672DBE" w:rsidRDefault="00EB2B55" w:rsidP="003414BB">
            <w:pPr>
              <w:jc w:val="center"/>
              <w:rPr>
                <w:sz w:val="20"/>
                <w:szCs w:val="20"/>
              </w:rPr>
            </w:pPr>
            <w:r w:rsidRPr="00672DBE">
              <w:rPr>
                <w:sz w:val="20"/>
                <w:szCs w:val="20"/>
              </w:rPr>
              <w:t>Yes</w:t>
            </w:r>
          </w:p>
        </w:tc>
        <w:tc>
          <w:tcPr>
            <w:tcW w:w="1422" w:type="dxa"/>
          </w:tcPr>
          <w:p w14:paraId="69425F5D" w14:textId="77777777" w:rsidR="00EB2B55" w:rsidRPr="00672DBE" w:rsidRDefault="00EB2B55" w:rsidP="003414BB">
            <w:pPr>
              <w:jc w:val="center"/>
              <w:rPr>
                <w:sz w:val="20"/>
                <w:szCs w:val="20"/>
              </w:rPr>
            </w:pPr>
            <w:r w:rsidRPr="00672DBE">
              <w:rPr>
                <w:sz w:val="20"/>
                <w:szCs w:val="20"/>
              </w:rPr>
              <w:t>Yes</w:t>
            </w:r>
          </w:p>
        </w:tc>
        <w:tc>
          <w:tcPr>
            <w:tcW w:w="1559" w:type="dxa"/>
          </w:tcPr>
          <w:p w14:paraId="32515923" w14:textId="77777777" w:rsidR="00EB2B55" w:rsidRPr="00672DBE" w:rsidRDefault="00EB2B55" w:rsidP="003414BB">
            <w:pPr>
              <w:jc w:val="center"/>
              <w:rPr>
                <w:sz w:val="20"/>
                <w:szCs w:val="20"/>
              </w:rPr>
            </w:pPr>
            <w:r w:rsidRPr="00672DBE">
              <w:rPr>
                <w:sz w:val="20"/>
                <w:szCs w:val="20"/>
              </w:rPr>
              <w:t>Yes</w:t>
            </w:r>
          </w:p>
        </w:tc>
        <w:tc>
          <w:tcPr>
            <w:tcW w:w="1701" w:type="dxa"/>
          </w:tcPr>
          <w:p w14:paraId="75D57232" w14:textId="77777777" w:rsidR="00EB2B55" w:rsidRPr="00672DBE" w:rsidRDefault="00EB2B55" w:rsidP="003414BB">
            <w:pPr>
              <w:jc w:val="center"/>
              <w:rPr>
                <w:sz w:val="20"/>
                <w:szCs w:val="20"/>
              </w:rPr>
            </w:pPr>
            <w:r w:rsidRPr="00672DBE">
              <w:rPr>
                <w:sz w:val="20"/>
                <w:szCs w:val="20"/>
              </w:rPr>
              <w:t>No</w:t>
            </w:r>
          </w:p>
        </w:tc>
        <w:tc>
          <w:tcPr>
            <w:tcW w:w="1843" w:type="dxa"/>
            <w:shd w:val="clear" w:color="auto" w:fill="auto"/>
          </w:tcPr>
          <w:p w14:paraId="188AEA3E" w14:textId="77777777" w:rsidR="00EB2B55" w:rsidRPr="00672DBE" w:rsidRDefault="00EB2B55" w:rsidP="003414BB">
            <w:pPr>
              <w:jc w:val="center"/>
              <w:rPr>
                <w:sz w:val="20"/>
                <w:szCs w:val="20"/>
              </w:rPr>
            </w:pPr>
            <w:r w:rsidRPr="00672DBE">
              <w:rPr>
                <w:sz w:val="20"/>
                <w:szCs w:val="20"/>
              </w:rPr>
              <w:t>Yes</w:t>
            </w:r>
          </w:p>
        </w:tc>
        <w:tc>
          <w:tcPr>
            <w:tcW w:w="1843" w:type="dxa"/>
          </w:tcPr>
          <w:p w14:paraId="24490C97" w14:textId="77777777" w:rsidR="00EB2B55" w:rsidRPr="00672DBE" w:rsidRDefault="00EB2B55" w:rsidP="003414BB">
            <w:pPr>
              <w:jc w:val="center"/>
              <w:rPr>
                <w:sz w:val="20"/>
                <w:szCs w:val="20"/>
              </w:rPr>
            </w:pPr>
            <w:r w:rsidRPr="00672DBE">
              <w:rPr>
                <w:sz w:val="20"/>
                <w:szCs w:val="20"/>
              </w:rPr>
              <w:t>Yes</w:t>
            </w:r>
          </w:p>
        </w:tc>
        <w:tc>
          <w:tcPr>
            <w:tcW w:w="1560" w:type="dxa"/>
          </w:tcPr>
          <w:p w14:paraId="2174BBF3" w14:textId="77777777" w:rsidR="00EB2B55" w:rsidRPr="00672DBE" w:rsidRDefault="00EB2B55" w:rsidP="003414BB">
            <w:pPr>
              <w:jc w:val="center"/>
              <w:rPr>
                <w:sz w:val="20"/>
                <w:szCs w:val="20"/>
              </w:rPr>
            </w:pPr>
            <w:r w:rsidRPr="00672DBE">
              <w:rPr>
                <w:sz w:val="20"/>
                <w:szCs w:val="20"/>
              </w:rPr>
              <w:t>Yes</w:t>
            </w:r>
          </w:p>
        </w:tc>
        <w:tc>
          <w:tcPr>
            <w:tcW w:w="1417" w:type="dxa"/>
          </w:tcPr>
          <w:p w14:paraId="165B0A82" w14:textId="77777777" w:rsidR="00EB2B55" w:rsidRPr="00672DBE" w:rsidRDefault="00EB2B55" w:rsidP="003414BB">
            <w:pPr>
              <w:jc w:val="center"/>
              <w:rPr>
                <w:sz w:val="20"/>
                <w:szCs w:val="20"/>
              </w:rPr>
            </w:pPr>
            <w:r w:rsidRPr="00672DBE">
              <w:rPr>
                <w:sz w:val="20"/>
                <w:szCs w:val="20"/>
              </w:rPr>
              <w:t>No</w:t>
            </w:r>
          </w:p>
        </w:tc>
        <w:tc>
          <w:tcPr>
            <w:tcW w:w="1218" w:type="dxa"/>
          </w:tcPr>
          <w:p w14:paraId="3DAEDDAA" w14:textId="77777777" w:rsidR="00EB2B55" w:rsidRPr="00672DBE" w:rsidRDefault="00EB2B55" w:rsidP="003414BB">
            <w:pPr>
              <w:jc w:val="center"/>
              <w:rPr>
                <w:sz w:val="20"/>
                <w:szCs w:val="20"/>
              </w:rPr>
            </w:pPr>
            <w:r w:rsidRPr="00672DBE">
              <w:rPr>
                <w:sz w:val="20"/>
                <w:szCs w:val="20"/>
              </w:rPr>
              <w:t>6/8</w:t>
            </w:r>
          </w:p>
        </w:tc>
      </w:tr>
      <w:tr w:rsidR="00AD5473" w:rsidRPr="00672DBE" w14:paraId="269C27AF" w14:textId="77777777" w:rsidTr="00AD5473">
        <w:tc>
          <w:tcPr>
            <w:tcW w:w="1387" w:type="dxa"/>
          </w:tcPr>
          <w:p w14:paraId="140CDD4A" w14:textId="427BEA93" w:rsidR="00EB2B55" w:rsidRPr="00672DBE" w:rsidRDefault="00EB2B55" w:rsidP="003414BB">
            <w:pPr>
              <w:rPr>
                <w:sz w:val="20"/>
                <w:szCs w:val="20"/>
              </w:rPr>
            </w:pPr>
            <w:proofErr w:type="spellStart"/>
            <w:r w:rsidRPr="00672DBE">
              <w:rPr>
                <w:sz w:val="20"/>
                <w:szCs w:val="20"/>
              </w:rPr>
              <w:t>Prioste</w:t>
            </w:r>
            <w:proofErr w:type="spellEnd"/>
            <w:r w:rsidRPr="00672DBE">
              <w:rPr>
                <w:sz w:val="20"/>
                <w:szCs w:val="20"/>
              </w:rPr>
              <w:t xml:space="preserve"> et al. 201</w:t>
            </w:r>
            <w:r w:rsidR="00A50919">
              <w:rPr>
                <w:sz w:val="20"/>
                <w:szCs w:val="20"/>
              </w:rPr>
              <w:t>7</w:t>
            </w:r>
          </w:p>
        </w:tc>
        <w:tc>
          <w:tcPr>
            <w:tcW w:w="1297" w:type="dxa"/>
          </w:tcPr>
          <w:p w14:paraId="4C922258" w14:textId="77777777" w:rsidR="00EB2B55" w:rsidRPr="00672DBE" w:rsidRDefault="00EB2B55" w:rsidP="003414BB">
            <w:pPr>
              <w:jc w:val="center"/>
              <w:rPr>
                <w:sz w:val="20"/>
                <w:szCs w:val="20"/>
              </w:rPr>
            </w:pPr>
            <w:r w:rsidRPr="00672DBE">
              <w:rPr>
                <w:sz w:val="20"/>
                <w:szCs w:val="20"/>
              </w:rPr>
              <w:t>Yes</w:t>
            </w:r>
          </w:p>
        </w:tc>
        <w:tc>
          <w:tcPr>
            <w:tcW w:w="1422" w:type="dxa"/>
          </w:tcPr>
          <w:p w14:paraId="1D3C683B" w14:textId="77777777" w:rsidR="00EB2B55" w:rsidRPr="00672DBE" w:rsidRDefault="00EB2B55" w:rsidP="003414BB">
            <w:pPr>
              <w:jc w:val="center"/>
              <w:rPr>
                <w:sz w:val="20"/>
                <w:szCs w:val="20"/>
              </w:rPr>
            </w:pPr>
            <w:r w:rsidRPr="00672DBE">
              <w:rPr>
                <w:sz w:val="20"/>
                <w:szCs w:val="20"/>
              </w:rPr>
              <w:t>Yes</w:t>
            </w:r>
          </w:p>
        </w:tc>
        <w:tc>
          <w:tcPr>
            <w:tcW w:w="1559" w:type="dxa"/>
          </w:tcPr>
          <w:p w14:paraId="3177663E" w14:textId="77777777" w:rsidR="00EB2B55" w:rsidRPr="00672DBE" w:rsidRDefault="00EB2B55" w:rsidP="003414BB">
            <w:pPr>
              <w:jc w:val="center"/>
              <w:rPr>
                <w:sz w:val="20"/>
                <w:szCs w:val="20"/>
              </w:rPr>
            </w:pPr>
            <w:r w:rsidRPr="00672DBE">
              <w:rPr>
                <w:sz w:val="20"/>
                <w:szCs w:val="20"/>
              </w:rPr>
              <w:t>Yes</w:t>
            </w:r>
          </w:p>
        </w:tc>
        <w:tc>
          <w:tcPr>
            <w:tcW w:w="1701" w:type="dxa"/>
          </w:tcPr>
          <w:p w14:paraId="4C9A24F3" w14:textId="77777777" w:rsidR="00EB2B55" w:rsidRPr="00672DBE" w:rsidRDefault="00EB2B55" w:rsidP="003414BB">
            <w:pPr>
              <w:jc w:val="center"/>
              <w:rPr>
                <w:sz w:val="20"/>
                <w:szCs w:val="20"/>
              </w:rPr>
            </w:pPr>
            <w:r w:rsidRPr="00672DBE">
              <w:rPr>
                <w:sz w:val="20"/>
                <w:szCs w:val="20"/>
              </w:rPr>
              <w:t>Yes (clinic data)</w:t>
            </w:r>
          </w:p>
        </w:tc>
        <w:tc>
          <w:tcPr>
            <w:tcW w:w="1843" w:type="dxa"/>
            <w:shd w:val="clear" w:color="auto" w:fill="auto"/>
          </w:tcPr>
          <w:p w14:paraId="5088629B" w14:textId="77777777" w:rsidR="00EB2B55" w:rsidRPr="00672DBE" w:rsidRDefault="00EB2B55" w:rsidP="003414BB">
            <w:pPr>
              <w:jc w:val="center"/>
              <w:rPr>
                <w:sz w:val="20"/>
                <w:szCs w:val="20"/>
              </w:rPr>
            </w:pPr>
            <w:r w:rsidRPr="00672DBE">
              <w:rPr>
                <w:sz w:val="20"/>
                <w:szCs w:val="20"/>
              </w:rPr>
              <w:t>Yes</w:t>
            </w:r>
          </w:p>
        </w:tc>
        <w:tc>
          <w:tcPr>
            <w:tcW w:w="1843" w:type="dxa"/>
          </w:tcPr>
          <w:p w14:paraId="1B3BB678" w14:textId="77777777" w:rsidR="00EB2B55" w:rsidRPr="00672DBE" w:rsidRDefault="00EB2B55" w:rsidP="003414BB">
            <w:pPr>
              <w:jc w:val="center"/>
              <w:rPr>
                <w:sz w:val="20"/>
                <w:szCs w:val="20"/>
              </w:rPr>
            </w:pPr>
            <w:r w:rsidRPr="00672DBE">
              <w:rPr>
                <w:sz w:val="20"/>
                <w:szCs w:val="20"/>
              </w:rPr>
              <w:t>Yes</w:t>
            </w:r>
          </w:p>
        </w:tc>
        <w:tc>
          <w:tcPr>
            <w:tcW w:w="1560" w:type="dxa"/>
          </w:tcPr>
          <w:p w14:paraId="5CD3CB1F" w14:textId="0492441F" w:rsidR="00EB2B55" w:rsidRPr="00672DBE" w:rsidRDefault="002534B8" w:rsidP="003414BB">
            <w:pPr>
              <w:jc w:val="center"/>
              <w:rPr>
                <w:sz w:val="20"/>
                <w:szCs w:val="20"/>
              </w:rPr>
            </w:pPr>
            <w:r>
              <w:rPr>
                <w:sz w:val="20"/>
                <w:szCs w:val="20"/>
              </w:rPr>
              <w:t>Yes</w:t>
            </w:r>
          </w:p>
        </w:tc>
        <w:tc>
          <w:tcPr>
            <w:tcW w:w="1417" w:type="dxa"/>
          </w:tcPr>
          <w:p w14:paraId="44244093" w14:textId="77777777" w:rsidR="00EB2B55" w:rsidRPr="00672DBE" w:rsidRDefault="00EB2B55" w:rsidP="003414BB">
            <w:pPr>
              <w:jc w:val="center"/>
              <w:rPr>
                <w:sz w:val="20"/>
                <w:szCs w:val="20"/>
              </w:rPr>
            </w:pPr>
            <w:r w:rsidRPr="00672DBE">
              <w:rPr>
                <w:sz w:val="20"/>
                <w:szCs w:val="20"/>
              </w:rPr>
              <w:t>No</w:t>
            </w:r>
          </w:p>
        </w:tc>
        <w:tc>
          <w:tcPr>
            <w:tcW w:w="1218" w:type="dxa"/>
          </w:tcPr>
          <w:p w14:paraId="3DCE18DA" w14:textId="7A4C15E0" w:rsidR="00EB2B55" w:rsidRPr="00672DBE" w:rsidRDefault="002534B8" w:rsidP="003414BB">
            <w:pPr>
              <w:jc w:val="center"/>
              <w:rPr>
                <w:sz w:val="20"/>
                <w:szCs w:val="20"/>
              </w:rPr>
            </w:pPr>
            <w:r>
              <w:rPr>
                <w:sz w:val="20"/>
                <w:szCs w:val="20"/>
              </w:rPr>
              <w:t>7</w:t>
            </w:r>
            <w:r w:rsidR="00EB2B55" w:rsidRPr="00672DBE">
              <w:rPr>
                <w:sz w:val="20"/>
                <w:szCs w:val="20"/>
              </w:rPr>
              <w:t>/8</w:t>
            </w:r>
          </w:p>
        </w:tc>
      </w:tr>
      <w:tr w:rsidR="00AD5473" w:rsidRPr="00672DBE" w14:paraId="576DA627" w14:textId="77777777" w:rsidTr="00AD5473">
        <w:tc>
          <w:tcPr>
            <w:tcW w:w="1387" w:type="dxa"/>
          </w:tcPr>
          <w:p w14:paraId="4FAB18CC" w14:textId="77777777" w:rsidR="00EB2B55" w:rsidRPr="00672DBE" w:rsidRDefault="00EB2B55" w:rsidP="003414BB">
            <w:pPr>
              <w:rPr>
                <w:sz w:val="20"/>
                <w:szCs w:val="20"/>
              </w:rPr>
            </w:pPr>
            <w:r w:rsidRPr="00672DBE">
              <w:rPr>
                <w:sz w:val="20"/>
                <w:szCs w:val="20"/>
              </w:rPr>
              <w:t>Riggs et al. 2014</w:t>
            </w:r>
          </w:p>
        </w:tc>
        <w:tc>
          <w:tcPr>
            <w:tcW w:w="1297" w:type="dxa"/>
          </w:tcPr>
          <w:p w14:paraId="71E33B19" w14:textId="77777777" w:rsidR="00EB2B55" w:rsidRPr="00672DBE" w:rsidRDefault="00EB2B55" w:rsidP="003414BB">
            <w:pPr>
              <w:jc w:val="center"/>
              <w:rPr>
                <w:sz w:val="20"/>
                <w:szCs w:val="20"/>
              </w:rPr>
            </w:pPr>
            <w:r w:rsidRPr="00672DBE">
              <w:rPr>
                <w:sz w:val="20"/>
                <w:szCs w:val="20"/>
              </w:rPr>
              <w:t>Yes</w:t>
            </w:r>
          </w:p>
        </w:tc>
        <w:tc>
          <w:tcPr>
            <w:tcW w:w="1422" w:type="dxa"/>
          </w:tcPr>
          <w:p w14:paraId="355F2AFD" w14:textId="77777777" w:rsidR="00EB2B55" w:rsidRPr="00672DBE" w:rsidRDefault="00EB2B55" w:rsidP="003414BB">
            <w:pPr>
              <w:jc w:val="center"/>
              <w:rPr>
                <w:sz w:val="20"/>
                <w:szCs w:val="20"/>
              </w:rPr>
            </w:pPr>
            <w:r w:rsidRPr="00672DBE">
              <w:rPr>
                <w:sz w:val="20"/>
                <w:szCs w:val="20"/>
              </w:rPr>
              <w:t>Yes</w:t>
            </w:r>
          </w:p>
        </w:tc>
        <w:tc>
          <w:tcPr>
            <w:tcW w:w="1559" w:type="dxa"/>
          </w:tcPr>
          <w:p w14:paraId="1F00FDF5" w14:textId="77777777" w:rsidR="00EB2B55" w:rsidRPr="00672DBE" w:rsidRDefault="00EB2B55" w:rsidP="003414BB">
            <w:pPr>
              <w:jc w:val="center"/>
              <w:rPr>
                <w:sz w:val="20"/>
                <w:szCs w:val="20"/>
              </w:rPr>
            </w:pPr>
            <w:r w:rsidRPr="00672DBE">
              <w:rPr>
                <w:sz w:val="20"/>
                <w:szCs w:val="20"/>
              </w:rPr>
              <w:t>Yes</w:t>
            </w:r>
          </w:p>
        </w:tc>
        <w:tc>
          <w:tcPr>
            <w:tcW w:w="1701" w:type="dxa"/>
          </w:tcPr>
          <w:p w14:paraId="041B75E0" w14:textId="77777777" w:rsidR="00EB2B55" w:rsidRPr="00672DBE" w:rsidRDefault="00EB2B55" w:rsidP="003414BB">
            <w:pPr>
              <w:jc w:val="center"/>
              <w:rPr>
                <w:sz w:val="20"/>
                <w:szCs w:val="20"/>
              </w:rPr>
            </w:pPr>
            <w:r w:rsidRPr="00672DBE">
              <w:rPr>
                <w:sz w:val="20"/>
                <w:szCs w:val="20"/>
              </w:rPr>
              <w:t>Yes (online survey data)</w:t>
            </w:r>
          </w:p>
        </w:tc>
        <w:tc>
          <w:tcPr>
            <w:tcW w:w="1843" w:type="dxa"/>
            <w:shd w:val="clear" w:color="auto" w:fill="auto"/>
          </w:tcPr>
          <w:p w14:paraId="2C85CBFF" w14:textId="77777777" w:rsidR="00EB2B55" w:rsidRPr="00672DBE" w:rsidRDefault="00EB2B55" w:rsidP="003414BB">
            <w:pPr>
              <w:jc w:val="center"/>
              <w:rPr>
                <w:sz w:val="20"/>
                <w:szCs w:val="20"/>
              </w:rPr>
            </w:pPr>
            <w:r w:rsidRPr="00672DBE">
              <w:rPr>
                <w:sz w:val="20"/>
                <w:szCs w:val="20"/>
              </w:rPr>
              <w:t>Yes</w:t>
            </w:r>
          </w:p>
        </w:tc>
        <w:tc>
          <w:tcPr>
            <w:tcW w:w="1843" w:type="dxa"/>
          </w:tcPr>
          <w:p w14:paraId="23EFC344" w14:textId="77777777" w:rsidR="00EB2B55" w:rsidRPr="00672DBE" w:rsidRDefault="00EB2B55" w:rsidP="003414BB">
            <w:pPr>
              <w:jc w:val="center"/>
              <w:rPr>
                <w:sz w:val="20"/>
                <w:szCs w:val="20"/>
              </w:rPr>
            </w:pPr>
            <w:r w:rsidRPr="00672DBE">
              <w:rPr>
                <w:sz w:val="20"/>
                <w:szCs w:val="20"/>
              </w:rPr>
              <w:t>Yes</w:t>
            </w:r>
          </w:p>
        </w:tc>
        <w:tc>
          <w:tcPr>
            <w:tcW w:w="1560" w:type="dxa"/>
          </w:tcPr>
          <w:p w14:paraId="4022C213" w14:textId="77777777" w:rsidR="00EB2B55" w:rsidRPr="00672DBE" w:rsidRDefault="00EB2B55" w:rsidP="003414BB">
            <w:pPr>
              <w:jc w:val="center"/>
              <w:rPr>
                <w:sz w:val="20"/>
                <w:szCs w:val="20"/>
              </w:rPr>
            </w:pPr>
            <w:r w:rsidRPr="00672DBE">
              <w:rPr>
                <w:sz w:val="20"/>
                <w:szCs w:val="20"/>
              </w:rPr>
              <w:t>Yes</w:t>
            </w:r>
          </w:p>
        </w:tc>
        <w:tc>
          <w:tcPr>
            <w:tcW w:w="1417" w:type="dxa"/>
          </w:tcPr>
          <w:p w14:paraId="107C197D" w14:textId="77777777" w:rsidR="00EB2B55" w:rsidRPr="00672DBE" w:rsidRDefault="00EB2B55" w:rsidP="003414BB">
            <w:pPr>
              <w:jc w:val="center"/>
              <w:rPr>
                <w:sz w:val="20"/>
                <w:szCs w:val="20"/>
              </w:rPr>
            </w:pPr>
            <w:r w:rsidRPr="00672DBE">
              <w:rPr>
                <w:sz w:val="20"/>
                <w:szCs w:val="20"/>
              </w:rPr>
              <w:t>Yes</w:t>
            </w:r>
          </w:p>
        </w:tc>
        <w:tc>
          <w:tcPr>
            <w:tcW w:w="1218" w:type="dxa"/>
          </w:tcPr>
          <w:p w14:paraId="03EA87F0" w14:textId="77777777" w:rsidR="00EB2B55" w:rsidRPr="00672DBE" w:rsidRDefault="00EB2B55" w:rsidP="003414BB">
            <w:pPr>
              <w:jc w:val="center"/>
              <w:rPr>
                <w:sz w:val="20"/>
                <w:szCs w:val="20"/>
              </w:rPr>
            </w:pPr>
            <w:r w:rsidRPr="00672DBE">
              <w:rPr>
                <w:sz w:val="20"/>
                <w:szCs w:val="20"/>
              </w:rPr>
              <w:t>8/8</w:t>
            </w:r>
          </w:p>
        </w:tc>
      </w:tr>
      <w:tr w:rsidR="00AD5473" w:rsidRPr="00672DBE" w14:paraId="6DC440FB" w14:textId="77777777" w:rsidTr="00AD5473">
        <w:tc>
          <w:tcPr>
            <w:tcW w:w="1387" w:type="dxa"/>
          </w:tcPr>
          <w:p w14:paraId="248C0734" w14:textId="77777777" w:rsidR="00EB2B55" w:rsidRPr="00672DBE" w:rsidRDefault="00EB2B55" w:rsidP="003414BB">
            <w:pPr>
              <w:rPr>
                <w:sz w:val="20"/>
                <w:szCs w:val="20"/>
              </w:rPr>
            </w:pPr>
            <w:r w:rsidRPr="00672DBE">
              <w:rPr>
                <w:sz w:val="20"/>
                <w:szCs w:val="20"/>
              </w:rPr>
              <w:t>Schutte et al. 2023</w:t>
            </w:r>
          </w:p>
        </w:tc>
        <w:tc>
          <w:tcPr>
            <w:tcW w:w="1297" w:type="dxa"/>
          </w:tcPr>
          <w:p w14:paraId="2AFD11FC" w14:textId="77777777" w:rsidR="00EB2B55" w:rsidRPr="00672DBE" w:rsidRDefault="00EB2B55" w:rsidP="00501F79">
            <w:pPr>
              <w:keepNext/>
              <w:keepLines/>
              <w:jc w:val="center"/>
              <w:rPr>
                <w:sz w:val="20"/>
                <w:szCs w:val="20"/>
              </w:rPr>
            </w:pPr>
            <w:r w:rsidRPr="00672DBE">
              <w:rPr>
                <w:sz w:val="20"/>
                <w:szCs w:val="20"/>
              </w:rPr>
              <w:t xml:space="preserve">Yes </w:t>
            </w:r>
          </w:p>
        </w:tc>
        <w:tc>
          <w:tcPr>
            <w:tcW w:w="1422" w:type="dxa"/>
          </w:tcPr>
          <w:p w14:paraId="49A7BDF3" w14:textId="77777777" w:rsidR="00EB2B55" w:rsidRPr="00672DBE" w:rsidRDefault="00EB2B55" w:rsidP="00501F79">
            <w:pPr>
              <w:keepNext/>
              <w:keepLines/>
              <w:jc w:val="center"/>
              <w:rPr>
                <w:sz w:val="20"/>
                <w:szCs w:val="20"/>
              </w:rPr>
            </w:pPr>
            <w:r w:rsidRPr="00672DBE">
              <w:rPr>
                <w:sz w:val="20"/>
                <w:szCs w:val="20"/>
              </w:rPr>
              <w:t>Yes</w:t>
            </w:r>
          </w:p>
        </w:tc>
        <w:tc>
          <w:tcPr>
            <w:tcW w:w="1559" w:type="dxa"/>
          </w:tcPr>
          <w:p w14:paraId="432EDF1B" w14:textId="77777777" w:rsidR="00EB2B55" w:rsidRPr="00672DBE" w:rsidRDefault="00EB2B55" w:rsidP="00501F79">
            <w:pPr>
              <w:keepNext/>
              <w:keepLines/>
              <w:jc w:val="center"/>
              <w:rPr>
                <w:sz w:val="20"/>
                <w:szCs w:val="20"/>
              </w:rPr>
            </w:pPr>
            <w:r w:rsidRPr="00672DBE">
              <w:rPr>
                <w:sz w:val="20"/>
                <w:szCs w:val="20"/>
              </w:rPr>
              <w:t>Yes</w:t>
            </w:r>
          </w:p>
        </w:tc>
        <w:tc>
          <w:tcPr>
            <w:tcW w:w="1701" w:type="dxa"/>
          </w:tcPr>
          <w:p w14:paraId="253D9D08" w14:textId="77777777" w:rsidR="00501F79" w:rsidRDefault="00EB2B55" w:rsidP="00501F79">
            <w:pPr>
              <w:keepNext/>
              <w:keepLines/>
              <w:jc w:val="center"/>
              <w:rPr>
                <w:sz w:val="20"/>
                <w:szCs w:val="20"/>
              </w:rPr>
            </w:pPr>
            <w:r w:rsidRPr="00672DBE">
              <w:rPr>
                <w:sz w:val="20"/>
                <w:szCs w:val="20"/>
              </w:rPr>
              <w:t>Yes</w:t>
            </w:r>
          </w:p>
          <w:p w14:paraId="7831E1C0" w14:textId="75913935" w:rsidR="00EB2B55" w:rsidRPr="00672DBE" w:rsidRDefault="00EB2B55" w:rsidP="00501F79">
            <w:pPr>
              <w:keepNext/>
              <w:keepLines/>
              <w:jc w:val="center"/>
              <w:rPr>
                <w:sz w:val="20"/>
                <w:szCs w:val="20"/>
              </w:rPr>
            </w:pPr>
            <w:r w:rsidRPr="00672DBE">
              <w:rPr>
                <w:sz w:val="20"/>
                <w:szCs w:val="20"/>
              </w:rPr>
              <w:t>(</w:t>
            </w:r>
            <w:r w:rsidR="00501F79">
              <w:rPr>
                <w:sz w:val="20"/>
                <w:szCs w:val="20"/>
              </w:rPr>
              <w:t>medical</w:t>
            </w:r>
            <w:r w:rsidRPr="00672DBE">
              <w:rPr>
                <w:sz w:val="20"/>
                <w:szCs w:val="20"/>
              </w:rPr>
              <w:t xml:space="preserve"> database)</w:t>
            </w:r>
          </w:p>
        </w:tc>
        <w:tc>
          <w:tcPr>
            <w:tcW w:w="1843" w:type="dxa"/>
            <w:shd w:val="clear" w:color="auto" w:fill="auto"/>
          </w:tcPr>
          <w:p w14:paraId="2CAE85E0" w14:textId="77777777" w:rsidR="00EB2B55" w:rsidRPr="00672DBE" w:rsidRDefault="00EB2B55" w:rsidP="003414BB">
            <w:pPr>
              <w:jc w:val="center"/>
              <w:rPr>
                <w:sz w:val="20"/>
                <w:szCs w:val="20"/>
              </w:rPr>
            </w:pPr>
            <w:r w:rsidRPr="00672DBE">
              <w:rPr>
                <w:sz w:val="20"/>
                <w:szCs w:val="20"/>
              </w:rPr>
              <w:t>Yes</w:t>
            </w:r>
          </w:p>
        </w:tc>
        <w:tc>
          <w:tcPr>
            <w:tcW w:w="1843" w:type="dxa"/>
          </w:tcPr>
          <w:p w14:paraId="3E52B76B" w14:textId="77777777" w:rsidR="00EB2B55" w:rsidRPr="00672DBE" w:rsidRDefault="00EB2B55" w:rsidP="003414BB">
            <w:pPr>
              <w:jc w:val="center"/>
              <w:rPr>
                <w:sz w:val="20"/>
                <w:szCs w:val="20"/>
              </w:rPr>
            </w:pPr>
            <w:r w:rsidRPr="00672DBE">
              <w:rPr>
                <w:sz w:val="20"/>
                <w:szCs w:val="20"/>
              </w:rPr>
              <w:t>Yes</w:t>
            </w:r>
          </w:p>
        </w:tc>
        <w:tc>
          <w:tcPr>
            <w:tcW w:w="1560" w:type="dxa"/>
          </w:tcPr>
          <w:p w14:paraId="065363EF" w14:textId="26642C09" w:rsidR="00EB2B55" w:rsidRPr="00672DBE" w:rsidRDefault="00EB2B55" w:rsidP="003414BB">
            <w:pPr>
              <w:jc w:val="center"/>
              <w:rPr>
                <w:sz w:val="20"/>
                <w:szCs w:val="20"/>
              </w:rPr>
            </w:pPr>
            <w:r w:rsidRPr="00672DBE">
              <w:rPr>
                <w:sz w:val="20"/>
                <w:szCs w:val="20"/>
              </w:rPr>
              <w:t xml:space="preserve">Yes </w:t>
            </w:r>
          </w:p>
        </w:tc>
        <w:tc>
          <w:tcPr>
            <w:tcW w:w="1417" w:type="dxa"/>
          </w:tcPr>
          <w:p w14:paraId="482D760E" w14:textId="77777777" w:rsidR="00EB2B55" w:rsidRPr="00672DBE" w:rsidRDefault="00EB2B55" w:rsidP="003414BB">
            <w:pPr>
              <w:jc w:val="center"/>
              <w:rPr>
                <w:sz w:val="20"/>
                <w:szCs w:val="20"/>
              </w:rPr>
            </w:pPr>
            <w:r w:rsidRPr="00672DBE">
              <w:rPr>
                <w:sz w:val="20"/>
                <w:szCs w:val="20"/>
              </w:rPr>
              <w:t>No</w:t>
            </w:r>
          </w:p>
        </w:tc>
        <w:tc>
          <w:tcPr>
            <w:tcW w:w="1218" w:type="dxa"/>
          </w:tcPr>
          <w:p w14:paraId="1316D3B3" w14:textId="77777777" w:rsidR="00EB2B55" w:rsidRPr="00672DBE" w:rsidRDefault="00EB2B55" w:rsidP="003414BB">
            <w:pPr>
              <w:jc w:val="center"/>
              <w:rPr>
                <w:sz w:val="20"/>
                <w:szCs w:val="20"/>
              </w:rPr>
            </w:pPr>
            <w:r w:rsidRPr="00672DBE">
              <w:rPr>
                <w:sz w:val="20"/>
                <w:szCs w:val="20"/>
              </w:rPr>
              <w:t>7/8</w:t>
            </w:r>
          </w:p>
        </w:tc>
      </w:tr>
      <w:tr w:rsidR="00313226" w:rsidRPr="00672DBE" w14:paraId="7C1C8E04" w14:textId="77777777" w:rsidTr="00AD5473">
        <w:tc>
          <w:tcPr>
            <w:tcW w:w="1387" w:type="dxa"/>
          </w:tcPr>
          <w:p w14:paraId="49632CA8" w14:textId="4C725B7B" w:rsidR="00313226" w:rsidRPr="00AE6868" w:rsidRDefault="00313226" w:rsidP="00313226">
            <w:pPr>
              <w:rPr>
                <w:sz w:val="20"/>
                <w:szCs w:val="20"/>
              </w:rPr>
            </w:pPr>
            <w:r w:rsidRPr="00AE6868">
              <w:rPr>
                <w:sz w:val="20"/>
                <w:szCs w:val="20"/>
              </w:rPr>
              <w:t>Wang et al. 2022</w:t>
            </w:r>
          </w:p>
        </w:tc>
        <w:tc>
          <w:tcPr>
            <w:tcW w:w="1297" w:type="dxa"/>
          </w:tcPr>
          <w:p w14:paraId="7CB5123A" w14:textId="5A2C4AEF" w:rsidR="00313226" w:rsidRPr="00AE6868" w:rsidRDefault="00313226" w:rsidP="00313226">
            <w:pPr>
              <w:keepNext/>
              <w:keepLines/>
              <w:jc w:val="center"/>
              <w:rPr>
                <w:sz w:val="20"/>
                <w:szCs w:val="20"/>
              </w:rPr>
            </w:pPr>
            <w:r w:rsidRPr="00AE6868">
              <w:rPr>
                <w:sz w:val="20"/>
                <w:szCs w:val="20"/>
              </w:rPr>
              <w:t>Yes</w:t>
            </w:r>
          </w:p>
        </w:tc>
        <w:tc>
          <w:tcPr>
            <w:tcW w:w="1422" w:type="dxa"/>
          </w:tcPr>
          <w:p w14:paraId="49893C2C" w14:textId="70439713" w:rsidR="00313226" w:rsidRPr="00AE6868" w:rsidRDefault="00313226" w:rsidP="00313226">
            <w:pPr>
              <w:keepNext/>
              <w:keepLines/>
              <w:jc w:val="center"/>
              <w:rPr>
                <w:sz w:val="20"/>
                <w:szCs w:val="20"/>
              </w:rPr>
            </w:pPr>
            <w:r w:rsidRPr="00AE6868">
              <w:rPr>
                <w:sz w:val="20"/>
                <w:szCs w:val="20"/>
              </w:rPr>
              <w:t>Yes</w:t>
            </w:r>
          </w:p>
        </w:tc>
        <w:tc>
          <w:tcPr>
            <w:tcW w:w="1559" w:type="dxa"/>
          </w:tcPr>
          <w:p w14:paraId="30D63CA0" w14:textId="6C07B573" w:rsidR="00313226" w:rsidRPr="00AE6868" w:rsidRDefault="00313226" w:rsidP="00313226">
            <w:pPr>
              <w:keepNext/>
              <w:keepLines/>
              <w:jc w:val="center"/>
              <w:rPr>
                <w:sz w:val="20"/>
                <w:szCs w:val="20"/>
              </w:rPr>
            </w:pPr>
            <w:r w:rsidRPr="00AE6868">
              <w:rPr>
                <w:sz w:val="20"/>
                <w:szCs w:val="20"/>
              </w:rPr>
              <w:t>Yes</w:t>
            </w:r>
          </w:p>
        </w:tc>
        <w:tc>
          <w:tcPr>
            <w:tcW w:w="1701" w:type="dxa"/>
          </w:tcPr>
          <w:p w14:paraId="7EC8FF39" w14:textId="77777777" w:rsidR="00313226" w:rsidRPr="00AE6868" w:rsidRDefault="00313226" w:rsidP="00313226">
            <w:pPr>
              <w:jc w:val="center"/>
              <w:rPr>
                <w:sz w:val="20"/>
                <w:szCs w:val="20"/>
              </w:rPr>
            </w:pPr>
            <w:r w:rsidRPr="00AE6868">
              <w:rPr>
                <w:sz w:val="20"/>
                <w:szCs w:val="20"/>
              </w:rPr>
              <w:t>Yes</w:t>
            </w:r>
          </w:p>
          <w:p w14:paraId="25E09B65" w14:textId="0E7F76F1" w:rsidR="00313226" w:rsidRPr="00AE6868" w:rsidRDefault="00313226" w:rsidP="00313226">
            <w:pPr>
              <w:keepNext/>
              <w:keepLines/>
              <w:jc w:val="center"/>
              <w:rPr>
                <w:sz w:val="20"/>
                <w:szCs w:val="20"/>
              </w:rPr>
            </w:pPr>
            <w:r w:rsidRPr="00AE6868">
              <w:rPr>
                <w:sz w:val="20"/>
                <w:szCs w:val="20"/>
              </w:rPr>
              <w:t>(</w:t>
            </w:r>
            <w:r w:rsidR="00AE6868">
              <w:rPr>
                <w:sz w:val="20"/>
                <w:szCs w:val="20"/>
              </w:rPr>
              <w:t>h</w:t>
            </w:r>
            <w:r w:rsidRPr="00AE6868">
              <w:rPr>
                <w:sz w:val="20"/>
                <w:szCs w:val="20"/>
              </w:rPr>
              <w:t>ospital database)</w:t>
            </w:r>
          </w:p>
        </w:tc>
        <w:tc>
          <w:tcPr>
            <w:tcW w:w="1843" w:type="dxa"/>
            <w:shd w:val="clear" w:color="auto" w:fill="auto"/>
          </w:tcPr>
          <w:p w14:paraId="34B6404B" w14:textId="56F0C59D" w:rsidR="00313226" w:rsidRPr="00AE6868" w:rsidRDefault="00313226" w:rsidP="00313226">
            <w:pPr>
              <w:jc w:val="center"/>
              <w:rPr>
                <w:sz w:val="20"/>
                <w:szCs w:val="20"/>
              </w:rPr>
            </w:pPr>
            <w:r w:rsidRPr="00AE6868">
              <w:rPr>
                <w:sz w:val="20"/>
                <w:szCs w:val="20"/>
              </w:rPr>
              <w:t>Yes</w:t>
            </w:r>
          </w:p>
        </w:tc>
        <w:tc>
          <w:tcPr>
            <w:tcW w:w="1843" w:type="dxa"/>
          </w:tcPr>
          <w:p w14:paraId="4ECD457A" w14:textId="6DD9F46B" w:rsidR="00313226" w:rsidRPr="00AE6868" w:rsidRDefault="00313226" w:rsidP="00313226">
            <w:pPr>
              <w:jc w:val="center"/>
              <w:rPr>
                <w:sz w:val="20"/>
                <w:szCs w:val="20"/>
              </w:rPr>
            </w:pPr>
            <w:r w:rsidRPr="00AE6868">
              <w:rPr>
                <w:sz w:val="20"/>
                <w:szCs w:val="20"/>
              </w:rPr>
              <w:t>Yes</w:t>
            </w:r>
          </w:p>
        </w:tc>
        <w:tc>
          <w:tcPr>
            <w:tcW w:w="1560" w:type="dxa"/>
          </w:tcPr>
          <w:p w14:paraId="5D82ABA6" w14:textId="77777777" w:rsidR="00313226" w:rsidRPr="00AE6868" w:rsidRDefault="00313226" w:rsidP="00313226">
            <w:pPr>
              <w:jc w:val="center"/>
              <w:rPr>
                <w:sz w:val="20"/>
                <w:szCs w:val="20"/>
              </w:rPr>
            </w:pPr>
            <w:r w:rsidRPr="00AE6868">
              <w:rPr>
                <w:sz w:val="20"/>
                <w:szCs w:val="20"/>
              </w:rPr>
              <w:t>Yes</w:t>
            </w:r>
          </w:p>
          <w:p w14:paraId="33EF370F" w14:textId="78FFE607" w:rsidR="00313226" w:rsidRPr="00AE6868" w:rsidRDefault="00313226" w:rsidP="00313226">
            <w:pPr>
              <w:jc w:val="center"/>
              <w:rPr>
                <w:sz w:val="20"/>
                <w:szCs w:val="20"/>
              </w:rPr>
            </w:pPr>
            <w:r w:rsidRPr="00AE6868">
              <w:rPr>
                <w:sz w:val="20"/>
                <w:szCs w:val="20"/>
              </w:rPr>
              <w:t>(sex only)</w:t>
            </w:r>
          </w:p>
        </w:tc>
        <w:tc>
          <w:tcPr>
            <w:tcW w:w="1417" w:type="dxa"/>
          </w:tcPr>
          <w:p w14:paraId="0C289BDF" w14:textId="77777777" w:rsidR="00313226" w:rsidRPr="00AE6868" w:rsidRDefault="00313226" w:rsidP="00313226">
            <w:pPr>
              <w:jc w:val="center"/>
              <w:rPr>
                <w:sz w:val="20"/>
                <w:szCs w:val="20"/>
              </w:rPr>
            </w:pPr>
            <w:r w:rsidRPr="00AE6868">
              <w:rPr>
                <w:sz w:val="20"/>
                <w:szCs w:val="20"/>
              </w:rPr>
              <w:t>Yes</w:t>
            </w:r>
          </w:p>
          <w:p w14:paraId="7B1FF6D7" w14:textId="0CF0811F" w:rsidR="00313226" w:rsidRPr="00AE6868" w:rsidRDefault="00313226" w:rsidP="00313226">
            <w:pPr>
              <w:jc w:val="center"/>
              <w:rPr>
                <w:sz w:val="20"/>
                <w:szCs w:val="20"/>
              </w:rPr>
            </w:pPr>
            <w:r w:rsidRPr="00AE6868">
              <w:rPr>
                <w:sz w:val="20"/>
                <w:szCs w:val="20"/>
              </w:rPr>
              <w:t>(sex only)</w:t>
            </w:r>
          </w:p>
        </w:tc>
        <w:tc>
          <w:tcPr>
            <w:tcW w:w="1218" w:type="dxa"/>
          </w:tcPr>
          <w:p w14:paraId="144D7F62" w14:textId="01964434" w:rsidR="00313226" w:rsidRPr="00AE6868" w:rsidRDefault="00313226" w:rsidP="00313226">
            <w:pPr>
              <w:jc w:val="center"/>
              <w:rPr>
                <w:sz w:val="20"/>
                <w:szCs w:val="20"/>
              </w:rPr>
            </w:pPr>
            <w:r w:rsidRPr="00AE6868">
              <w:rPr>
                <w:sz w:val="20"/>
                <w:szCs w:val="20"/>
              </w:rPr>
              <w:t>8/8</w:t>
            </w:r>
          </w:p>
        </w:tc>
      </w:tr>
      <w:tr w:rsidR="00AD5473" w:rsidRPr="00672DBE" w14:paraId="4BCF196F" w14:textId="77777777" w:rsidTr="00AD5473">
        <w:tc>
          <w:tcPr>
            <w:tcW w:w="1387" w:type="dxa"/>
          </w:tcPr>
          <w:p w14:paraId="1CFDDDEA" w14:textId="77777777" w:rsidR="00EB2B55" w:rsidRPr="00672DBE" w:rsidRDefault="00EB2B55" w:rsidP="003414BB">
            <w:pPr>
              <w:rPr>
                <w:sz w:val="20"/>
                <w:szCs w:val="20"/>
              </w:rPr>
            </w:pPr>
            <w:r w:rsidRPr="00672DBE">
              <w:rPr>
                <w:sz w:val="20"/>
                <w:szCs w:val="20"/>
              </w:rPr>
              <w:t>Worrall-Carter et al. 2016</w:t>
            </w:r>
          </w:p>
        </w:tc>
        <w:tc>
          <w:tcPr>
            <w:tcW w:w="1297" w:type="dxa"/>
          </w:tcPr>
          <w:p w14:paraId="52370FE1" w14:textId="77777777" w:rsidR="00EB2B55" w:rsidRPr="00672DBE" w:rsidRDefault="00EB2B55" w:rsidP="003414BB">
            <w:pPr>
              <w:jc w:val="center"/>
              <w:rPr>
                <w:sz w:val="20"/>
                <w:szCs w:val="20"/>
              </w:rPr>
            </w:pPr>
            <w:r w:rsidRPr="00672DBE">
              <w:rPr>
                <w:sz w:val="20"/>
                <w:szCs w:val="20"/>
              </w:rPr>
              <w:t>Yes</w:t>
            </w:r>
          </w:p>
        </w:tc>
        <w:tc>
          <w:tcPr>
            <w:tcW w:w="1422" w:type="dxa"/>
          </w:tcPr>
          <w:p w14:paraId="25691B95" w14:textId="77777777" w:rsidR="00EB2B55" w:rsidRPr="00672DBE" w:rsidRDefault="00EB2B55" w:rsidP="003414BB">
            <w:pPr>
              <w:jc w:val="center"/>
              <w:rPr>
                <w:sz w:val="20"/>
                <w:szCs w:val="20"/>
              </w:rPr>
            </w:pPr>
            <w:r w:rsidRPr="00672DBE">
              <w:rPr>
                <w:sz w:val="20"/>
                <w:szCs w:val="20"/>
              </w:rPr>
              <w:t>Yes</w:t>
            </w:r>
          </w:p>
        </w:tc>
        <w:tc>
          <w:tcPr>
            <w:tcW w:w="1559" w:type="dxa"/>
          </w:tcPr>
          <w:p w14:paraId="4C53EBBC" w14:textId="77777777" w:rsidR="00EB2B55" w:rsidRPr="00672DBE" w:rsidRDefault="00EB2B55" w:rsidP="003414BB">
            <w:pPr>
              <w:jc w:val="center"/>
              <w:rPr>
                <w:sz w:val="20"/>
                <w:szCs w:val="20"/>
              </w:rPr>
            </w:pPr>
            <w:r w:rsidRPr="00672DBE">
              <w:rPr>
                <w:sz w:val="20"/>
                <w:szCs w:val="20"/>
              </w:rPr>
              <w:t>Yes</w:t>
            </w:r>
          </w:p>
        </w:tc>
        <w:tc>
          <w:tcPr>
            <w:tcW w:w="1701" w:type="dxa"/>
          </w:tcPr>
          <w:p w14:paraId="6B68E2C0" w14:textId="77777777" w:rsidR="00501F79" w:rsidRDefault="00EB2B55" w:rsidP="003414BB">
            <w:pPr>
              <w:jc w:val="center"/>
              <w:rPr>
                <w:sz w:val="20"/>
                <w:szCs w:val="20"/>
              </w:rPr>
            </w:pPr>
            <w:r w:rsidRPr="00672DBE">
              <w:rPr>
                <w:sz w:val="20"/>
                <w:szCs w:val="20"/>
              </w:rPr>
              <w:t>Yes</w:t>
            </w:r>
          </w:p>
          <w:p w14:paraId="4A876583" w14:textId="7D24A461" w:rsidR="00EB2B55" w:rsidRPr="00672DBE" w:rsidRDefault="00EB2B55" w:rsidP="003414BB">
            <w:pPr>
              <w:jc w:val="center"/>
              <w:rPr>
                <w:sz w:val="20"/>
                <w:szCs w:val="20"/>
              </w:rPr>
            </w:pPr>
            <w:r w:rsidRPr="00672DBE">
              <w:rPr>
                <w:sz w:val="20"/>
                <w:szCs w:val="20"/>
              </w:rPr>
              <w:t>(hosp</w:t>
            </w:r>
            <w:r w:rsidR="00501F79">
              <w:rPr>
                <w:sz w:val="20"/>
                <w:szCs w:val="20"/>
              </w:rPr>
              <w:t>ital</w:t>
            </w:r>
            <w:r w:rsidR="00501F79" w:rsidRPr="00672DBE">
              <w:rPr>
                <w:sz w:val="20"/>
                <w:szCs w:val="20"/>
              </w:rPr>
              <w:t xml:space="preserve"> </w:t>
            </w:r>
            <w:r w:rsidRPr="00672DBE">
              <w:rPr>
                <w:sz w:val="20"/>
                <w:szCs w:val="20"/>
              </w:rPr>
              <w:t>record</w:t>
            </w:r>
            <w:r w:rsidR="00501F79">
              <w:rPr>
                <w:sz w:val="20"/>
                <w:szCs w:val="20"/>
              </w:rPr>
              <w:t>s</w:t>
            </w:r>
            <w:r w:rsidRPr="00672DBE">
              <w:rPr>
                <w:sz w:val="20"/>
                <w:szCs w:val="20"/>
              </w:rPr>
              <w:t>)</w:t>
            </w:r>
          </w:p>
        </w:tc>
        <w:tc>
          <w:tcPr>
            <w:tcW w:w="1843" w:type="dxa"/>
            <w:shd w:val="clear" w:color="auto" w:fill="auto"/>
          </w:tcPr>
          <w:p w14:paraId="474E20BD" w14:textId="77777777" w:rsidR="00EB2B55" w:rsidRPr="00672DBE" w:rsidRDefault="00EB2B55" w:rsidP="003414BB">
            <w:pPr>
              <w:jc w:val="center"/>
              <w:rPr>
                <w:sz w:val="20"/>
                <w:szCs w:val="20"/>
              </w:rPr>
            </w:pPr>
            <w:r w:rsidRPr="00672DBE">
              <w:rPr>
                <w:sz w:val="20"/>
                <w:szCs w:val="20"/>
              </w:rPr>
              <w:t>Yes</w:t>
            </w:r>
          </w:p>
        </w:tc>
        <w:tc>
          <w:tcPr>
            <w:tcW w:w="1843" w:type="dxa"/>
          </w:tcPr>
          <w:p w14:paraId="1B4ADDCF" w14:textId="77777777" w:rsidR="00EB2B55" w:rsidRPr="00672DBE" w:rsidRDefault="00EB2B55" w:rsidP="003414BB">
            <w:pPr>
              <w:jc w:val="center"/>
              <w:rPr>
                <w:sz w:val="20"/>
                <w:szCs w:val="20"/>
              </w:rPr>
            </w:pPr>
            <w:r w:rsidRPr="00672DBE">
              <w:rPr>
                <w:sz w:val="20"/>
                <w:szCs w:val="20"/>
              </w:rPr>
              <w:t xml:space="preserve">Yes </w:t>
            </w:r>
          </w:p>
        </w:tc>
        <w:tc>
          <w:tcPr>
            <w:tcW w:w="1560" w:type="dxa"/>
          </w:tcPr>
          <w:p w14:paraId="222C1E4D" w14:textId="77777777" w:rsidR="00EB2B55" w:rsidRPr="00672DBE" w:rsidRDefault="00EB2B55" w:rsidP="003414BB">
            <w:pPr>
              <w:jc w:val="center"/>
              <w:rPr>
                <w:sz w:val="20"/>
                <w:szCs w:val="20"/>
              </w:rPr>
            </w:pPr>
            <w:r w:rsidRPr="00672DBE">
              <w:rPr>
                <w:sz w:val="20"/>
                <w:szCs w:val="20"/>
              </w:rPr>
              <w:t>Yes</w:t>
            </w:r>
          </w:p>
        </w:tc>
        <w:tc>
          <w:tcPr>
            <w:tcW w:w="1417" w:type="dxa"/>
          </w:tcPr>
          <w:p w14:paraId="11932A1F" w14:textId="77777777" w:rsidR="00EB2B55" w:rsidRPr="00672DBE" w:rsidRDefault="00EB2B55" w:rsidP="003414BB">
            <w:pPr>
              <w:jc w:val="center"/>
              <w:rPr>
                <w:sz w:val="20"/>
                <w:szCs w:val="20"/>
              </w:rPr>
            </w:pPr>
            <w:r w:rsidRPr="00672DBE">
              <w:rPr>
                <w:sz w:val="20"/>
                <w:szCs w:val="20"/>
              </w:rPr>
              <w:t>No</w:t>
            </w:r>
          </w:p>
        </w:tc>
        <w:tc>
          <w:tcPr>
            <w:tcW w:w="1218" w:type="dxa"/>
          </w:tcPr>
          <w:p w14:paraId="55C398F0" w14:textId="77777777" w:rsidR="00EB2B55" w:rsidRPr="00672DBE" w:rsidRDefault="00EB2B55" w:rsidP="003414BB">
            <w:pPr>
              <w:jc w:val="center"/>
              <w:rPr>
                <w:sz w:val="20"/>
                <w:szCs w:val="20"/>
              </w:rPr>
            </w:pPr>
            <w:r w:rsidRPr="00672DBE">
              <w:rPr>
                <w:sz w:val="20"/>
                <w:szCs w:val="20"/>
              </w:rPr>
              <w:t>7/8</w:t>
            </w:r>
          </w:p>
        </w:tc>
      </w:tr>
    </w:tbl>
    <w:p w14:paraId="630FA6E4" w14:textId="2ECB2D48" w:rsidR="00EB2B55" w:rsidRDefault="00EB2B55" w:rsidP="003414BB">
      <w:pPr>
        <w:spacing w:after="0" w:line="240" w:lineRule="auto"/>
        <w:rPr>
          <w:sz w:val="20"/>
          <w:szCs w:val="20"/>
        </w:rPr>
      </w:pPr>
      <w:r w:rsidRPr="00672DBE">
        <w:rPr>
          <w:sz w:val="20"/>
          <w:szCs w:val="20"/>
        </w:rPr>
        <w:t xml:space="preserve">* </w:t>
      </w:r>
      <w:r w:rsidR="00E42FFE">
        <w:rPr>
          <w:sz w:val="20"/>
          <w:szCs w:val="20"/>
        </w:rPr>
        <w:t>Where sex or gender representation was beyond researchers’ control, such as in use of existing data or where there are sex differences in disease prevalence (e.g., cardiovascular disease), this column was scored Yes.</w:t>
      </w:r>
      <w:r w:rsidRPr="00672DBE">
        <w:rPr>
          <w:sz w:val="20"/>
          <w:szCs w:val="20"/>
        </w:rPr>
        <w:t xml:space="preserve"> </w:t>
      </w:r>
    </w:p>
    <w:p w14:paraId="6D272B40" w14:textId="776D1381" w:rsidR="00E42FFE" w:rsidRPr="00672DBE" w:rsidRDefault="00E42FFE" w:rsidP="003414BB">
      <w:pPr>
        <w:spacing w:after="0" w:line="240" w:lineRule="auto"/>
        <w:rPr>
          <w:sz w:val="20"/>
          <w:szCs w:val="20"/>
        </w:rPr>
      </w:pPr>
      <w:r>
        <w:rPr>
          <w:sz w:val="20"/>
          <w:szCs w:val="20"/>
        </w:rPr>
        <w:t>** This column was scored Yes when researchers used existing data</w:t>
      </w:r>
      <w:r w:rsidR="00BC23C3">
        <w:rPr>
          <w:sz w:val="20"/>
          <w:szCs w:val="20"/>
        </w:rPr>
        <w:t xml:space="preserve"> (information not in their control);</w:t>
      </w:r>
      <w:r>
        <w:rPr>
          <w:sz w:val="20"/>
          <w:szCs w:val="20"/>
        </w:rPr>
        <w:t xml:space="preserve"> in no case did researchers using existing data specify how sex or gender was </w:t>
      </w:r>
      <w:r w:rsidR="00BC23C3">
        <w:rPr>
          <w:sz w:val="20"/>
          <w:szCs w:val="20"/>
        </w:rPr>
        <w:t>assigned</w:t>
      </w:r>
      <w:r>
        <w:rPr>
          <w:sz w:val="20"/>
          <w:szCs w:val="20"/>
        </w:rPr>
        <w:t xml:space="preserve">. </w:t>
      </w:r>
    </w:p>
    <w:p w14:paraId="6A82646C" w14:textId="77777777" w:rsidR="00EB2B55" w:rsidRPr="00672DBE" w:rsidRDefault="00EB2B55" w:rsidP="003414BB"/>
    <w:p w14:paraId="27537D25" w14:textId="3362D963" w:rsidR="00262A35" w:rsidRPr="00672DBE" w:rsidRDefault="00262A35">
      <w:r w:rsidRPr="00672DBE">
        <w:br w:type="page"/>
      </w:r>
    </w:p>
    <w:p w14:paraId="7330250C" w14:textId="60603646" w:rsidR="00E91484" w:rsidRPr="003300B8" w:rsidRDefault="00CC4682" w:rsidP="00C376D4">
      <w:pPr>
        <w:pStyle w:val="Heading2"/>
        <w:rPr>
          <w:rFonts w:asciiTheme="minorHAnsi" w:hAnsiTheme="minorHAnsi" w:cstheme="minorHAnsi"/>
          <w:color w:val="4C2863"/>
        </w:rPr>
      </w:pPr>
      <w:bookmarkStart w:id="346" w:name="_Toc168392443"/>
      <w:bookmarkStart w:id="347" w:name="_Toc168392086"/>
      <w:bookmarkStart w:id="348" w:name="_Toc168393616"/>
      <w:bookmarkStart w:id="349" w:name="_Toc168393658"/>
      <w:bookmarkStart w:id="350" w:name="_Toc168394332"/>
      <w:bookmarkStart w:id="351" w:name="_Toc168394470"/>
      <w:r w:rsidRPr="003300B8">
        <w:rPr>
          <w:rFonts w:asciiTheme="minorHAnsi" w:hAnsiTheme="minorHAnsi" w:cstheme="minorHAnsi"/>
          <w:color w:val="4C2863"/>
        </w:rPr>
        <w:lastRenderedPageBreak/>
        <w:t xml:space="preserve">Appendix </w:t>
      </w:r>
      <w:r w:rsidR="00A471B8" w:rsidRPr="003300B8">
        <w:rPr>
          <w:rFonts w:asciiTheme="minorHAnsi" w:hAnsiTheme="minorHAnsi" w:cstheme="minorHAnsi"/>
          <w:color w:val="4C2863"/>
        </w:rPr>
        <w:t>D</w:t>
      </w:r>
      <w:r w:rsidR="00EB2B55" w:rsidRPr="003300B8">
        <w:rPr>
          <w:rFonts w:asciiTheme="minorHAnsi" w:hAnsiTheme="minorHAnsi" w:cstheme="minorHAnsi"/>
          <w:color w:val="4C2863"/>
        </w:rPr>
        <w:t>.</w:t>
      </w:r>
      <w:bookmarkEnd w:id="346"/>
      <w:r w:rsidR="00EB2B55" w:rsidRPr="003300B8">
        <w:rPr>
          <w:rFonts w:asciiTheme="minorHAnsi" w:hAnsiTheme="minorHAnsi" w:cstheme="minorHAnsi"/>
          <w:color w:val="4C2863"/>
        </w:rPr>
        <w:t xml:space="preserve"> </w:t>
      </w:r>
      <w:bookmarkEnd w:id="347"/>
      <w:r w:rsidR="00691CE1" w:rsidRPr="003300B8">
        <w:rPr>
          <w:rFonts w:asciiTheme="minorHAnsi" w:hAnsiTheme="minorHAnsi" w:cstheme="minorHAnsi"/>
          <w:color w:val="4C2863"/>
        </w:rPr>
        <w:t xml:space="preserve"> </w:t>
      </w:r>
      <w:r w:rsidR="00E93171" w:rsidRPr="003300B8">
        <w:rPr>
          <w:rFonts w:asciiTheme="minorHAnsi" w:hAnsiTheme="minorHAnsi" w:cstheme="minorHAnsi"/>
          <w:color w:val="4C2863"/>
        </w:rPr>
        <w:t>Clinical Practice Guid</w:t>
      </w:r>
      <w:r w:rsidR="003328E8" w:rsidRPr="003300B8">
        <w:rPr>
          <w:rFonts w:asciiTheme="minorHAnsi" w:hAnsiTheme="minorHAnsi" w:cstheme="minorHAnsi"/>
          <w:color w:val="4C2863"/>
        </w:rPr>
        <w:t>e</w:t>
      </w:r>
      <w:r w:rsidR="00E93171" w:rsidRPr="003300B8">
        <w:rPr>
          <w:rFonts w:asciiTheme="minorHAnsi" w:hAnsiTheme="minorHAnsi" w:cstheme="minorHAnsi"/>
          <w:color w:val="4C2863"/>
        </w:rPr>
        <w:t>lines</w:t>
      </w:r>
      <w:bookmarkEnd w:id="348"/>
      <w:bookmarkEnd w:id="349"/>
      <w:bookmarkEnd w:id="350"/>
      <w:bookmarkEnd w:id="351"/>
    </w:p>
    <w:p w14:paraId="46C422A9" w14:textId="5BF4B817" w:rsidR="00094656" w:rsidRPr="00640161" w:rsidRDefault="00CC4682" w:rsidP="00094656">
      <w:pPr>
        <w:rPr>
          <w:rFonts w:cstheme="minorHAnsi"/>
          <w:b/>
        </w:rPr>
      </w:pPr>
      <w:r>
        <w:rPr>
          <w:rFonts w:cstheme="minorHAnsi"/>
          <w:b/>
        </w:rPr>
        <w:t xml:space="preserve">TABLE </w:t>
      </w:r>
      <w:r w:rsidR="00A471B8">
        <w:rPr>
          <w:rFonts w:cstheme="minorHAnsi"/>
          <w:b/>
        </w:rPr>
        <w:t>D</w:t>
      </w:r>
      <w:r>
        <w:rPr>
          <w:rFonts w:cstheme="minorHAnsi"/>
          <w:b/>
        </w:rPr>
        <w:t>1</w:t>
      </w:r>
      <w:r w:rsidR="00E91484" w:rsidRPr="004C1773">
        <w:rPr>
          <w:rFonts w:cstheme="minorHAnsi"/>
          <w:b/>
        </w:rPr>
        <w:t>: List of guidelines and inclusion of sex and/or gender information</w:t>
      </w:r>
    </w:p>
    <w:tbl>
      <w:tblPr>
        <w:tblW w:w="14900"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5"/>
        <w:gridCol w:w="3119"/>
        <w:gridCol w:w="1417"/>
        <w:gridCol w:w="1560"/>
        <w:gridCol w:w="2126"/>
        <w:gridCol w:w="1984"/>
        <w:gridCol w:w="1843"/>
        <w:gridCol w:w="1276"/>
      </w:tblGrid>
      <w:tr w:rsidR="00094656" w:rsidRPr="00640161" w14:paraId="1E571D60" w14:textId="77777777" w:rsidTr="003300B8">
        <w:trPr>
          <w:trHeight w:val="806"/>
          <w:tblHeader/>
        </w:trPr>
        <w:tc>
          <w:tcPr>
            <w:tcW w:w="1575" w:type="dxa"/>
            <w:shd w:val="clear" w:color="auto" w:fill="E3D3ED"/>
          </w:tcPr>
          <w:p w14:paraId="6D728BA7"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spacing w:val="-2"/>
              </w:rPr>
              <w:t>Organisation</w:t>
            </w:r>
          </w:p>
        </w:tc>
        <w:tc>
          <w:tcPr>
            <w:tcW w:w="3119" w:type="dxa"/>
            <w:shd w:val="clear" w:color="auto" w:fill="E3D3ED"/>
          </w:tcPr>
          <w:p w14:paraId="5E6472D6"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Title</w:t>
            </w:r>
            <w:r w:rsidRPr="003300B8">
              <w:rPr>
                <w:rFonts w:asciiTheme="minorHAnsi" w:hAnsiTheme="minorHAnsi" w:cstheme="minorHAnsi"/>
                <w:b/>
                <w:spacing w:val="-8"/>
              </w:rPr>
              <w:t xml:space="preserve"> </w:t>
            </w:r>
            <w:r w:rsidRPr="003300B8">
              <w:rPr>
                <w:rFonts w:asciiTheme="minorHAnsi" w:hAnsiTheme="minorHAnsi" w:cstheme="minorHAnsi"/>
                <w:b/>
              </w:rPr>
              <w:t>of</w:t>
            </w:r>
            <w:r w:rsidRPr="003300B8">
              <w:rPr>
                <w:rFonts w:asciiTheme="minorHAnsi" w:hAnsiTheme="minorHAnsi" w:cstheme="minorHAnsi"/>
                <w:b/>
                <w:spacing w:val="-8"/>
              </w:rPr>
              <w:t xml:space="preserve"> </w:t>
            </w:r>
            <w:r w:rsidRPr="003300B8">
              <w:rPr>
                <w:rFonts w:asciiTheme="minorHAnsi" w:hAnsiTheme="minorHAnsi" w:cstheme="minorHAnsi"/>
                <w:b/>
              </w:rPr>
              <w:t>guideline,</w:t>
            </w:r>
            <w:r w:rsidRPr="003300B8">
              <w:rPr>
                <w:rFonts w:asciiTheme="minorHAnsi" w:hAnsiTheme="minorHAnsi" w:cstheme="minorHAnsi"/>
                <w:b/>
                <w:spacing w:val="-8"/>
              </w:rPr>
              <w:t xml:space="preserve"> </w:t>
            </w:r>
            <w:r w:rsidRPr="003300B8">
              <w:rPr>
                <w:rFonts w:asciiTheme="minorHAnsi" w:hAnsiTheme="minorHAnsi" w:cstheme="minorHAnsi"/>
                <w:b/>
              </w:rPr>
              <w:t>year</w:t>
            </w:r>
            <w:r w:rsidRPr="003300B8">
              <w:rPr>
                <w:rFonts w:asciiTheme="minorHAnsi" w:hAnsiTheme="minorHAnsi" w:cstheme="minorHAnsi"/>
                <w:b/>
                <w:spacing w:val="-8"/>
              </w:rPr>
              <w:t xml:space="preserve"> </w:t>
            </w:r>
            <w:r w:rsidRPr="003300B8">
              <w:rPr>
                <w:rFonts w:asciiTheme="minorHAnsi" w:hAnsiTheme="minorHAnsi" w:cstheme="minorHAnsi"/>
                <w:b/>
              </w:rPr>
              <w:t>of</w:t>
            </w:r>
            <w:r w:rsidRPr="003300B8">
              <w:rPr>
                <w:rFonts w:asciiTheme="minorHAnsi" w:hAnsiTheme="minorHAnsi" w:cstheme="minorHAnsi"/>
                <w:b/>
                <w:spacing w:val="-8"/>
              </w:rPr>
              <w:t xml:space="preserve"> </w:t>
            </w:r>
            <w:r w:rsidRPr="003300B8">
              <w:rPr>
                <w:rFonts w:asciiTheme="minorHAnsi" w:hAnsiTheme="minorHAnsi" w:cstheme="minorHAnsi"/>
                <w:b/>
              </w:rPr>
              <w:t xml:space="preserve">publication </w:t>
            </w:r>
          </w:p>
          <w:p w14:paraId="4E966E9B"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spacing w:val="-2"/>
              </w:rPr>
              <w:t>URL/citation</w:t>
            </w:r>
          </w:p>
        </w:tc>
        <w:tc>
          <w:tcPr>
            <w:tcW w:w="1417" w:type="dxa"/>
            <w:shd w:val="clear" w:color="auto" w:fill="E3D3ED"/>
          </w:tcPr>
          <w:p w14:paraId="7C1E1B9A"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Approved/</w:t>
            </w:r>
          </w:p>
          <w:p w14:paraId="2A15E758"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endorsed by</w:t>
            </w:r>
          </w:p>
        </w:tc>
        <w:tc>
          <w:tcPr>
            <w:tcW w:w="1560" w:type="dxa"/>
            <w:shd w:val="clear" w:color="auto" w:fill="E3D3ED"/>
          </w:tcPr>
          <w:p w14:paraId="2558F350"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Area of practice</w:t>
            </w:r>
          </w:p>
        </w:tc>
        <w:tc>
          <w:tcPr>
            <w:tcW w:w="2126" w:type="dxa"/>
            <w:shd w:val="clear" w:color="auto" w:fill="E3D3ED"/>
          </w:tcPr>
          <w:p w14:paraId="695A5096" w14:textId="32AB020E" w:rsidR="00094656" w:rsidRPr="003300B8" w:rsidRDefault="00094656" w:rsidP="00733CE4">
            <w:pPr>
              <w:pStyle w:val="TableParagraph"/>
              <w:spacing w:before="40"/>
              <w:ind w:left="108" w:right="96"/>
              <w:rPr>
                <w:rFonts w:asciiTheme="minorHAnsi" w:hAnsiTheme="minorHAnsi" w:cstheme="minorHAnsi"/>
                <w:b/>
              </w:rPr>
            </w:pPr>
            <w:r w:rsidRPr="003300B8">
              <w:rPr>
                <w:rFonts w:asciiTheme="minorHAnsi" w:hAnsiTheme="minorHAnsi" w:cstheme="minorHAnsi"/>
                <w:b/>
              </w:rPr>
              <w:t>Use</w:t>
            </w:r>
            <w:r w:rsidRPr="003300B8">
              <w:rPr>
                <w:rFonts w:asciiTheme="minorHAnsi" w:hAnsiTheme="minorHAnsi" w:cstheme="minorHAnsi"/>
                <w:b/>
                <w:spacing w:val="-10"/>
              </w:rPr>
              <w:t xml:space="preserve"> </w:t>
            </w:r>
            <w:r w:rsidRPr="003300B8">
              <w:rPr>
                <w:rFonts w:asciiTheme="minorHAnsi" w:hAnsiTheme="minorHAnsi" w:cstheme="minorHAnsi"/>
                <w:b/>
              </w:rPr>
              <w:t>terms</w:t>
            </w:r>
            <w:r w:rsidRPr="003300B8">
              <w:rPr>
                <w:rFonts w:asciiTheme="minorHAnsi" w:hAnsiTheme="minorHAnsi" w:cstheme="minorHAnsi"/>
                <w:b/>
                <w:spacing w:val="-10"/>
              </w:rPr>
              <w:t xml:space="preserve"> </w:t>
            </w:r>
            <w:r w:rsidRPr="003300B8">
              <w:rPr>
                <w:rFonts w:asciiTheme="minorHAnsi" w:hAnsiTheme="minorHAnsi" w:cstheme="minorHAnsi"/>
                <w:b/>
              </w:rPr>
              <w:t>“sex”</w:t>
            </w:r>
            <w:r w:rsidRPr="003300B8">
              <w:rPr>
                <w:rFonts w:asciiTheme="minorHAnsi" w:hAnsiTheme="minorHAnsi" w:cstheme="minorHAnsi"/>
                <w:b/>
                <w:spacing w:val="-10"/>
              </w:rPr>
              <w:t xml:space="preserve"> </w:t>
            </w:r>
            <w:r w:rsidRPr="003300B8">
              <w:rPr>
                <w:rFonts w:asciiTheme="minorHAnsi" w:hAnsiTheme="minorHAnsi" w:cstheme="minorHAnsi"/>
                <w:b/>
              </w:rPr>
              <w:t>or</w:t>
            </w:r>
            <w:r w:rsidRPr="003300B8">
              <w:rPr>
                <w:rFonts w:asciiTheme="minorHAnsi" w:hAnsiTheme="minorHAnsi" w:cstheme="minorHAnsi"/>
                <w:b/>
                <w:spacing w:val="-9"/>
              </w:rPr>
              <w:t xml:space="preserve"> </w:t>
            </w:r>
            <w:r w:rsidRPr="003300B8">
              <w:rPr>
                <w:rFonts w:asciiTheme="minorHAnsi" w:hAnsiTheme="minorHAnsi" w:cstheme="minorHAnsi"/>
                <w:b/>
              </w:rPr>
              <w:t>“gender”? Correctly define &amp; use?</w:t>
            </w:r>
          </w:p>
        </w:tc>
        <w:tc>
          <w:tcPr>
            <w:tcW w:w="1984" w:type="dxa"/>
            <w:shd w:val="clear" w:color="auto" w:fill="E3D3ED"/>
          </w:tcPr>
          <w:p w14:paraId="48D27796"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Incorporation</w:t>
            </w:r>
            <w:r w:rsidRPr="003300B8">
              <w:rPr>
                <w:rFonts w:asciiTheme="minorHAnsi" w:hAnsiTheme="minorHAnsi" w:cstheme="minorHAnsi"/>
                <w:b/>
                <w:spacing w:val="-8"/>
              </w:rPr>
              <w:t xml:space="preserve"> </w:t>
            </w:r>
            <w:r w:rsidRPr="003300B8">
              <w:rPr>
                <w:rFonts w:asciiTheme="minorHAnsi" w:hAnsiTheme="minorHAnsi" w:cstheme="minorHAnsi"/>
                <w:b/>
              </w:rPr>
              <w:t>of</w:t>
            </w:r>
            <w:r w:rsidRPr="003300B8">
              <w:rPr>
                <w:rFonts w:asciiTheme="minorHAnsi" w:hAnsiTheme="minorHAnsi" w:cstheme="minorHAnsi"/>
                <w:b/>
                <w:spacing w:val="-7"/>
              </w:rPr>
              <w:t xml:space="preserve"> </w:t>
            </w:r>
            <w:r w:rsidRPr="003300B8">
              <w:rPr>
                <w:rFonts w:asciiTheme="minorHAnsi" w:hAnsiTheme="minorHAnsi" w:cstheme="minorHAnsi"/>
                <w:b/>
                <w:spacing w:val="-5"/>
              </w:rPr>
              <w:t>sex</w:t>
            </w:r>
          </w:p>
        </w:tc>
        <w:tc>
          <w:tcPr>
            <w:tcW w:w="1843" w:type="dxa"/>
            <w:shd w:val="clear" w:color="auto" w:fill="E3D3ED"/>
          </w:tcPr>
          <w:p w14:paraId="4D42A150"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Incorporation</w:t>
            </w:r>
            <w:r w:rsidRPr="003300B8">
              <w:rPr>
                <w:rFonts w:asciiTheme="minorHAnsi" w:hAnsiTheme="minorHAnsi" w:cstheme="minorHAnsi"/>
                <w:b/>
                <w:spacing w:val="-8"/>
              </w:rPr>
              <w:t xml:space="preserve"> </w:t>
            </w:r>
            <w:r w:rsidRPr="003300B8">
              <w:rPr>
                <w:rFonts w:asciiTheme="minorHAnsi" w:hAnsiTheme="minorHAnsi" w:cstheme="minorHAnsi"/>
                <w:b/>
              </w:rPr>
              <w:t>of</w:t>
            </w:r>
            <w:r w:rsidRPr="003300B8">
              <w:rPr>
                <w:rFonts w:asciiTheme="minorHAnsi" w:hAnsiTheme="minorHAnsi" w:cstheme="minorHAnsi"/>
                <w:b/>
                <w:spacing w:val="-7"/>
              </w:rPr>
              <w:t xml:space="preserve"> </w:t>
            </w:r>
            <w:r w:rsidRPr="003300B8">
              <w:rPr>
                <w:rFonts w:asciiTheme="minorHAnsi" w:hAnsiTheme="minorHAnsi" w:cstheme="minorHAnsi"/>
                <w:b/>
                <w:spacing w:val="-2"/>
              </w:rPr>
              <w:t>gender</w:t>
            </w:r>
          </w:p>
        </w:tc>
        <w:tc>
          <w:tcPr>
            <w:tcW w:w="1276" w:type="dxa"/>
            <w:shd w:val="clear" w:color="auto" w:fill="E3D3ED"/>
          </w:tcPr>
          <w:p w14:paraId="10336284" w14:textId="77777777" w:rsidR="00094656" w:rsidRPr="003300B8" w:rsidRDefault="00094656" w:rsidP="0067273F">
            <w:pPr>
              <w:pStyle w:val="TableParagraph"/>
              <w:spacing w:before="40"/>
              <w:ind w:left="108" w:right="96"/>
              <w:rPr>
                <w:rFonts w:asciiTheme="minorHAnsi" w:hAnsiTheme="minorHAnsi" w:cstheme="minorHAnsi"/>
                <w:b/>
              </w:rPr>
            </w:pPr>
            <w:r w:rsidRPr="003300B8">
              <w:rPr>
                <w:rFonts w:asciiTheme="minorHAnsi" w:hAnsiTheme="minorHAnsi" w:cstheme="minorHAnsi"/>
                <w:b/>
              </w:rPr>
              <w:t>GRADE or similar</w:t>
            </w:r>
          </w:p>
        </w:tc>
      </w:tr>
      <w:tr w:rsidR="00094656" w:rsidRPr="00640161" w14:paraId="51C05DF9" w14:textId="77777777" w:rsidTr="0067273F">
        <w:trPr>
          <w:trHeight w:val="2951"/>
        </w:trPr>
        <w:tc>
          <w:tcPr>
            <w:tcW w:w="1575" w:type="dxa"/>
          </w:tcPr>
          <w:p w14:paraId="0F0EA0ED" w14:textId="77777777" w:rsidR="00094656" w:rsidRPr="00640161" w:rsidRDefault="00094656" w:rsidP="0067273F">
            <w:pPr>
              <w:pStyle w:val="TableParagraph"/>
              <w:ind w:left="110"/>
              <w:rPr>
                <w:rFonts w:asciiTheme="minorHAnsi" w:hAnsiTheme="minorHAnsi" w:cstheme="minorHAnsi"/>
                <w:b/>
              </w:rPr>
            </w:pPr>
            <w:r w:rsidRPr="00640161">
              <w:rPr>
                <w:rFonts w:asciiTheme="minorHAnsi" w:hAnsiTheme="minorHAnsi" w:cstheme="minorHAnsi"/>
                <w:b/>
              </w:rPr>
              <w:t>Ambulance</w:t>
            </w:r>
            <w:r w:rsidRPr="00640161">
              <w:rPr>
                <w:rFonts w:asciiTheme="minorHAnsi" w:hAnsiTheme="minorHAnsi" w:cstheme="minorHAnsi"/>
                <w:b/>
                <w:spacing w:val="-9"/>
              </w:rPr>
              <w:t xml:space="preserve"> </w:t>
            </w:r>
            <w:r w:rsidRPr="00640161">
              <w:rPr>
                <w:rFonts w:asciiTheme="minorHAnsi" w:hAnsiTheme="minorHAnsi" w:cstheme="minorHAnsi"/>
                <w:b/>
                <w:spacing w:val="-2"/>
              </w:rPr>
              <w:t>Victoria</w:t>
            </w:r>
          </w:p>
        </w:tc>
        <w:tc>
          <w:tcPr>
            <w:tcW w:w="3119" w:type="dxa"/>
          </w:tcPr>
          <w:p w14:paraId="3F406EA7"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Clinical Practice Guidelines ALS (Advanced</w:t>
            </w:r>
            <w:r w:rsidRPr="00640161">
              <w:rPr>
                <w:rFonts w:asciiTheme="minorHAnsi" w:hAnsiTheme="minorHAnsi" w:cstheme="minorHAnsi"/>
                <w:spacing w:val="-10"/>
              </w:rPr>
              <w:t xml:space="preserve"> </w:t>
            </w:r>
            <w:r w:rsidRPr="00640161">
              <w:rPr>
                <w:rFonts w:asciiTheme="minorHAnsi" w:hAnsiTheme="minorHAnsi" w:cstheme="minorHAnsi"/>
              </w:rPr>
              <w:t>life</w:t>
            </w:r>
            <w:r w:rsidRPr="00640161">
              <w:rPr>
                <w:rFonts w:asciiTheme="minorHAnsi" w:hAnsiTheme="minorHAnsi" w:cstheme="minorHAnsi"/>
                <w:spacing w:val="-10"/>
              </w:rPr>
              <w:t xml:space="preserve"> </w:t>
            </w:r>
            <w:r w:rsidRPr="00640161">
              <w:rPr>
                <w:rFonts w:asciiTheme="minorHAnsi" w:hAnsiTheme="minorHAnsi" w:cstheme="minorHAnsi"/>
              </w:rPr>
              <w:t>support)</w:t>
            </w:r>
            <w:r w:rsidRPr="00640161">
              <w:rPr>
                <w:rFonts w:asciiTheme="minorHAnsi" w:hAnsiTheme="minorHAnsi" w:cstheme="minorHAnsi"/>
                <w:spacing w:val="-10"/>
              </w:rPr>
              <w:t xml:space="preserve"> for </w:t>
            </w:r>
            <w:r w:rsidRPr="00640161">
              <w:rPr>
                <w:rFonts w:asciiTheme="minorHAnsi" w:hAnsiTheme="minorHAnsi" w:cstheme="minorHAnsi"/>
              </w:rPr>
              <w:t>Ambulance</w:t>
            </w:r>
            <w:r w:rsidRPr="00640161">
              <w:rPr>
                <w:rFonts w:asciiTheme="minorHAnsi" w:hAnsiTheme="minorHAnsi" w:cstheme="minorHAnsi"/>
                <w:spacing w:val="-10"/>
              </w:rPr>
              <w:t xml:space="preserve"> </w:t>
            </w:r>
            <w:r w:rsidRPr="00640161">
              <w:rPr>
                <w:rFonts w:asciiTheme="minorHAnsi" w:hAnsiTheme="minorHAnsi" w:cstheme="minorHAnsi"/>
              </w:rPr>
              <w:t>and MICA (Mobile Intensive Care Ambulance) Paramedics, version 1.9, 2019</w:t>
            </w:r>
          </w:p>
          <w:p w14:paraId="25E1CC3E" w14:textId="77777777" w:rsidR="00094656" w:rsidRPr="00640161" w:rsidRDefault="00094656" w:rsidP="0067273F">
            <w:pPr>
              <w:pStyle w:val="TableParagraph"/>
              <w:ind w:left="0"/>
              <w:rPr>
                <w:rFonts w:asciiTheme="minorHAnsi" w:hAnsiTheme="minorHAnsi" w:cstheme="minorHAnsi"/>
                <w:b/>
              </w:rPr>
            </w:pPr>
          </w:p>
          <w:p w14:paraId="62653C9D" w14:textId="77777777" w:rsidR="00094656" w:rsidRPr="00640161" w:rsidRDefault="00094656" w:rsidP="0067273F">
            <w:pPr>
              <w:pStyle w:val="TableParagraph"/>
              <w:spacing w:before="0"/>
              <w:ind w:right="97"/>
              <w:rPr>
                <w:rFonts w:asciiTheme="minorHAnsi" w:hAnsiTheme="minorHAnsi" w:cstheme="minorHAnsi"/>
              </w:rPr>
            </w:pPr>
            <w:r w:rsidRPr="00640161">
              <w:rPr>
                <w:rFonts w:asciiTheme="minorHAnsi" w:hAnsiTheme="minorHAnsi" w:cstheme="minorHAnsi"/>
                <w:spacing w:val="-2"/>
              </w:rPr>
              <w:t>https://www.ambulance.vic.gov.au/wp-content/uploads/2019/07/Clinical-Practice-Guidelines-2018-Edition-1.9-1.pdf</w:t>
            </w:r>
            <w:r w:rsidRPr="00640161" w:rsidDel="00963041">
              <w:rPr>
                <w:rFonts w:asciiTheme="minorHAnsi" w:hAnsiTheme="minorHAnsi" w:cstheme="minorHAnsi"/>
                <w:spacing w:val="-2"/>
              </w:rPr>
              <w:t xml:space="preserve"> </w:t>
            </w:r>
          </w:p>
        </w:tc>
        <w:tc>
          <w:tcPr>
            <w:tcW w:w="1417" w:type="dxa"/>
          </w:tcPr>
          <w:p w14:paraId="60D347EC"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Ambulance Victoria</w:t>
            </w:r>
          </w:p>
        </w:tc>
        <w:tc>
          <w:tcPr>
            <w:tcW w:w="1560" w:type="dxa"/>
          </w:tcPr>
          <w:p w14:paraId="247B105D" w14:textId="77777777" w:rsidR="00094656" w:rsidRPr="00640161" w:rsidRDefault="00094656" w:rsidP="0067273F">
            <w:pPr>
              <w:pStyle w:val="TableParagraph"/>
              <w:ind w:left="28" w:right="28"/>
              <w:rPr>
                <w:rFonts w:asciiTheme="minorHAnsi" w:hAnsiTheme="minorHAnsi" w:cstheme="minorHAnsi"/>
              </w:rPr>
            </w:pPr>
            <w:r w:rsidRPr="00640161">
              <w:rPr>
                <w:rFonts w:asciiTheme="minorHAnsi" w:hAnsiTheme="minorHAnsi" w:cstheme="minorHAnsi"/>
              </w:rPr>
              <w:t>Emergency</w:t>
            </w:r>
          </w:p>
        </w:tc>
        <w:tc>
          <w:tcPr>
            <w:tcW w:w="2126" w:type="dxa"/>
          </w:tcPr>
          <w:p w14:paraId="202F7B48"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“Gender”, “male” not found in text search.</w:t>
            </w:r>
          </w:p>
          <w:p w14:paraId="5899352C"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“Sex” found once: “</w:t>
            </w:r>
            <w:proofErr w:type="gramStart"/>
            <w:r>
              <w:rPr>
                <w:rFonts w:asciiTheme="minorHAnsi" w:hAnsiTheme="minorHAnsi" w:cstheme="minorHAnsi"/>
              </w:rPr>
              <w:t>same-sex</w:t>
            </w:r>
            <w:proofErr w:type="gramEnd"/>
            <w:r>
              <w:rPr>
                <w:rFonts w:asciiTheme="minorHAnsi" w:hAnsiTheme="minorHAnsi" w:cstheme="minorHAnsi"/>
              </w:rPr>
              <w:t>”.</w:t>
            </w:r>
          </w:p>
          <w:p w14:paraId="0899C5C9"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“Female” used.</w:t>
            </w:r>
          </w:p>
        </w:tc>
        <w:tc>
          <w:tcPr>
            <w:tcW w:w="1984" w:type="dxa"/>
          </w:tcPr>
          <w:p w14:paraId="0E45599C"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management</w:t>
            </w:r>
            <w:r w:rsidRPr="00640161">
              <w:rPr>
                <w:rFonts w:asciiTheme="minorHAnsi" w:hAnsiTheme="minorHAnsi" w:cstheme="minorHAnsi"/>
                <w:spacing w:val="-12"/>
              </w:rPr>
              <w:t xml:space="preserve"> </w:t>
            </w:r>
            <w:r w:rsidRPr="00640161">
              <w:rPr>
                <w:rFonts w:asciiTheme="minorHAnsi" w:hAnsiTheme="minorHAnsi" w:cstheme="minorHAnsi"/>
              </w:rPr>
              <w:t xml:space="preserve">&amp; referral of acute alcohol </w:t>
            </w:r>
            <w:r w:rsidRPr="00640161">
              <w:rPr>
                <w:rFonts w:asciiTheme="minorHAnsi" w:hAnsiTheme="minorHAnsi" w:cstheme="minorHAnsi"/>
                <w:spacing w:val="-2"/>
              </w:rPr>
              <w:t>intoxication.</w:t>
            </w:r>
          </w:p>
          <w:p w14:paraId="158B61E2" w14:textId="74994C7C"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Female </w:t>
            </w:r>
            <w:r w:rsidR="009000E5">
              <w:rPr>
                <w:rFonts w:asciiTheme="minorHAnsi" w:hAnsiTheme="minorHAnsi" w:cstheme="minorHAnsi"/>
              </w:rPr>
              <w:t xml:space="preserve">&amp; male </w:t>
            </w:r>
            <w:r>
              <w:rPr>
                <w:rFonts w:asciiTheme="minorHAnsi" w:hAnsiTheme="minorHAnsi" w:cstheme="minorHAnsi"/>
              </w:rPr>
              <w:t>patients can present differently (cardio).</w:t>
            </w:r>
          </w:p>
          <w:p w14:paraId="1F36D506" w14:textId="527F7769"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Clinical</w:t>
            </w:r>
            <w:r w:rsidRPr="00640161">
              <w:rPr>
                <w:rFonts w:asciiTheme="minorHAnsi" w:hAnsiTheme="minorHAnsi" w:cstheme="minorHAnsi"/>
                <w:spacing w:val="-10"/>
              </w:rPr>
              <w:t xml:space="preserve"> </w:t>
            </w:r>
            <w:r w:rsidR="009000E5">
              <w:rPr>
                <w:rFonts w:asciiTheme="minorHAnsi" w:hAnsiTheme="minorHAnsi" w:cstheme="minorHAnsi"/>
                <w:spacing w:val="-10"/>
              </w:rPr>
              <w:t xml:space="preserve">red </w:t>
            </w:r>
            <w:r w:rsidRPr="00640161">
              <w:rPr>
                <w:rFonts w:asciiTheme="minorHAnsi" w:hAnsiTheme="minorHAnsi" w:cstheme="minorHAnsi"/>
              </w:rPr>
              <w:t>flag</w:t>
            </w:r>
            <w:r w:rsidRPr="00640161">
              <w:rPr>
                <w:rFonts w:asciiTheme="minorHAnsi" w:hAnsiTheme="minorHAnsi" w:cstheme="minorHAnsi"/>
                <w:spacing w:val="-10"/>
              </w:rPr>
              <w:t xml:space="preserve"> </w:t>
            </w:r>
            <w:r w:rsidRPr="00640161">
              <w:rPr>
                <w:rFonts w:asciiTheme="minorHAnsi" w:hAnsiTheme="minorHAnsi" w:cstheme="minorHAnsi"/>
              </w:rPr>
              <w:t>for</w:t>
            </w:r>
            <w:r w:rsidRPr="00640161">
              <w:rPr>
                <w:rFonts w:asciiTheme="minorHAnsi" w:hAnsiTheme="minorHAnsi" w:cstheme="minorHAnsi"/>
                <w:spacing w:val="-10"/>
              </w:rPr>
              <w:t xml:space="preserve"> </w:t>
            </w:r>
            <w:r w:rsidRPr="00640161">
              <w:rPr>
                <w:rFonts w:asciiTheme="minorHAnsi" w:hAnsiTheme="minorHAnsi" w:cstheme="minorHAnsi"/>
              </w:rPr>
              <w:t xml:space="preserve">pregnant </w:t>
            </w:r>
            <w:r w:rsidRPr="00640161">
              <w:rPr>
                <w:rFonts w:asciiTheme="minorHAnsi" w:hAnsiTheme="minorHAnsi" w:cstheme="minorHAnsi"/>
                <w:spacing w:val="-2"/>
              </w:rPr>
              <w:t>women.</w:t>
            </w:r>
          </w:p>
          <w:p w14:paraId="15970A5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“Female genital cutting” to be treated sensitively. </w:t>
            </w:r>
          </w:p>
        </w:tc>
        <w:tc>
          <w:tcPr>
            <w:tcW w:w="1843" w:type="dxa"/>
          </w:tcPr>
          <w:p w14:paraId="5E7395AC" w14:textId="77777777" w:rsidR="00094656" w:rsidRPr="00640161" w:rsidRDefault="00094656" w:rsidP="0067273F">
            <w:pPr>
              <w:pStyle w:val="TableParagraph"/>
              <w:ind w:left="102" w:right="96"/>
              <w:rPr>
                <w:rFonts w:asciiTheme="minorHAnsi" w:hAnsiTheme="minorHAnsi" w:cstheme="minorHAnsi"/>
              </w:rPr>
            </w:pPr>
            <w:r w:rsidRPr="00640161">
              <w:rPr>
                <w:rFonts w:asciiTheme="minorHAnsi" w:hAnsiTheme="minorHAnsi" w:cstheme="minorHAnsi"/>
              </w:rPr>
              <w:t>Be mindful of gender cues in conversation:</w:t>
            </w:r>
            <w:r w:rsidRPr="00640161">
              <w:rPr>
                <w:rFonts w:asciiTheme="minorHAnsi" w:hAnsiTheme="minorHAnsi" w:cstheme="minorHAnsi"/>
                <w:spacing w:val="-13"/>
              </w:rPr>
              <w:t xml:space="preserve"> </w:t>
            </w:r>
            <w:r w:rsidRPr="00640161">
              <w:rPr>
                <w:rFonts w:asciiTheme="minorHAnsi" w:hAnsiTheme="minorHAnsi" w:cstheme="minorHAnsi"/>
              </w:rPr>
              <w:t>patient</w:t>
            </w:r>
            <w:r w:rsidRPr="00640161">
              <w:rPr>
                <w:rFonts w:asciiTheme="minorHAnsi" w:hAnsiTheme="minorHAnsi" w:cstheme="minorHAnsi"/>
                <w:spacing w:val="-12"/>
              </w:rPr>
              <w:t xml:space="preserve"> </w:t>
            </w:r>
            <w:r w:rsidRPr="00640161">
              <w:rPr>
                <w:rFonts w:asciiTheme="minorHAnsi" w:hAnsiTheme="minorHAnsi" w:cstheme="minorHAnsi"/>
              </w:rPr>
              <w:t>may</w:t>
            </w:r>
            <w:r w:rsidRPr="00640161">
              <w:rPr>
                <w:rFonts w:asciiTheme="minorHAnsi" w:hAnsiTheme="minorHAnsi" w:cstheme="minorHAnsi"/>
                <w:spacing w:val="-13"/>
              </w:rPr>
              <w:t xml:space="preserve"> </w:t>
            </w:r>
            <w:r w:rsidRPr="00640161">
              <w:rPr>
                <w:rFonts w:asciiTheme="minorHAnsi" w:hAnsiTheme="minorHAnsi" w:cstheme="minorHAnsi"/>
              </w:rPr>
              <w:t>be referred to as they/them.</w:t>
            </w:r>
          </w:p>
          <w:p w14:paraId="1341D5EF" w14:textId="77777777" w:rsidR="00094656" w:rsidRPr="00640161" w:rsidRDefault="00094656" w:rsidP="0067273F">
            <w:pPr>
              <w:pStyle w:val="TableParagraph"/>
              <w:ind w:left="102" w:right="96"/>
              <w:rPr>
                <w:rFonts w:asciiTheme="minorHAnsi" w:hAnsiTheme="minorHAnsi" w:cstheme="minorHAnsi"/>
              </w:rPr>
            </w:pPr>
            <w:r w:rsidRPr="00640161">
              <w:rPr>
                <w:rFonts w:asciiTheme="minorHAnsi" w:hAnsiTheme="minorHAnsi" w:cstheme="minorHAnsi"/>
              </w:rPr>
              <w:t>Gender safety: consider any specific</w:t>
            </w:r>
            <w:r w:rsidRPr="00640161">
              <w:rPr>
                <w:rFonts w:asciiTheme="minorHAnsi" w:hAnsiTheme="minorHAnsi" w:cstheme="minorHAnsi"/>
                <w:spacing w:val="-9"/>
              </w:rPr>
              <w:t xml:space="preserve"> </w:t>
            </w:r>
            <w:r w:rsidRPr="00640161">
              <w:rPr>
                <w:rFonts w:asciiTheme="minorHAnsi" w:hAnsiTheme="minorHAnsi" w:cstheme="minorHAnsi"/>
              </w:rPr>
              <w:t>safety</w:t>
            </w:r>
            <w:r w:rsidRPr="00640161">
              <w:rPr>
                <w:rFonts w:asciiTheme="minorHAnsi" w:hAnsiTheme="minorHAnsi" w:cstheme="minorHAnsi"/>
                <w:spacing w:val="-9"/>
              </w:rPr>
              <w:t xml:space="preserve"> </w:t>
            </w:r>
            <w:r w:rsidRPr="00640161">
              <w:rPr>
                <w:rFonts w:asciiTheme="minorHAnsi" w:hAnsiTheme="minorHAnsi" w:cstheme="minorHAnsi"/>
              </w:rPr>
              <w:t>needs</w:t>
            </w:r>
            <w:r w:rsidRPr="00640161">
              <w:rPr>
                <w:rFonts w:asciiTheme="minorHAnsi" w:hAnsiTheme="minorHAnsi" w:cstheme="minorHAnsi"/>
                <w:spacing w:val="-10"/>
              </w:rPr>
              <w:t xml:space="preserve"> </w:t>
            </w:r>
            <w:r w:rsidRPr="00640161">
              <w:rPr>
                <w:rFonts w:asciiTheme="minorHAnsi" w:hAnsiTheme="minorHAnsi" w:cstheme="minorHAnsi"/>
              </w:rPr>
              <w:t>or</w:t>
            </w:r>
            <w:r w:rsidRPr="00640161">
              <w:rPr>
                <w:rFonts w:asciiTheme="minorHAnsi" w:hAnsiTheme="minorHAnsi" w:cstheme="minorHAnsi"/>
                <w:spacing w:val="-9"/>
              </w:rPr>
              <w:t xml:space="preserve"> </w:t>
            </w:r>
            <w:r w:rsidRPr="00640161">
              <w:rPr>
                <w:rFonts w:asciiTheme="minorHAnsi" w:hAnsiTheme="minorHAnsi" w:cstheme="minorHAnsi"/>
              </w:rPr>
              <w:t>concerns relating to person’s gender.</w:t>
            </w:r>
          </w:p>
        </w:tc>
        <w:tc>
          <w:tcPr>
            <w:tcW w:w="1276" w:type="dxa"/>
          </w:tcPr>
          <w:p w14:paraId="5FB8DB4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4444184E" w14:textId="77777777" w:rsidTr="0067273F">
        <w:trPr>
          <w:trHeight w:val="2428"/>
        </w:trPr>
        <w:tc>
          <w:tcPr>
            <w:tcW w:w="1575" w:type="dxa"/>
          </w:tcPr>
          <w:p w14:paraId="5BE201FB"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t>Austral</w:t>
            </w:r>
            <w:r>
              <w:rPr>
                <w:rFonts w:asciiTheme="minorHAnsi" w:hAnsiTheme="minorHAnsi" w:cstheme="minorHAnsi"/>
                <w:b/>
              </w:rPr>
              <w:t>as</w:t>
            </w:r>
            <w:r w:rsidRPr="00640161">
              <w:rPr>
                <w:rFonts w:asciiTheme="minorHAnsi" w:hAnsiTheme="minorHAnsi" w:cstheme="minorHAnsi"/>
                <w:b/>
              </w:rPr>
              <w:t>ian</w:t>
            </w:r>
            <w:r w:rsidRPr="00640161">
              <w:rPr>
                <w:rFonts w:asciiTheme="minorHAnsi" w:hAnsiTheme="minorHAnsi" w:cstheme="minorHAnsi"/>
                <w:b/>
                <w:spacing w:val="-13"/>
              </w:rPr>
              <w:t xml:space="preserve"> </w:t>
            </w:r>
            <w:r w:rsidRPr="00640161">
              <w:rPr>
                <w:rFonts w:asciiTheme="minorHAnsi" w:hAnsiTheme="minorHAnsi" w:cstheme="minorHAnsi"/>
                <w:b/>
              </w:rPr>
              <w:t>College</w:t>
            </w:r>
            <w:r w:rsidRPr="00640161">
              <w:rPr>
                <w:rFonts w:asciiTheme="minorHAnsi" w:hAnsiTheme="minorHAnsi" w:cstheme="minorHAnsi"/>
                <w:b/>
                <w:spacing w:val="-12"/>
              </w:rPr>
              <w:t xml:space="preserve"> </w:t>
            </w:r>
            <w:r w:rsidRPr="00640161">
              <w:rPr>
                <w:rFonts w:asciiTheme="minorHAnsi" w:hAnsiTheme="minorHAnsi" w:cstheme="minorHAnsi"/>
                <w:b/>
              </w:rPr>
              <w:t xml:space="preserve">of </w:t>
            </w:r>
            <w:r w:rsidRPr="00640161">
              <w:rPr>
                <w:rFonts w:asciiTheme="minorHAnsi" w:hAnsiTheme="minorHAnsi" w:cstheme="minorHAnsi"/>
                <w:b/>
                <w:spacing w:val="-2"/>
              </w:rPr>
              <w:t>Dermatologists</w:t>
            </w:r>
          </w:p>
        </w:tc>
        <w:tc>
          <w:tcPr>
            <w:tcW w:w="3119" w:type="dxa"/>
          </w:tcPr>
          <w:p w14:paraId="0872E2F0"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Practice</w:t>
            </w:r>
            <w:r w:rsidRPr="00640161">
              <w:rPr>
                <w:rFonts w:asciiTheme="minorHAnsi" w:hAnsiTheme="minorHAnsi" w:cstheme="minorHAnsi"/>
                <w:spacing w:val="-12"/>
              </w:rPr>
              <w:t xml:space="preserve"> </w:t>
            </w:r>
            <w:r w:rsidRPr="00640161">
              <w:rPr>
                <w:rFonts w:asciiTheme="minorHAnsi" w:hAnsiTheme="minorHAnsi" w:cstheme="minorHAnsi"/>
              </w:rPr>
              <w:t>guidelines</w:t>
            </w:r>
            <w:r w:rsidRPr="00640161">
              <w:rPr>
                <w:rFonts w:asciiTheme="minorHAnsi" w:hAnsiTheme="minorHAnsi" w:cstheme="minorHAnsi"/>
                <w:spacing w:val="-12"/>
              </w:rPr>
              <w:t xml:space="preserve"> </w:t>
            </w:r>
            <w:r w:rsidRPr="00640161">
              <w:rPr>
                <w:rFonts w:asciiTheme="minorHAnsi" w:hAnsiTheme="minorHAnsi" w:cstheme="minorHAnsi"/>
              </w:rPr>
              <w:t>for</w:t>
            </w:r>
            <w:r w:rsidRPr="00640161">
              <w:rPr>
                <w:rFonts w:asciiTheme="minorHAnsi" w:hAnsiTheme="minorHAnsi" w:cstheme="minorHAnsi"/>
                <w:spacing w:val="-12"/>
              </w:rPr>
              <w:t xml:space="preserve"> </w:t>
            </w:r>
            <w:proofErr w:type="spellStart"/>
            <w:r w:rsidRPr="00640161">
              <w:rPr>
                <w:rFonts w:asciiTheme="minorHAnsi" w:hAnsiTheme="minorHAnsi" w:cstheme="minorHAnsi"/>
              </w:rPr>
              <w:t>teledermatology</w:t>
            </w:r>
            <w:proofErr w:type="spellEnd"/>
            <w:r w:rsidRPr="00640161">
              <w:rPr>
                <w:rFonts w:asciiTheme="minorHAnsi" w:hAnsiTheme="minorHAnsi" w:cstheme="minorHAnsi"/>
              </w:rPr>
              <w:t xml:space="preserve"> in Australia, 2020</w:t>
            </w:r>
          </w:p>
          <w:p w14:paraId="3A78C21E" w14:textId="77777777" w:rsidR="00094656" w:rsidRPr="00640161" w:rsidRDefault="00094656" w:rsidP="0067273F">
            <w:pPr>
              <w:pStyle w:val="TableParagraph"/>
              <w:rPr>
                <w:rFonts w:asciiTheme="minorHAnsi" w:hAnsiTheme="minorHAnsi" w:cstheme="minorHAnsi"/>
              </w:rPr>
            </w:pPr>
          </w:p>
          <w:p w14:paraId="45BBC3D4" w14:textId="77777777" w:rsidR="00094656" w:rsidRPr="00640161" w:rsidRDefault="00094656" w:rsidP="0067273F">
            <w:pPr>
              <w:pStyle w:val="TableParagraph"/>
              <w:spacing w:before="0"/>
              <w:ind w:right="97"/>
              <w:rPr>
                <w:rFonts w:asciiTheme="minorHAnsi" w:hAnsiTheme="minorHAnsi" w:cstheme="minorHAnsi"/>
                <w:color w:val="0563C1"/>
                <w:spacing w:val="-2"/>
                <w:u w:val="single" w:color="0563C1"/>
              </w:rPr>
            </w:pPr>
            <w:r w:rsidRPr="00640161">
              <w:rPr>
                <w:rFonts w:asciiTheme="minorHAnsi" w:hAnsiTheme="minorHAnsi" w:cstheme="minorHAnsi"/>
                <w:color w:val="1C1D1E"/>
              </w:rPr>
              <w:t>Abbott,</w:t>
            </w:r>
            <w:r w:rsidRPr="00640161">
              <w:rPr>
                <w:rFonts w:asciiTheme="minorHAnsi" w:hAnsiTheme="minorHAnsi" w:cstheme="minorHAnsi"/>
                <w:color w:val="1C1D1E"/>
                <w:spacing w:val="-8"/>
              </w:rPr>
              <w:t xml:space="preserve"> </w:t>
            </w:r>
            <w:r w:rsidRPr="00640161">
              <w:rPr>
                <w:rFonts w:asciiTheme="minorHAnsi" w:hAnsiTheme="minorHAnsi" w:cstheme="minorHAnsi"/>
                <w:color w:val="1C1D1E"/>
              </w:rPr>
              <w:t>et</w:t>
            </w:r>
            <w:r w:rsidRPr="00640161">
              <w:rPr>
                <w:rFonts w:asciiTheme="minorHAnsi" w:hAnsiTheme="minorHAnsi" w:cstheme="minorHAnsi"/>
                <w:color w:val="1C1D1E"/>
                <w:spacing w:val="-8"/>
              </w:rPr>
              <w:t xml:space="preserve"> </w:t>
            </w:r>
            <w:r w:rsidRPr="00640161">
              <w:rPr>
                <w:rFonts w:asciiTheme="minorHAnsi" w:hAnsiTheme="minorHAnsi" w:cstheme="minorHAnsi"/>
                <w:color w:val="1C1D1E"/>
              </w:rPr>
              <w:t>al.</w:t>
            </w:r>
            <w:r w:rsidRPr="00640161">
              <w:rPr>
                <w:rFonts w:asciiTheme="minorHAnsi" w:hAnsiTheme="minorHAnsi" w:cstheme="minorHAnsi"/>
                <w:color w:val="1C1D1E"/>
                <w:spacing w:val="-8"/>
              </w:rPr>
              <w:t xml:space="preserve"> </w:t>
            </w:r>
            <w:r w:rsidRPr="00640161">
              <w:rPr>
                <w:rFonts w:asciiTheme="minorHAnsi" w:hAnsiTheme="minorHAnsi" w:cstheme="minorHAnsi"/>
                <w:color w:val="1C1D1E"/>
              </w:rPr>
              <w:t>(2020),</w:t>
            </w:r>
            <w:r w:rsidRPr="00640161">
              <w:rPr>
                <w:rFonts w:asciiTheme="minorHAnsi" w:hAnsiTheme="minorHAnsi" w:cstheme="minorHAnsi"/>
                <w:color w:val="1C1D1E"/>
                <w:spacing w:val="-8"/>
              </w:rPr>
              <w:t xml:space="preserve"> </w:t>
            </w:r>
            <w:r w:rsidRPr="00640161">
              <w:rPr>
                <w:rFonts w:asciiTheme="minorHAnsi" w:hAnsiTheme="minorHAnsi" w:cstheme="minorHAnsi"/>
                <w:color w:val="1C1D1E"/>
              </w:rPr>
              <w:t>Practice</w:t>
            </w:r>
            <w:r w:rsidRPr="00640161">
              <w:rPr>
                <w:rFonts w:asciiTheme="minorHAnsi" w:hAnsiTheme="minorHAnsi" w:cstheme="minorHAnsi"/>
                <w:color w:val="1C1D1E"/>
                <w:spacing w:val="-8"/>
              </w:rPr>
              <w:t xml:space="preserve"> </w:t>
            </w:r>
            <w:r w:rsidRPr="00640161">
              <w:rPr>
                <w:rFonts w:asciiTheme="minorHAnsi" w:hAnsiTheme="minorHAnsi" w:cstheme="minorHAnsi"/>
                <w:color w:val="1C1D1E"/>
              </w:rPr>
              <w:t xml:space="preserve">guidelines for </w:t>
            </w:r>
            <w:proofErr w:type="spellStart"/>
            <w:r w:rsidRPr="00640161">
              <w:rPr>
                <w:rFonts w:asciiTheme="minorHAnsi" w:hAnsiTheme="minorHAnsi" w:cstheme="minorHAnsi"/>
                <w:color w:val="1C1D1E"/>
              </w:rPr>
              <w:t>teledermatology</w:t>
            </w:r>
            <w:proofErr w:type="spellEnd"/>
            <w:r w:rsidRPr="00640161">
              <w:rPr>
                <w:rFonts w:asciiTheme="minorHAnsi" w:hAnsiTheme="minorHAnsi" w:cstheme="minorHAnsi"/>
                <w:color w:val="1C1D1E"/>
              </w:rPr>
              <w:t xml:space="preserve"> in Australia. </w:t>
            </w:r>
            <w:proofErr w:type="spellStart"/>
            <w:r w:rsidRPr="00640161">
              <w:rPr>
                <w:rFonts w:asciiTheme="minorHAnsi" w:hAnsiTheme="minorHAnsi" w:cstheme="minorHAnsi"/>
                <w:i/>
                <w:color w:val="1C1D1E"/>
              </w:rPr>
              <w:t>Australas</w:t>
            </w:r>
            <w:proofErr w:type="spellEnd"/>
            <w:r w:rsidRPr="00640161">
              <w:rPr>
                <w:rFonts w:asciiTheme="minorHAnsi" w:hAnsiTheme="minorHAnsi" w:cstheme="minorHAnsi"/>
                <w:i/>
                <w:color w:val="1C1D1E"/>
                <w:spacing w:val="-10"/>
              </w:rPr>
              <w:t xml:space="preserve"> </w:t>
            </w:r>
            <w:r w:rsidRPr="00640161">
              <w:rPr>
                <w:rFonts w:asciiTheme="minorHAnsi" w:hAnsiTheme="minorHAnsi" w:cstheme="minorHAnsi"/>
                <w:i/>
                <w:color w:val="1C1D1E"/>
              </w:rPr>
              <w:t>J</w:t>
            </w:r>
            <w:r w:rsidRPr="00640161">
              <w:rPr>
                <w:rFonts w:asciiTheme="minorHAnsi" w:hAnsiTheme="minorHAnsi" w:cstheme="minorHAnsi"/>
                <w:i/>
                <w:color w:val="1C1D1E"/>
                <w:spacing w:val="-10"/>
              </w:rPr>
              <w:t xml:space="preserve"> </w:t>
            </w:r>
            <w:r w:rsidRPr="00640161">
              <w:rPr>
                <w:rFonts w:asciiTheme="minorHAnsi" w:hAnsiTheme="minorHAnsi" w:cstheme="minorHAnsi"/>
                <w:i/>
                <w:color w:val="1C1D1E"/>
              </w:rPr>
              <w:t>Dermatol</w:t>
            </w:r>
            <w:r w:rsidRPr="00640161">
              <w:rPr>
                <w:rFonts w:asciiTheme="minorHAnsi" w:hAnsiTheme="minorHAnsi" w:cstheme="minorHAnsi"/>
                <w:color w:val="1C1D1E"/>
              </w:rPr>
              <w:t>,</w:t>
            </w:r>
            <w:r w:rsidRPr="00640161">
              <w:rPr>
                <w:rFonts w:asciiTheme="minorHAnsi" w:hAnsiTheme="minorHAnsi" w:cstheme="minorHAnsi"/>
                <w:color w:val="1C1D1E"/>
                <w:spacing w:val="-10"/>
              </w:rPr>
              <w:t xml:space="preserve"> </w:t>
            </w:r>
            <w:r w:rsidRPr="00640161">
              <w:rPr>
                <w:rFonts w:asciiTheme="minorHAnsi" w:hAnsiTheme="minorHAnsi" w:cstheme="minorHAnsi"/>
                <w:color w:val="1C1D1E"/>
              </w:rPr>
              <w:t>61:</w:t>
            </w:r>
            <w:r w:rsidRPr="00640161">
              <w:rPr>
                <w:rFonts w:asciiTheme="minorHAnsi" w:hAnsiTheme="minorHAnsi" w:cstheme="minorHAnsi"/>
                <w:color w:val="1C1D1E"/>
                <w:spacing w:val="-10"/>
              </w:rPr>
              <w:t xml:space="preserve"> </w:t>
            </w:r>
            <w:r w:rsidRPr="00640161">
              <w:rPr>
                <w:rFonts w:asciiTheme="minorHAnsi" w:hAnsiTheme="minorHAnsi" w:cstheme="minorHAnsi"/>
                <w:color w:val="1C1D1E"/>
              </w:rPr>
              <w:t xml:space="preserve">e293-e302. </w:t>
            </w:r>
            <w:r w:rsidRPr="00640161">
              <w:rPr>
                <w:rFonts w:asciiTheme="minorHAnsi" w:hAnsiTheme="minorHAnsi" w:cstheme="minorHAnsi"/>
                <w:color w:val="1C1D1E"/>
                <w:spacing w:val="-2"/>
              </w:rPr>
              <w:t>DOI:</w:t>
            </w:r>
            <w:r w:rsidRPr="00640161">
              <w:rPr>
                <w:rFonts w:asciiTheme="minorHAnsi" w:hAnsiTheme="minorHAnsi" w:cstheme="minorHAnsi"/>
                <w:color w:val="0563C1"/>
                <w:spacing w:val="-2"/>
                <w:u w:val="single" w:color="0563C1"/>
              </w:rPr>
              <w:t>10.1111/ajd.13301</w:t>
            </w:r>
          </w:p>
        </w:tc>
        <w:tc>
          <w:tcPr>
            <w:tcW w:w="1417" w:type="dxa"/>
          </w:tcPr>
          <w:p w14:paraId="4F546811" w14:textId="77777777" w:rsidR="00094656" w:rsidRPr="00343A37" w:rsidRDefault="00094656" w:rsidP="0067273F">
            <w:pPr>
              <w:pStyle w:val="TableParagraph"/>
              <w:rPr>
                <w:rFonts w:asciiTheme="minorHAnsi" w:hAnsiTheme="minorHAnsi" w:cstheme="minorHAnsi"/>
              </w:rPr>
            </w:pPr>
            <w:r w:rsidRPr="00343A37">
              <w:rPr>
                <w:rFonts w:asciiTheme="minorHAnsi" w:hAnsiTheme="minorHAnsi" w:cstheme="minorHAnsi"/>
              </w:rPr>
              <w:t>Australasian</w:t>
            </w:r>
            <w:r w:rsidRPr="00343A37">
              <w:rPr>
                <w:rFonts w:asciiTheme="minorHAnsi" w:hAnsiTheme="minorHAnsi" w:cstheme="minorHAnsi"/>
                <w:spacing w:val="-13"/>
              </w:rPr>
              <w:t xml:space="preserve"> </w:t>
            </w:r>
            <w:r w:rsidRPr="00343A37">
              <w:rPr>
                <w:rFonts w:asciiTheme="minorHAnsi" w:hAnsiTheme="minorHAnsi" w:cstheme="minorHAnsi"/>
              </w:rPr>
              <w:t>College</w:t>
            </w:r>
            <w:r w:rsidRPr="00343A37">
              <w:rPr>
                <w:rFonts w:asciiTheme="minorHAnsi" w:hAnsiTheme="minorHAnsi" w:cstheme="minorHAnsi"/>
                <w:spacing w:val="-12"/>
              </w:rPr>
              <w:t xml:space="preserve"> </w:t>
            </w:r>
            <w:r w:rsidRPr="00343A37">
              <w:rPr>
                <w:rFonts w:asciiTheme="minorHAnsi" w:hAnsiTheme="minorHAnsi" w:cstheme="minorHAnsi"/>
              </w:rPr>
              <w:t xml:space="preserve">of </w:t>
            </w:r>
            <w:r w:rsidRPr="00343A37">
              <w:rPr>
                <w:rFonts w:asciiTheme="minorHAnsi" w:hAnsiTheme="minorHAnsi" w:cstheme="minorHAnsi"/>
                <w:spacing w:val="-2"/>
              </w:rPr>
              <w:t>Dermatologists</w:t>
            </w:r>
          </w:p>
        </w:tc>
        <w:tc>
          <w:tcPr>
            <w:tcW w:w="1560" w:type="dxa"/>
          </w:tcPr>
          <w:p w14:paraId="74293C0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Dermatology</w:t>
            </w:r>
          </w:p>
        </w:tc>
        <w:tc>
          <w:tcPr>
            <w:tcW w:w="2126" w:type="dxa"/>
          </w:tcPr>
          <w:p w14:paraId="6CF0A8F0"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w:t>
            </w:r>
            <w:r>
              <w:rPr>
                <w:rFonts w:asciiTheme="minorHAnsi" w:hAnsiTheme="minorHAnsi" w:cstheme="minorHAnsi"/>
              </w:rPr>
              <w:t>o sex or gender</w:t>
            </w:r>
            <w:r w:rsidRPr="00640161">
              <w:rPr>
                <w:rFonts w:asciiTheme="minorHAnsi" w:hAnsiTheme="minorHAnsi" w:cstheme="minorHAnsi"/>
                <w:spacing w:val="-8"/>
              </w:rPr>
              <w:t xml:space="preserve"> </w:t>
            </w:r>
            <w:r w:rsidRPr="00640161">
              <w:rPr>
                <w:rFonts w:asciiTheme="minorHAnsi" w:hAnsiTheme="minorHAnsi" w:cstheme="minorHAnsi"/>
              </w:rPr>
              <w:t>term</w:t>
            </w:r>
            <w:r>
              <w:rPr>
                <w:rFonts w:asciiTheme="minorHAnsi" w:hAnsiTheme="minorHAnsi" w:cstheme="minorHAnsi"/>
              </w:rPr>
              <w:t>s</w:t>
            </w:r>
            <w:r w:rsidRPr="00640161">
              <w:rPr>
                <w:rFonts w:asciiTheme="minorHAnsi" w:hAnsiTheme="minorHAnsi" w:cstheme="minorHAnsi"/>
                <w:spacing w:val="-8"/>
              </w:rPr>
              <w:t xml:space="preserve"> </w:t>
            </w:r>
            <w:r w:rsidRPr="00640161">
              <w:rPr>
                <w:rFonts w:asciiTheme="minorHAnsi" w:hAnsiTheme="minorHAnsi" w:cstheme="minorHAnsi"/>
              </w:rPr>
              <w:t>identified</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tc>
        <w:tc>
          <w:tcPr>
            <w:tcW w:w="1984" w:type="dxa"/>
          </w:tcPr>
          <w:p w14:paraId="678DFBA4"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4CFBB78A"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FBD17B9"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68D448C9" w14:textId="77777777" w:rsidTr="009000E5">
        <w:trPr>
          <w:cantSplit/>
        </w:trPr>
        <w:tc>
          <w:tcPr>
            <w:tcW w:w="1575" w:type="dxa"/>
          </w:tcPr>
          <w:p w14:paraId="03654B2C"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Australasian</w:t>
            </w:r>
            <w:r w:rsidRPr="00640161">
              <w:rPr>
                <w:rFonts w:asciiTheme="minorHAnsi" w:hAnsiTheme="minorHAnsi" w:cstheme="minorHAnsi"/>
                <w:b/>
                <w:spacing w:val="-13"/>
              </w:rPr>
              <w:t xml:space="preserve"> </w:t>
            </w:r>
            <w:r w:rsidRPr="00640161">
              <w:rPr>
                <w:rFonts w:asciiTheme="minorHAnsi" w:hAnsiTheme="minorHAnsi" w:cstheme="minorHAnsi"/>
                <w:b/>
              </w:rPr>
              <w:t xml:space="preserve">Sexual and Reproductive Health Alliance </w:t>
            </w:r>
            <w:r w:rsidRPr="00640161">
              <w:rPr>
                <w:rFonts w:asciiTheme="minorHAnsi" w:hAnsiTheme="minorHAnsi" w:cstheme="minorHAnsi"/>
                <w:b/>
                <w:spacing w:val="-2"/>
              </w:rPr>
              <w:t>(ASRHA)</w:t>
            </w:r>
          </w:p>
        </w:tc>
        <w:tc>
          <w:tcPr>
            <w:tcW w:w="3119" w:type="dxa"/>
          </w:tcPr>
          <w:p w14:paraId="60017A80" w14:textId="77777777" w:rsidR="00094656" w:rsidRPr="00640161" w:rsidRDefault="00094656" w:rsidP="0067273F">
            <w:pPr>
              <w:pStyle w:val="TableParagraph"/>
              <w:ind w:right="199"/>
              <w:rPr>
                <w:rFonts w:asciiTheme="minorHAnsi" w:hAnsiTheme="minorHAnsi" w:cstheme="minorHAnsi"/>
              </w:rPr>
            </w:pPr>
            <w:r w:rsidRPr="00640161">
              <w:rPr>
                <w:rFonts w:asciiTheme="minorHAnsi" w:hAnsiTheme="minorHAnsi" w:cstheme="minorHAnsi"/>
              </w:rPr>
              <w:t>Australian sexually transmitted infection</w:t>
            </w:r>
            <w:r w:rsidRPr="00640161">
              <w:rPr>
                <w:rFonts w:asciiTheme="minorHAnsi" w:hAnsiTheme="minorHAnsi" w:cstheme="minorHAnsi"/>
                <w:spacing w:val="-13"/>
              </w:rPr>
              <w:t xml:space="preserve"> </w:t>
            </w:r>
            <w:r w:rsidRPr="00640161">
              <w:rPr>
                <w:rFonts w:asciiTheme="minorHAnsi" w:hAnsiTheme="minorHAnsi" w:cstheme="minorHAnsi"/>
              </w:rPr>
              <w:t>(STI)</w:t>
            </w:r>
            <w:r w:rsidRPr="00640161">
              <w:rPr>
                <w:rFonts w:asciiTheme="minorHAnsi" w:hAnsiTheme="minorHAnsi" w:cstheme="minorHAnsi"/>
                <w:spacing w:val="-12"/>
              </w:rPr>
              <w:t xml:space="preserve"> </w:t>
            </w:r>
            <w:r w:rsidRPr="00640161">
              <w:rPr>
                <w:rFonts w:asciiTheme="minorHAnsi" w:hAnsiTheme="minorHAnsi" w:cstheme="minorHAnsi"/>
              </w:rPr>
              <w:t>management</w:t>
            </w:r>
            <w:r w:rsidRPr="00640161">
              <w:rPr>
                <w:rFonts w:asciiTheme="minorHAnsi" w:hAnsiTheme="minorHAnsi" w:cstheme="minorHAnsi"/>
                <w:spacing w:val="-12"/>
              </w:rPr>
              <w:t xml:space="preserve"> </w:t>
            </w:r>
            <w:r w:rsidRPr="00640161">
              <w:rPr>
                <w:rFonts w:asciiTheme="minorHAnsi" w:hAnsiTheme="minorHAnsi" w:cstheme="minorHAnsi"/>
              </w:rPr>
              <w:t xml:space="preserve">guidelines for use in primary care, 2022 update </w:t>
            </w:r>
          </w:p>
          <w:p w14:paraId="33C55E16" w14:textId="77777777" w:rsidR="00094656" w:rsidRPr="00640161" w:rsidRDefault="00094656" w:rsidP="0067273F">
            <w:pPr>
              <w:pStyle w:val="TableParagraph"/>
              <w:ind w:left="0"/>
              <w:rPr>
                <w:rFonts w:asciiTheme="minorHAnsi" w:hAnsiTheme="minorHAnsi" w:cstheme="minorHAnsi"/>
                <w:b/>
              </w:rPr>
            </w:pPr>
          </w:p>
          <w:p w14:paraId="35B746D0" w14:textId="77777777" w:rsidR="00094656" w:rsidRPr="00640161" w:rsidRDefault="00094656" w:rsidP="0067273F">
            <w:pPr>
              <w:pStyle w:val="TableParagraph"/>
              <w:spacing w:before="0"/>
              <w:ind w:right="97"/>
              <w:rPr>
                <w:rFonts w:asciiTheme="minorHAnsi" w:hAnsiTheme="minorHAnsi" w:cstheme="minorHAnsi"/>
              </w:rPr>
            </w:pPr>
            <w:r w:rsidRPr="00640161">
              <w:rPr>
                <w:rFonts w:asciiTheme="minorHAnsi" w:hAnsiTheme="minorHAnsi" w:cstheme="minorHAnsi"/>
              </w:rPr>
              <w:t>Ong</w:t>
            </w:r>
            <w:r w:rsidRPr="00640161">
              <w:rPr>
                <w:rFonts w:asciiTheme="minorHAnsi" w:hAnsiTheme="minorHAnsi" w:cstheme="minorHAnsi"/>
                <w:spacing w:val="-6"/>
              </w:rPr>
              <w:t xml:space="preserve"> </w:t>
            </w:r>
            <w:r w:rsidRPr="00640161">
              <w:rPr>
                <w:rFonts w:asciiTheme="minorHAnsi" w:hAnsiTheme="minorHAnsi" w:cstheme="minorHAnsi"/>
              </w:rPr>
              <w:t>et</w:t>
            </w:r>
            <w:r w:rsidRPr="00640161">
              <w:rPr>
                <w:rFonts w:asciiTheme="minorHAnsi" w:hAnsiTheme="minorHAnsi" w:cstheme="minorHAnsi"/>
                <w:spacing w:val="-6"/>
              </w:rPr>
              <w:t xml:space="preserve"> </w:t>
            </w:r>
            <w:r w:rsidRPr="00640161">
              <w:rPr>
                <w:rFonts w:asciiTheme="minorHAnsi" w:hAnsiTheme="minorHAnsi" w:cstheme="minorHAnsi"/>
              </w:rPr>
              <w:t>al.</w:t>
            </w:r>
            <w:r w:rsidRPr="00640161">
              <w:rPr>
                <w:rFonts w:asciiTheme="minorHAnsi" w:hAnsiTheme="minorHAnsi" w:cstheme="minorHAnsi"/>
                <w:spacing w:val="-6"/>
              </w:rPr>
              <w:t xml:space="preserve"> </w:t>
            </w:r>
            <w:r w:rsidRPr="00640161">
              <w:rPr>
                <w:rFonts w:asciiTheme="minorHAnsi" w:hAnsiTheme="minorHAnsi" w:cstheme="minorHAnsi"/>
              </w:rPr>
              <w:t>(202</w:t>
            </w:r>
            <w:r>
              <w:rPr>
                <w:rFonts w:asciiTheme="minorHAnsi" w:hAnsiTheme="minorHAnsi" w:cstheme="minorHAnsi"/>
              </w:rPr>
              <w:t>3</w:t>
            </w:r>
            <w:r w:rsidRPr="00640161">
              <w:rPr>
                <w:rFonts w:asciiTheme="minorHAnsi" w:hAnsiTheme="minorHAnsi" w:cstheme="minorHAnsi"/>
              </w:rPr>
              <w:t xml:space="preserve">). </w:t>
            </w:r>
            <w:r w:rsidRPr="00640161">
              <w:rPr>
                <w:rFonts w:ascii="Arial" w:hAnsi="Arial" w:cs="Arial"/>
                <w:color w:val="222222"/>
                <w:sz w:val="20"/>
                <w:szCs w:val="20"/>
                <w:shd w:val="clear" w:color="auto" w:fill="FFFFFF"/>
              </w:rPr>
              <w:t>Australian sexually transmitted infection (STI) management guidelines for use in primary care</w:t>
            </w:r>
            <w:r>
              <w:rPr>
                <w:rFonts w:ascii="Arial" w:hAnsi="Arial" w:cs="Arial"/>
                <w:color w:val="222222"/>
                <w:sz w:val="20"/>
                <w:szCs w:val="20"/>
                <w:shd w:val="clear" w:color="auto" w:fill="FFFFFF"/>
              </w:rPr>
              <w:t>,</w:t>
            </w:r>
            <w:r w:rsidRPr="00640161">
              <w:rPr>
                <w:rFonts w:ascii="Arial" w:hAnsi="Arial" w:cs="Arial"/>
                <w:color w:val="222222"/>
                <w:sz w:val="20"/>
                <w:szCs w:val="20"/>
                <w:shd w:val="clear" w:color="auto" w:fill="FFFFFF"/>
              </w:rPr>
              <w:t xml:space="preserve"> 2022 update. </w:t>
            </w:r>
            <w:r w:rsidRPr="00640161">
              <w:rPr>
                <w:rFonts w:ascii="Arial" w:hAnsi="Arial" w:cs="Arial"/>
                <w:i/>
                <w:iCs/>
                <w:color w:val="222222"/>
                <w:sz w:val="20"/>
                <w:szCs w:val="20"/>
                <w:shd w:val="clear" w:color="auto" w:fill="FFFFFF"/>
              </w:rPr>
              <w:t>Sexual Health</w:t>
            </w:r>
            <w:r w:rsidRPr="00640161">
              <w:rPr>
                <w:rFonts w:ascii="Arial" w:hAnsi="Arial" w:cs="Arial"/>
                <w:color w:val="222222"/>
                <w:sz w:val="20"/>
                <w:szCs w:val="20"/>
                <w:shd w:val="clear" w:color="auto" w:fill="FFFFFF"/>
              </w:rPr>
              <w:t xml:space="preserve">, </w:t>
            </w:r>
            <w:r w:rsidRPr="00640161">
              <w:rPr>
                <w:rFonts w:ascii="Arial" w:hAnsi="Arial" w:cs="Arial"/>
                <w:i/>
                <w:iCs/>
                <w:color w:val="222222"/>
                <w:sz w:val="20"/>
                <w:szCs w:val="20"/>
                <w:shd w:val="clear" w:color="auto" w:fill="FFFFFF"/>
              </w:rPr>
              <w:t>20</w:t>
            </w:r>
            <w:r w:rsidRPr="00640161">
              <w:rPr>
                <w:rFonts w:ascii="Arial" w:hAnsi="Arial" w:cs="Arial"/>
                <w:color w:val="222222"/>
                <w:sz w:val="20"/>
                <w:szCs w:val="20"/>
                <w:shd w:val="clear" w:color="auto" w:fill="FFFFFF"/>
              </w:rPr>
              <w:t>(1), 1-8.</w:t>
            </w:r>
            <w:r w:rsidRPr="00640161">
              <w:rPr>
                <w:rFonts w:asciiTheme="minorHAnsi" w:hAnsiTheme="minorHAnsi" w:cstheme="minorHAnsi"/>
              </w:rPr>
              <w:t xml:space="preserve"> DOI:10.1071/SH22134</w:t>
            </w:r>
          </w:p>
        </w:tc>
        <w:tc>
          <w:tcPr>
            <w:tcW w:w="1417" w:type="dxa"/>
          </w:tcPr>
          <w:p w14:paraId="532464B7" w14:textId="1CD1E056" w:rsidR="00094656" w:rsidRPr="00D83172" w:rsidRDefault="00094656" w:rsidP="0067273F">
            <w:pPr>
              <w:pStyle w:val="TableParagraph"/>
              <w:rPr>
                <w:rFonts w:asciiTheme="minorHAnsi" w:hAnsiTheme="minorHAnsi" w:cstheme="minorHAnsi"/>
              </w:rPr>
            </w:pPr>
            <w:r w:rsidRPr="00D83172">
              <w:rPr>
                <w:rFonts w:asciiTheme="minorHAnsi" w:hAnsiTheme="minorHAnsi" w:cstheme="minorHAnsi"/>
              </w:rPr>
              <w:t xml:space="preserve">Endorsed by </w:t>
            </w:r>
            <w:r w:rsidRPr="00D83172">
              <w:rPr>
                <w:rFonts w:asciiTheme="minorHAnsi" w:hAnsiTheme="minorHAnsi" w:cstheme="minorHAnsi"/>
                <w:shd w:val="clear" w:color="auto" w:fill="FFFFFF"/>
              </w:rPr>
              <w:t>Blood Borne Viruses and Sexually Transmissible Infections Standing Committee</w:t>
            </w:r>
            <w:r w:rsidR="009000E5">
              <w:rPr>
                <w:rFonts w:asciiTheme="minorHAnsi" w:hAnsiTheme="minorHAnsi" w:cstheme="minorHAnsi"/>
                <w:shd w:val="clear" w:color="auto" w:fill="FFFFFF"/>
              </w:rPr>
              <w:t>.</w:t>
            </w:r>
          </w:p>
          <w:p w14:paraId="3638A170" w14:textId="77777777" w:rsidR="00094656" w:rsidRPr="00640161" w:rsidRDefault="00094656" w:rsidP="0067273F">
            <w:pPr>
              <w:pStyle w:val="TableParagraph"/>
              <w:rPr>
                <w:rFonts w:asciiTheme="minorHAnsi" w:hAnsiTheme="minorHAnsi" w:cstheme="minorHAnsi"/>
              </w:rPr>
            </w:pPr>
            <w:r w:rsidRPr="00D83172">
              <w:rPr>
                <w:rFonts w:asciiTheme="minorHAnsi" w:hAnsiTheme="minorHAnsi" w:cstheme="minorHAnsi"/>
              </w:rPr>
              <w:t>Accepted by RACGP</w:t>
            </w:r>
          </w:p>
        </w:tc>
        <w:tc>
          <w:tcPr>
            <w:tcW w:w="1560" w:type="dxa"/>
          </w:tcPr>
          <w:p w14:paraId="3596212D"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Infectious diseases</w:t>
            </w:r>
          </w:p>
        </w:tc>
        <w:tc>
          <w:tcPr>
            <w:tcW w:w="2126" w:type="dxa"/>
          </w:tcPr>
          <w:p w14:paraId="5B838CDE"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Terms</w:t>
            </w:r>
            <w:r w:rsidRPr="00640161">
              <w:rPr>
                <w:rFonts w:asciiTheme="minorHAnsi" w:hAnsiTheme="minorHAnsi" w:cstheme="minorHAnsi"/>
                <w:spacing w:val="-5"/>
              </w:rPr>
              <w:t xml:space="preserve"> </w:t>
            </w:r>
            <w:r w:rsidRPr="00640161">
              <w:rPr>
                <w:rFonts w:asciiTheme="minorHAnsi" w:hAnsiTheme="minorHAnsi" w:cstheme="minorHAnsi"/>
                <w:spacing w:val="-2"/>
              </w:rPr>
              <w:t>used.</w:t>
            </w:r>
          </w:p>
          <w:p w14:paraId="60C01276" w14:textId="77777777" w:rsidR="00094656" w:rsidRPr="00640161" w:rsidRDefault="00094656" w:rsidP="0067273F">
            <w:pPr>
              <w:pStyle w:val="TableParagraph"/>
              <w:spacing w:before="0"/>
              <w:ind w:right="160"/>
              <w:rPr>
                <w:rFonts w:asciiTheme="minorHAnsi" w:hAnsiTheme="minorHAnsi" w:cstheme="minorHAnsi"/>
              </w:rPr>
            </w:pPr>
            <w:r w:rsidRPr="00640161">
              <w:rPr>
                <w:rFonts w:asciiTheme="minorHAnsi" w:hAnsiTheme="minorHAnsi" w:cstheme="minorHAnsi"/>
              </w:rPr>
              <w:t>Refer</w:t>
            </w:r>
            <w:r>
              <w:rPr>
                <w:rFonts w:asciiTheme="minorHAnsi" w:hAnsiTheme="minorHAnsi" w:cstheme="minorHAnsi"/>
              </w:rPr>
              <w:t>s</w:t>
            </w:r>
            <w:r w:rsidRPr="00640161">
              <w:rPr>
                <w:rFonts w:asciiTheme="minorHAnsi" w:hAnsiTheme="minorHAnsi" w:cstheme="minorHAnsi"/>
                <w:spacing w:val="-13"/>
              </w:rPr>
              <w:t xml:space="preserve"> </w:t>
            </w:r>
            <w:r w:rsidRPr="00640161">
              <w:rPr>
                <w:rFonts w:asciiTheme="minorHAnsi" w:hAnsiTheme="minorHAnsi" w:cstheme="minorHAnsi"/>
              </w:rPr>
              <w:t>to</w:t>
            </w:r>
            <w:r w:rsidRPr="00640161">
              <w:rPr>
                <w:rFonts w:asciiTheme="minorHAnsi" w:hAnsiTheme="minorHAnsi" w:cstheme="minorHAnsi"/>
                <w:spacing w:val="-12"/>
              </w:rPr>
              <w:t xml:space="preserve"> </w:t>
            </w:r>
            <w:r w:rsidRPr="00640161">
              <w:rPr>
                <w:rFonts w:asciiTheme="minorHAnsi" w:hAnsiTheme="minorHAnsi" w:cstheme="minorHAnsi"/>
              </w:rPr>
              <w:t xml:space="preserve">“gender-diverse” </w:t>
            </w:r>
            <w:r w:rsidRPr="00640161">
              <w:rPr>
                <w:rFonts w:asciiTheme="minorHAnsi" w:hAnsiTheme="minorHAnsi" w:cstheme="minorHAnsi"/>
                <w:spacing w:val="-2"/>
              </w:rPr>
              <w:t>people.</w:t>
            </w:r>
          </w:p>
          <w:p w14:paraId="439135B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5"/>
              </w:rPr>
              <w:t xml:space="preserve"> </w:t>
            </w:r>
            <w:r w:rsidRPr="00640161">
              <w:rPr>
                <w:rFonts w:asciiTheme="minorHAnsi" w:hAnsiTheme="minorHAnsi" w:cstheme="minorHAnsi"/>
              </w:rPr>
              <w:t>definition</w:t>
            </w:r>
            <w:r w:rsidRPr="00640161">
              <w:rPr>
                <w:rFonts w:asciiTheme="minorHAnsi" w:hAnsiTheme="minorHAnsi" w:cstheme="minorHAnsi"/>
                <w:spacing w:val="-5"/>
              </w:rPr>
              <w:t xml:space="preserve"> </w:t>
            </w:r>
            <w:r w:rsidRPr="00640161">
              <w:rPr>
                <w:rFonts w:asciiTheme="minorHAnsi" w:hAnsiTheme="minorHAnsi" w:cstheme="minorHAnsi"/>
              </w:rPr>
              <w:t>of</w:t>
            </w:r>
            <w:r w:rsidRPr="00640161">
              <w:rPr>
                <w:rFonts w:asciiTheme="minorHAnsi" w:hAnsiTheme="minorHAnsi" w:cstheme="minorHAnsi"/>
                <w:spacing w:val="-4"/>
              </w:rPr>
              <w:t xml:space="preserve"> </w:t>
            </w:r>
            <w:r w:rsidRPr="00640161">
              <w:rPr>
                <w:rFonts w:asciiTheme="minorHAnsi" w:hAnsiTheme="minorHAnsi" w:cstheme="minorHAnsi"/>
                <w:spacing w:val="-2"/>
              </w:rPr>
              <w:t>gender.</w:t>
            </w:r>
          </w:p>
        </w:tc>
        <w:tc>
          <w:tcPr>
            <w:tcW w:w="1984" w:type="dxa"/>
          </w:tcPr>
          <w:p w14:paraId="34C5DF08"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Precautions</w:t>
            </w:r>
            <w:r w:rsidRPr="00640161">
              <w:rPr>
                <w:rFonts w:asciiTheme="minorHAnsi" w:hAnsiTheme="minorHAnsi" w:cstheme="minorHAnsi"/>
                <w:spacing w:val="-9"/>
              </w:rPr>
              <w:t xml:space="preserve"> </w:t>
            </w:r>
            <w:r w:rsidRPr="00640161">
              <w:rPr>
                <w:rFonts w:asciiTheme="minorHAnsi" w:hAnsiTheme="minorHAnsi" w:cstheme="minorHAnsi"/>
              </w:rPr>
              <w:t>by</w:t>
            </w:r>
            <w:r w:rsidRPr="00640161">
              <w:rPr>
                <w:rFonts w:asciiTheme="minorHAnsi" w:hAnsiTheme="minorHAnsi" w:cstheme="minorHAnsi"/>
                <w:spacing w:val="-9"/>
              </w:rPr>
              <w:t xml:space="preserve"> </w:t>
            </w:r>
            <w:r w:rsidRPr="00640161">
              <w:rPr>
                <w:rFonts w:asciiTheme="minorHAnsi" w:hAnsiTheme="minorHAnsi" w:cstheme="minorHAnsi"/>
              </w:rPr>
              <w:t>different</w:t>
            </w:r>
            <w:r w:rsidRPr="00640161">
              <w:rPr>
                <w:rFonts w:asciiTheme="minorHAnsi" w:hAnsiTheme="minorHAnsi" w:cstheme="minorHAnsi"/>
                <w:spacing w:val="-9"/>
              </w:rPr>
              <w:t xml:space="preserve"> </w:t>
            </w:r>
            <w:r w:rsidRPr="00640161">
              <w:rPr>
                <w:rFonts w:asciiTheme="minorHAnsi" w:hAnsiTheme="minorHAnsi" w:cstheme="minorHAnsi"/>
              </w:rPr>
              <w:t>type</w:t>
            </w:r>
            <w:r w:rsidRPr="00640161">
              <w:rPr>
                <w:rFonts w:asciiTheme="minorHAnsi" w:hAnsiTheme="minorHAnsi" w:cstheme="minorHAnsi"/>
                <w:spacing w:val="-9"/>
              </w:rPr>
              <w:t xml:space="preserve"> </w:t>
            </w:r>
            <w:r w:rsidRPr="00640161">
              <w:rPr>
                <w:rFonts w:asciiTheme="minorHAnsi" w:hAnsiTheme="minorHAnsi" w:cstheme="minorHAnsi"/>
              </w:rPr>
              <w:t xml:space="preserve">of STIs for men who have sex with men, or pregnant </w:t>
            </w:r>
            <w:r w:rsidRPr="00640161">
              <w:rPr>
                <w:rFonts w:asciiTheme="minorHAnsi" w:hAnsiTheme="minorHAnsi" w:cstheme="minorHAnsi"/>
                <w:spacing w:val="-2"/>
              </w:rPr>
              <w:t>women.</w:t>
            </w:r>
          </w:p>
        </w:tc>
        <w:tc>
          <w:tcPr>
            <w:tcW w:w="1843" w:type="dxa"/>
          </w:tcPr>
          <w:p w14:paraId="260A08EE"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Considerations</w:t>
            </w:r>
            <w:r w:rsidRPr="00640161">
              <w:rPr>
                <w:rFonts w:asciiTheme="minorHAnsi" w:hAnsiTheme="minorHAnsi" w:cstheme="minorHAnsi"/>
                <w:spacing w:val="-13"/>
              </w:rPr>
              <w:t xml:space="preserve"> </w:t>
            </w:r>
            <w:r w:rsidRPr="00640161">
              <w:rPr>
                <w:rFonts w:asciiTheme="minorHAnsi" w:hAnsiTheme="minorHAnsi" w:cstheme="minorHAnsi"/>
              </w:rPr>
              <w:t>for</w:t>
            </w:r>
            <w:r w:rsidRPr="00640161">
              <w:rPr>
                <w:rFonts w:asciiTheme="minorHAnsi" w:hAnsiTheme="minorHAnsi" w:cstheme="minorHAnsi"/>
                <w:spacing w:val="-12"/>
              </w:rPr>
              <w:t xml:space="preserve"> </w:t>
            </w:r>
            <w:r w:rsidRPr="00640161">
              <w:rPr>
                <w:rFonts w:asciiTheme="minorHAnsi" w:hAnsiTheme="minorHAnsi" w:cstheme="minorHAnsi"/>
              </w:rPr>
              <w:t>transgender</w:t>
            </w:r>
            <w:r w:rsidRPr="00640161">
              <w:rPr>
                <w:rFonts w:asciiTheme="minorHAnsi" w:hAnsiTheme="minorHAnsi" w:cstheme="minorHAnsi"/>
                <w:spacing w:val="-13"/>
              </w:rPr>
              <w:t xml:space="preserve"> </w:t>
            </w:r>
            <w:r w:rsidRPr="00640161">
              <w:rPr>
                <w:rFonts w:asciiTheme="minorHAnsi" w:hAnsiTheme="minorHAnsi" w:cstheme="minorHAnsi"/>
              </w:rPr>
              <w:t>&amp; gender diverse people.</w:t>
            </w:r>
          </w:p>
        </w:tc>
        <w:tc>
          <w:tcPr>
            <w:tcW w:w="1276" w:type="dxa"/>
          </w:tcPr>
          <w:p w14:paraId="6A054FD3"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“Consultation”; no formal method given.</w:t>
            </w:r>
          </w:p>
        </w:tc>
      </w:tr>
      <w:tr w:rsidR="00094656" w:rsidRPr="00640161" w14:paraId="666E9263" w14:textId="77777777" w:rsidTr="0067273F">
        <w:trPr>
          <w:trHeight w:val="2428"/>
        </w:trPr>
        <w:tc>
          <w:tcPr>
            <w:tcW w:w="1575" w:type="dxa"/>
          </w:tcPr>
          <w:p w14:paraId="32F93FE1"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Australia</w:t>
            </w:r>
            <w:r w:rsidRPr="00640161">
              <w:rPr>
                <w:rFonts w:asciiTheme="minorHAnsi" w:hAnsiTheme="minorHAnsi" w:cstheme="minorHAnsi"/>
                <w:b/>
                <w:spacing w:val="-13"/>
              </w:rPr>
              <w:t xml:space="preserve"> </w:t>
            </w:r>
            <w:r w:rsidRPr="00640161">
              <w:rPr>
                <w:rFonts w:asciiTheme="minorHAnsi" w:hAnsiTheme="minorHAnsi" w:cstheme="minorHAnsi"/>
                <w:b/>
              </w:rPr>
              <w:t>&amp;</w:t>
            </w:r>
            <w:r w:rsidRPr="00640161">
              <w:rPr>
                <w:rFonts w:asciiTheme="minorHAnsi" w:hAnsiTheme="minorHAnsi" w:cstheme="minorHAnsi"/>
                <w:b/>
                <w:spacing w:val="-12"/>
              </w:rPr>
              <w:t xml:space="preserve"> </w:t>
            </w:r>
            <w:r w:rsidRPr="00640161">
              <w:rPr>
                <w:rFonts w:asciiTheme="minorHAnsi" w:hAnsiTheme="minorHAnsi" w:cstheme="minorHAnsi"/>
                <w:b/>
              </w:rPr>
              <w:t xml:space="preserve">New </w:t>
            </w:r>
            <w:r w:rsidRPr="00640161">
              <w:rPr>
                <w:rFonts w:asciiTheme="minorHAnsi" w:hAnsiTheme="minorHAnsi" w:cstheme="minorHAnsi"/>
                <w:b/>
                <w:spacing w:val="-2"/>
              </w:rPr>
              <w:t xml:space="preserve">Zealand Musculoskeletal </w:t>
            </w:r>
            <w:r w:rsidRPr="00640161">
              <w:rPr>
                <w:rFonts w:asciiTheme="minorHAnsi" w:hAnsiTheme="minorHAnsi" w:cstheme="minorHAnsi"/>
                <w:b/>
              </w:rPr>
              <w:t>Clinical Trials</w:t>
            </w:r>
          </w:p>
        </w:tc>
        <w:tc>
          <w:tcPr>
            <w:tcW w:w="3119" w:type="dxa"/>
          </w:tcPr>
          <w:p w14:paraId="1F14740E"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An</w:t>
            </w:r>
            <w:r w:rsidRPr="00640161">
              <w:rPr>
                <w:rFonts w:asciiTheme="minorHAnsi" w:hAnsiTheme="minorHAnsi" w:cstheme="minorHAnsi"/>
                <w:spacing w:val="-8"/>
              </w:rPr>
              <w:t xml:space="preserve"> </w:t>
            </w:r>
            <w:r w:rsidRPr="00640161">
              <w:rPr>
                <w:rFonts w:asciiTheme="minorHAnsi" w:hAnsiTheme="minorHAnsi" w:cstheme="minorHAnsi"/>
              </w:rPr>
              <w:t>Australian</w:t>
            </w:r>
            <w:r w:rsidRPr="00640161">
              <w:rPr>
                <w:rFonts w:asciiTheme="minorHAnsi" w:hAnsiTheme="minorHAnsi" w:cstheme="minorHAnsi"/>
                <w:spacing w:val="-8"/>
              </w:rPr>
              <w:t xml:space="preserve"> </w:t>
            </w:r>
            <w:r w:rsidRPr="00640161">
              <w:rPr>
                <w:rFonts w:asciiTheme="minorHAnsi" w:hAnsiTheme="minorHAnsi" w:cstheme="minorHAnsi"/>
              </w:rPr>
              <w:t>Living</w:t>
            </w:r>
            <w:r w:rsidRPr="00640161">
              <w:rPr>
                <w:rFonts w:asciiTheme="minorHAnsi" w:hAnsiTheme="minorHAnsi" w:cstheme="minorHAnsi"/>
                <w:spacing w:val="-8"/>
              </w:rPr>
              <w:t xml:space="preserve"> </w:t>
            </w:r>
            <w:r w:rsidRPr="00640161">
              <w:rPr>
                <w:rFonts w:asciiTheme="minorHAnsi" w:hAnsiTheme="minorHAnsi" w:cstheme="minorHAnsi"/>
              </w:rPr>
              <w:t>Guideline</w:t>
            </w:r>
            <w:r w:rsidRPr="00640161">
              <w:rPr>
                <w:rFonts w:asciiTheme="minorHAnsi" w:hAnsiTheme="minorHAnsi" w:cstheme="minorHAnsi"/>
                <w:spacing w:val="-8"/>
              </w:rPr>
              <w:t xml:space="preserve"> </w:t>
            </w:r>
            <w:r w:rsidRPr="00640161">
              <w:rPr>
                <w:rFonts w:asciiTheme="minorHAnsi" w:hAnsiTheme="minorHAnsi" w:cstheme="minorHAnsi"/>
              </w:rPr>
              <w:t>for</w:t>
            </w:r>
            <w:r w:rsidRPr="00640161">
              <w:rPr>
                <w:rFonts w:asciiTheme="minorHAnsi" w:hAnsiTheme="minorHAnsi" w:cstheme="minorHAnsi"/>
                <w:spacing w:val="-8"/>
              </w:rPr>
              <w:t xml:space="preserve"> </w:t>
            </w:r>
            <w:r w:rsidRPr="00640161">
              <w:rPr>
                <w:rFonts w:asciiTheme="minorHAnsi" w:hAnsiTheme="minorHAnsi" w:cstheme="minorHAnsi"/>
              </w:rPr>
              <w:t>the Pharmacological Management of Inflammatory Arthritis, 2022</w:t>
            </w:r>
          </w:p>
          <w:p w14:paraId="6EB50457" w14:textId="77777777" w:rsidR="00094656" w:rsidRPr="00640161" w:rsidRDefault="00094656" w:rsidP="0067273F">
            <w:pPr>
              <w:pStyle w:val="TableParagraph"/>
              <w:ind w:left="0"/>
              <w:rPr>
                <w:rFonts w:asciiTheme="minorHAnsi" w:hAnsiTheme="minorHAnsi" w:cstheme="minorHAnsi"/>
                <w:b/>
              </w:rPr>
            </w:pPr>
          </w:p>
          <w:p w14:paraId="317473D8" w14:textId="77777777" w:rsidR="00094656" w:rsidRPr="00640161" w:rsidRDefault="00094656" w:rsidP="0067273F">
            <w:pPr>
              <w:pStyle w:val="TableParagraph"/>
              <w:ind w:left="108" w:right="96"/>
              <w:rPr>
                <w:rFonts w:asciiTheme="minorHAnsi" w:hAnsiTheme="minorHAnsi" w:cstheme="minorHAnsi"/>
                <w:spacing w:val="-2"/>
              </w:rPr>
            </w:pPr>
            <w:hyperlink r:id="rId22" w:history="1">
              <w:r w:rsidRPr="00640161">
                <w:rPr>
                  <w:rStyle w:val="Hyperlink"/>
                  <w:rFonts w:asciiTheme="minorHAnsi" w:hAnsiTheme="minorHAnsi" w:cstheme="minorHAnsi"/>
                  <w:spacing w:val="-2"/>
                </w:rPr>
                <w:t>https://files.magicapp.org/guideline/bb6a4ff1-031c-429d-b1ce-5c907287251b/published_guideline_6122-1_15.pdf</w:t>
              </w:r>
            </w:hyperlink>
          </w:p>
        </w:tc>
        <w:tc>
          <w:tcPr>
            <w:tcW w:w="1417" w:type="dxa"/>
          </w:tcPr>
          <w:p w14:paraId="5B8CF112"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NHMRC</w:t>
            </w:r>
          </w:p>
        </w:tc>
        <w:tc>
          <w:tcPr>
            <w:tcW w:w="1560" w:type="dxa"/>
          </w:tcPr>
          <w:p w14:paraId="490923F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Orthopaedics</w:t>
            </w:r>
          </w:p>
        </w:tc>
        <w:tc>
          <w:tcPr>
            <w:tcW w:w="2126" w:type="dxa"/>
          </w:tcPr>
          <w:p w14:paraId="7EB4BDAC" w14:textId="77777777" w:rsidR="00094656" w:rsidRDefault="00094656" w:rsidP="0067273F">
            <w:pPr>
              <w:pStyle w:val="TableParagraph"/>
              <w:rPr>
                <w:rFonts w:asciiTheme="minorHAnsi" w:hAnsiTheme="minorHAnsi" w:cstheme="minorHAnsi"/>
                <w:spacing w:val="-2"/>
              </w:rPr>
            </w:pPr>
            <w:r>
              <w:rPr>
                <w:rFonts w:asciiTheme="minorHAnsi" w:hAnsiTheme="minorHAnsi" w:cstheme="minorHAnsi"/>
              </w:rPr>
              <w:t>“Gender”, “female”, “woman”, not</w:t>
            </w:r>
            <w:r w:rsidRPr="00640161">
              <w:rPr>
                <w:rFonts w:asciiTheme="minorHAnsi" w:hAnsiTheme="minorHAnsi" w:cstheme="minorHAnsi"/>
                <w:spacing w:val="-8"/>
              </w:rPr>
              <w:t xml:space="preserve"> </w:t>
            </w:r>
            <w:r w:rsidRPr="00640161">
              <w:rPr>
                <w:rFonts w:asciiTheme="minorHAnsi" w:hAnsiTheme="minorHAnsi" w:cstheme="minorHAnsi"/>
              </w:rPr>
              <w:t>identified</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p w14:paraId="76DD699D"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“(Male) sex” appears once; not defined.</w:t>
            </w:r>
          </w:p>
        </w:tc>
        <w:tc>
          <w:tcPr>
            <w:tcW w:w="1984" w:type="dxa"/>
          </w:tcPr>
          <w:p w14:paraId="2729AF16"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Male sex as socioeconomic predictor.</w:t>
            </w:r>
          </w:p>
        </w:tc>
        <w:tc>
          <w:tcPr>
            <w:tcW w:w="1843" w:type="dxa"/>
          </w:tcPr>
          <w:p w14:paraId="052EACFF"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AAF697B"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GRADE</w:t>
            </w:r>
          </w:p>
        </w:tc>
      </w:tr>
      <w:tr w:rsidR="00094656" w:rsidRPr="00640161" w14:paraId="41430C9C" w14:textId="77777777" w:rsidTr="0067273F">
        <w:trPr>
          <w:cantSplit/>
        </w:trPr>
        <w:tc>
          <w:tcPr>
            <w:tcW w:w="1575" w:type="dxa"/>
          </w:tcPr>
          <w:p w14:paraId="3AF2BFB9"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Australian &amp; New Zealand Hip Fracture Registry</w:t>
            </w:r>
          </w:p>
        </w:tc>
        <w:tc>
          <w:tcPr>
            <w:tcW w:w="3119" w:type="dxa"/>
          </w:tcPr>
          <w:p w14:paraId="0DB1FB4B" w14:textId="77777777" w:rsidR="00094656" w:rsidRPr="00640161" w:rsidRDefault="00094656" w:rsidP="0067273F">
            <w:pPr>
              <w:pStyle w:val="TableParagraph"/>
              <w:ind w:left="108" w:right="96"/>
              <w:rPr>
                <w:rFonts w:asciiTheme="minorHAnsi" w:hAnsiTheme="minorHAnsi" w:cstheme="minorHAnsi"/>
                <w:bCs/>
              </w:rPr>
            </w:pPr>
            <w:r w:rsidRPr="00640161">
              <w:rPr>
                <w:bCs/>
              </w:rPr>
              <w:t>Australian</w:t>
            </w:r>
            <w:r w:rsidRPr="00640161">
              <w:rPr>
                <w:bCs/>
                <w:spacing w:val="-5"/>
              </w:rPr>
              <w:t xml:space="preserve"> </w:t>
            </w:r>
            <w:r w:rsidRPr="00640161">
              <w:rPr>
                <w:bCs/>
              </w:rPr>
              <w:t>and</w:t>
            </w:r>
            <w:r w:rsidRPr="00640161">
              <w:rPr>
                <w:bCs/>
                <w:spacing w:val="-5"/>
              </w:rPr>
              <w:t xml:space="preserve"> </w:t>
            </w:r>
            <w:r w:rsidRPr="00640161">
              <w:rPr>
                <w:bCs/>
              </w:rPr>
              <w:t>New</w:t>
            </w:r>
            <w:r w:rsidRPr="00640161">
              <w:rPr>
                <w:bCs/>
                <w:spacing w:val="-3"/>
              </w:rPr>
              <w:t xml:space="preserve"> </w:t>
            </w:r>
            <w:r w:rsidRPr="00640161">
              <w:rPr>
                <w:bCs/>
              </w:rPr>
              <w:t>Zealand</w:t>
            </w:r>
            <w:r w:rsidRPr="00640161">
              <w:rPr>
                <w:bCs/>
                <w:spacing w:val="-5"/>
              </w:rPr>
              <w:t xml:space="preserve"> </w:t>
            </w:r>
            <w:r w:rsidRPr="00640161">
              <w:rPr>
                <w:bCs/>
                <w:spacing w:val="-2"/>
              </w:rPr>
              <w:t>guideline</w:t>
            </w:r>
            <w:r w:rsidRPr="00640161">
              <w:rPr>
                <w:bCs/>
              </w:rPr>
              <w:t xml:space="preserve"> for</w:t>
            </w:r>
            <w:r w:rsidRPr="00640161">
              <w:rPr>
                <w:bCs/>
                <w:spacing w:val="-6"/>
              </w:rPr>
              <w:t xml:space="preserve"> </w:t>
            </w:r>
            <w:r w:rsidRPr="00640161">
              <w:rPr>
                <w:bCs/>
              </w:rPr>
              <w:t>hip</w:t>
            </w:r>
            <w:r w:rsidRPr="00640161">
              <w:rPr>
                <w:bCs/>
                <w:spacing w:val="-5"/>
              </w:rPr>
              <w:t xml:space="preserve"> </w:t>
            </w:r>
            <w:r w:rsidRPr="00640161">
              <w:rPr>
                <w:bCs/>
              </w:rPr>
              <w:t>fracture</w:t>
            </w:r>
            <w:r w:rsidRPr="00640161">
              <w:rPr>
                <w:bCs/>
                <w:spacing w:val="-6"/>
              </w:rPr>
              <w:t xml:space="preserve"> </w:t>
            </w:r>
            <w:r w:rsidRPr="00640161">
              <w:rPr>
                <w:bCs/>
              </w:rPr>
              <w:t>care</w:t>
            </w:r>
            <w:r w:rsidRPr="00640161">
              <w:rPr>
                <w:bCs/>
                <w:spacing w:val="-5"/>
              </w:rPr>
              <w:t xml:space="preserve"> </w:t>
            </w:r>
            <w:r w:rsidRPr="00640161">
              <w:rPr>
                <w:bCs/>
              </w:rPr>
              <w:t>-</w:t>
            </w:r>
            <w:r w:rsidRPr="00640161">
              <w:rPr>
                <w:bCs/>
                <w:spacing w:val="-6"/>
              </w:rPr>
              <w:t xml:space="preserve"> </w:t>
            </w:r>
            <w:r w:rsidRPr="00640161">
              <w:rPr>
                <w:bCs/>
              </w:rPr>
              <w:t>improving</w:t>
            </w:r>
            <w:r w:rsidRPr="00640161">
              <w:rPr>
                <w:bCs/>
                <w:spacing w:val="-5"/>
              </w:rPr>
              <w:t xml:space="preserve"> </w:t>
            </w:r>
            <w:r w:rsidRPr="00640161">
              <w:rPr>
                <w:bCs/>
              </w:rPr>
              <w:t>outcomes</w:t>
            </w:r>
            <w:r w:rsidRPr="00640161">
              <w:rPr>
                <w:bCs/>
                <w:spacing w:val="-6"/>
              </w:rPr>
              <w:t xml:space="preserve"> </w:t>
            </w:r>
            <w:r w:rsidRPr="00640161">
              <w:rPr>
                <w:bCs/>
              </w:rPr>
              <w:t>in</w:t>
            </w:r>
            <w:r w:rsidRPr="00640161">
              <w:rPr>
                <w:bCs/>
                <w:spacing w:val="40"/>
              </w:rPr>
              <w:t xml:space="preserve"> </w:t>
            </w:r>
            <w:r w:rsidRPr="00640161">
              <w:rPr>
                <w:bCs/>
              </w:rPr>
              <w:t>hip fracture management of adults, 2014</w:t>
            </w:r>
          </w:p>
          <w:p w14:paraId="000232FC" w14:textId="77777777" w:rsidR="00094656" w:rsidRPr="00640161" w:rsidRDefault="00094656" w:rsidP="0067273F">
            <w:pPr>
              <w:pStyle w:val="TableParagraph"/>
              <w:ind w:left="108" w:right="96"/>
              <w:rPr>
                <w:rFonts w:asciiTheme="minorHAnsi" w:hAnsiTheme="minorHAnsi" w:cstheme="minorHAnsi"/>
                <w:bCs/>
              </w:rPr>
            </w:pPr>
          </w:p>
          <w:p w14:paraId="6F6A8CA4"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https://anzhfr.org/wp-content/uploads/sites/1164/2021/12/ANZ-Guideline-for-Hip-Fracture-Care.pdf</w:t>
            </w:r>
          </w:p>
        </w:tc>
        <w:tc>
          <w:tcPr>
            <w:tcW w:w="1417" w:type="dxa"/>
          </w:tcPr>
          <w:p w14:paraId="65A25807"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NHMRC</w:t>
            </w:r>
            <w:r>
              <w:rPr>
                <w:rFonts w:asciiTheme="minorHAnsi" w:hAnsiTheme="minorHAnsi" w:cstheme="minorHAnsi"/>
              </w:rPr>
              <w:t xml:space="preserve"> &amp; 10 other organisations</w:t>
            </w:r>
          </w:p>
        </w:tc>
        <w:tc>
          <w:tcPr>
            <w:tcW w:w="1560" w:type="dxa"/>
          </w:tcPr>
          <w:p w14:paraId="2017F41D" w14:textId="77777777" w:rsidR="00094656" w:rsidRPr="00640161" w:rsidRDefault="00094656" w:rsidP="0067273F">
            <w:pPr>
              <w:pStyle w:val="TableParagraph"/>
              <w:rPr>
                <w:rFonts w:asciiTheme="minorHAnsi" w:hAnsiTheme="minorHAnsi" w:cstheme="minorHAnsi"/>
              </w:rPr>
            </w:pPr>
            <w:r w:rsidRPr="00640161">
              <w:rPr>
                <w:spacing w:val="-2"/>
              </w:rPr>
              <w:t>Orthopaedics</w:t>
            </w:r>
          </w:p>
        </w:tc>
        <w:tc>
          <w:tcPr>
            <w:tcW w:w="2126" w:type="dxa"/>
          </w:tcPr>
          <w:p w14:paraId="51FCC1C5" w14:textId="77777777" w:rsidR="00094656" w:rsidRDefault="00094656" w:rsidP="0067273F">
            <w:pPr>
              <w:pStyle w:val="TableParagraph"/>
              <w:rPr>
                <w:rFonts w:asciiTheme="minorHAnsi" w:hAnsiTheme="minorHAnsi" w:cstheme="minorHAnsi"/>
              </w:rPr>
            </w:pPr>
            <w:r>
              <w:rPr>
                <w:rFonts w:asciiTheme="minorHAnsi" w:hAnsiTheme="minorHAnsi" w:cstheme="minorHAnsi"/>
              </w:rPr>
              <w:t>“Sex” used once, not defined.</w:t>
            </w:r>
          </w:p>
          <w:p w14:paraId="68A2761C"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twice, meaning sex.</w:t>
            </w:r>
          </w:p>
        </w:tc>
        <w:tc>
          <w:tcPr>
            <w:tcW w:w="1984" w:type="dxa"/>
          </w:tcPr>
          <w:p w14:paraId="3B99FE51"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Sex as risk factor.</w:t>
            </w:r>
          </w:p>
        </w:tc>
        <w:tc>
          <w:tcPr>
            <w:tcW w:w="1843" w:type="dxa"/>
          </w:tcPr>
          <w:p w14:paraId="1DBE43B7"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2738989A"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ADAPTE method, AGREE II, used original NICE assessments of GRADE</w:t>
            </w:r>
          </w:p>
        </w:tc>
      </w:tr>
      <w:tr w:rsidR="00094656" w:rsidRPr="00640161" w14:paraId="1EDA53B1" w14:textId="77777777" w:rsidTr="0067273F">
        <w:trPr>
          <w:cantSplit/>
        </w:trPr>
        <w:tc>
          <w:tcPr>
            <w:tcW w:w="1575" w:type="dxa"/>
          </w:tcPr>
          <w:p w14:paraId="44478D25"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Australian and New Zealand</w:t>
            </w:r>
            <w:r w:rsidRPr="00640161">
              <w:rPr>
                <w:rFonts w:asciiTheme="minorHAnsi" w:hAnsiTheme="minorHAnsi" w:cstheme="minorHAnsi"/>
                <w:b/>
                <w:spacing w:val="-13"/>
              </w:rPr>
              <w:t xml:space="preserve"> </w:t>
            </w:r>
            <w:r w:rsidRPr="00640161">
              <w:rPr>
                <w:rFonts w:asciiTheme="minorHAnsi" w:hAnsiTheme="minorHAnsi" w:cstheme="minorHAnsi"/>
                <w:b/>
              </w:rPr>
              <w:t>Anaesthetic Allergy Group</w:t>
            </w:r>
          </w:p>
        </w:tc>
        <w:tc>
          <w:tcPr>
            <w:tcW w:w="3119" w:type="dxa"/>
          </w:tcPr>
          <w:p w14:paraId="07FEA16E" w14:textId="77777777" w:rsidR="00094656" w:rsidRPr="00640161" w:rsidRDefault="00094656" w:rsidP="0067273F">
            <w:pPr>
              <w:pStyle w:val="TableParagraph"/>
              <w:ind w:right="97"/>
              <w:rPr>
                <w:rFonts w:asciiTheme="minorHAnsi" w:hAnsiTheme="minorHAnsi" w:cstheme="minorHAnsi"/>
              </w:rPr>
            </w:pPr>
            <w:r w:rsidRPr="00DF4DE3">
              <w:rPr>
                <w:rFonts w:asciiTheme="minorHAnsi" w:hAnsiTheme="minorHAnsi" w:cstheme="minorHAnsi"/>
              </w:rPr>
              <w:t>Perioperative</w:t>
            </w:r>
            <w:r w:rsidRPr="00DF4DE3">
              <w:rPr>
                <w:rFonts w:asciiTheme="minorHAnsi" w:hAnsiTheme="minorHAnsi" w:cstheme="minorHAnsi"/>
                <w:spacing w:val="-13"/>
              </w:rPr>
              <w:t xml:space="preserve"> </w:t>
            </w:r>
            <w:r w:rsidRPr="00DF4DE3">
              <w:rPr>
                <w:rFonts w:asciiTheme="minorHAnsi" w:hAnsiTheme="minorHAnsi" w:cstheme="minorHAnsi"/>
              </w:rPr>
              <w:t>Anaphylaxis</w:t>
            </w:r>
            <w:r w:rsidRPr="00DF4DE3">
              <w:rPr>
                <w:rFonts w:asciiTheme="minorHAnsi" w:hAnsiTheme="minorHAnsi" w:cstheme="minorHAnsi"/>
                <w:spacing w:val="-12"/>
              </w:rPr>
              <w:t xml:space="preserve"> </w:t>
            </w:r>
            <w:r w:rsidRPr="00DF4DE3">
              <w:rPr>
                <w:rFonts w:asciiTheme="minorHAnsi" w:hAnsiTheme="minorHAnsi" w:cstheme="minorHAnsi"/>
              </w:rPr>
              <w:t>Management Guidelines, 2022</w:t>
            </w:r>
          </w:p>
          <w:p w14:paraId="4E83BC65" w14:textId="77777777" w:rsidR="00094656" w:rsidRPr="00640161" w:rsidRDefault="00094656" w:rsidP="0067273F">
            <w:pPr>
              <w:pStyle w:val="TableParagraph"/>
              <w:spacing w:before="3"/>
              <w:ind w:left="0"/>
              <w:rPr>
                <w:rFonts w:asciiTheme="minorHAnsi" w:hAnsiTheme="minorHAnsi" w:cstheme="minorHAnsi"/>
                <w:b/>
              </w:rPr>
            </w:pPr>
          </w:p>
          <w:p w14:paraId="2EDF5AD0" w14:textId="77777777" w:rsidR="00094656" w:rsidRPr="00640161" w:rsidRDefault="00094656" w:rsidP="0067273F">
            <w:pPr>
              <w:pStyle w:val="TableParagraph"/>
              <w:ind w:right="199"/>
              <w:rPr>
                <w:rFonts w:asciiTheme="minorHAnsi" w:hAnsiTheme="minorHAnsi" w:cstheme="minorHAnsi"/>
                <w:highlight w:val="yellow"/>
              </w:rPr>
            </w:pPr>
            <w:r w:rsidRPr="00640161">
              <w:rPr>
                <w:rFonts w:asciiTheme="minorHAnsi" w:hAnsiTheme="minorHAnsi" w:cstheme="minorHAnsi"/>
                <w:spacing w:val="-2"/>
              </w:rPr>
              <w:t>https://www.anzca.edu.au/resources/professional-documents/endorsed-guidelines/anaphylaxis-guideline-2022.pdf</w:t>
            </w:r>
          </w:p>
        </w:tc>
        <w:tc>
          <w:tcPr>
            <w:tcW w:w="1417" w:type="dxa"/>
          </w:tcPr>
          <w:p w14:paraId="49ABBB8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ANZCA</w:t>
            </w:r>
          </w:p>
        </w:tc>
        <w:tc>
          <w:tcPr>
            <w:tcW w:w="1560" w:type="dxa"/>
          </w:tcPr>
          <w:p w14:paraId="5C45D4F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Anaesthesia</w:t>
            </w:r>
          </w:p>
        </w:tc>
        <w:tc>
          <w:tcPr>
            <w:tcW w:w="2126" w:type="dxa"/>
          </w:tcPr>
          <w:p w14:paraId="7E0857BA"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w:t>
            </w:r>
            <w:r>
              <w:rPr>
                <w:rFonts w:asciiTheme="minorHAnsi" w:hAnsiTheme="minorHAnsi" w:cstheme="minorHAnsi"/>
              </w:rPr>
              <w:t>o sex or gender</w:t>
            </w:r>
            <w:r w:rsidRPr="00640161">
              <w:rPr>
                <w:rFonts w:asciiTheme="minorHAnsi" w:hAnsiTheme="minorHAnsi" w:cstheme="minorHAnsi"/>
                <w:spacing w:val="-8"/>
              </w:rPr>
              <w:t xml:space="preserve"> </w:t>
            </w:r>
            <w:r w:rsidRPr="00640161">
              <w:rPr>
                <w:rFonts w:asciiTheme="minorHAnsi" w:hAnsiTheme="minorHAnsi" w:cstheme="minorHAnsi"/>
              </w:rPr>
              <w:t>term</w:t>
            </w:r>
            <w:r>
              <w:rPr>
                <w:rFonts w:asciiTheme="minorHAnsi" w:hAnsiTheme="minorHAnsi" w:cstheme="minorHAnsi"/>
              </w:rPr>
              <w:t>s</w:t>
            </w:r>
            <w:r w:rsidRPr="00640161">
              <w:rPr>
                <w:rFonts w:asciiTheme="minorHAnsi" w:hAnsiTheme="minorHAnsi" w:cstheme="minorHAnsi"/>
                <w:spacing w:val="-8"/>
              </w:rPr>
              <w:t xml:space="preserve"> </w:t>
            </w:r>
            <w:r w:rsidRPr="00640161">
              <w:rPr>
                <w:rFonts w:asciiTheme="minorHAnsi" w:hAnsiTheme="minorHAnsi" w:cstheme="minorHAnsi"/>
              </w:rPr>
              <w:t>identified</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tc>
        <w:tc>
          <w:tcPr>
            <w:tcW w:w="1984" w:type="dxa"/>
          </w:tcPr>
          <w:p w14:paraId="211A83C4"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113DC029"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0901A317"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2479CB69" w14:textId="77777777" w:rsidTr="0067273F">
        <w:trPr>
          <w:trHeight w:val="2428"/>
        </w:trPr>
        <w:tc>
          <w:tcPr>
            <w:tcW w:w="1575" w:type="dxa"/>
          </w:tcPr>
          <w:p w14:paraId="38C978D4"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Australian</w:t>
            </w:r>
            <w:r w:rsidRPr="00640161">
              <w:rPr>
                <w:rFonts w:asciiTheme="minorHAnsi" w:hAnsiTheme="minorHAnsi" w:cstheme="minorHAnsi"/>
                <w:b/>
                <w:spacing w:val="-13"/>
              </w:rPr>
              <w:t xml:space="preserve"> </w:t>
            </w:r>
            <w:r w:rsidRPr="00640161">
              <w:rPr>
                <w:rFonts w:asciiTheme="minorHAnsi" w:hAnsiTheme="minorHAnsi" w:cstheme="minorHAnsi"/>
                <w:b/>
              </w:rPr>
              <w:t>and</w:t>
            </w:r>
            <w:r w:rsidRPr="00640161">
              <w:rPr>
                <w:rFonts w:asciiTheme="minorHAnsi" w:hAnsiTheme="minorHAnsi" w:cstheme="minorHAnsi"/>
                <w:b/>
                <w:spacing w:val="-12"/>
              </w:rPr>
              <w:t xml:space="preserve"> </w:t>
            </w:r>
            <w:r w:rsidRPr="00640161">
              <w:rPr>
                <w:rFonts w:asciiTheme="minorHAnsi" w:hAnsiTheme="minorHAnsi" w:cstheme="minorHAnsi"/>
                <w:b/>
              </w:rPr>
              <w:t>New Zealand College of Anaesthetists &amp; Faculty of Pain Medicine (ANZCA)</w:t>
            </w:r>
          </w:p>
        </w:tc>
        <w:tc>
          <w:tcPr>
            <w:tcW w:w="3119" w:type="dxa"/>
          </w:tcPr>
          <w:p w14:paraId="242D3A74"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Standards</w:t>
            </w:r>
            <w:r w:rsidRPr="00640161">
              <w:rPr>
                <w:rFonts w:asciiTheme="minorHAnsi" w:hAnsiTheme="minorHAnsi" w:cstheme="minorHAnsi"/>
                <w:spacing w:val="-8"/>
              </w:rPr>
              <w:t xml:space="preserve"> </w:t>
            </w:r>
            <w:r w:rsidRPr="00640161">
              <w:rPr>
                <w:rFonts w:asciiTheme="minorHAnsi" w:hAnsiTheme="minorHAnsi" w:cstheme="minorHAnsi"/>
              </w:rPr>
              <w:t>for</w:t>
            </w:r>
            <w:r w:rsidRPr="00640161">
              <w:rPr>
                <w:rFonts w:asciiTheme="minorHAnsi" w:hAnsiTheme="minorHAnsi" w:cstheme="minorHAnsi"/>
                <w:spacing w:val="-7"/>
              </w:rPr>
              <w:t xml:space="preserve"> </w:t>
            </w:r>
            <w:r w:rsidRPr="00640161">
              <w:rPr>
                <w:rFonts w:asciiTheme="minorHAnsi" w:hAnsiTheme="minorHAnsi" w:cstheme="minorHAnsi"/>
              </w:rPr>
              <w:t>Anaesthesia,</w:t>
            </w:r>
            <w:r w:rsidRPr="00640161">
              <w:rPr>
                <w:rFonts w:asciiTheme="minorHAnsi" w:hAnsiTheme="minorHAnsi" w:cstheme="minorHAnsi"/>
                <w:spacing w:val="-7"/>
              </w:rPr>
              <w:t xml:space="preserve"> </w:t>
            </w:r>
            <w:r w:rsidRPr="00640161">
              <w:rPr>
                <w:rFonts w:asciiTheme="minorHAnsi" w:hAnsiTheme="minorHAnsi" w:cstheme="minorHAnsi"/>
                <w:spacing w:val="-4"/>
              </w:rPr>
              <w:t>2023</w:t>
            </w:r>
          </w:p>
          <w:p w14:paraId="76283B05" w14:textId="77777777" w:rsidR="00094656" w:rsidRPr="00640161" w:rsidRDefault="00094656" w:rsidP="0067273F">
            <w:pPr>
              <w:pStyle w:val="TableParagraph"/>
              <w:ind w:left="0"/>
              <w:rPr>
                <w:rFonts w:asciiTheme="minorHAnsi" w:hAnsiTheme="minorHAnsi" w:cstheme="minorHAnsi"/>
                <w:b/>
              </w:rPr>
            </w:pPr>
          </w:p>
          <w:p w14:paraId="006D2894" w14:textId="77777777" w:rsidR="00094656" w:rsidRPr="00640161" w:rsidRDefault="00094656" w:rsidP="0067273F">
            <w:pPr>
              <w:pStyle w:val="TableParagraph"/>
              <w:ind w:right="97"/>
              <w:rPr>
                <w:rFonts w:asciiTheme="minorHAnsi" w:hAnsiTheme="minorHAnsi" w:cstheme="minorHAnsi"/>
                <w:highlight w:val="yellow"/>
              </w:rPr>
            </w:pPr>
            <w:r w:rsidRPr="00640161">
              <w:rPr>
                <w:rFonts w:asciiTheme="minorHAnsi" w:hAnsiTheme="minorHAnsi" w:cstheme="minorHAnsi"/>
                <w:spacing w:val="-2"/>
              </w:rPr>
              <w:t>https://www.anzca.edu.au/resources/college-publications/anaesthesia-standards-2022-pilot.pdf</w:t>
            </w:r>
          </w:p>
        </w:tc>
        <w:tc>
          <w:tcPr>
            <w:tcW w:w="1417" w:type="dxa"/>
          </w:tcPr>
          <w:p w14:paraId="76BA6FA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ANZCA</w:t>
            </w:r>
          </w:p>
        </w:tc>
        <w:tc>
          <w:tcPr>
            <w:tcW w:w="1560" w:type="dxa"/>
          </w:tcPr>
          <w:p w14:paraId="695B7612"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Anaesthesia</w:t>
            </w:r>
          </w:p>
        </w:tc>
        <w:tc>
          <w:tcPr>
            <w:tcW w:w="2126" w:type="dxa"/>
          </w:tcPr>
          <w:p w14:paraId="74CD92B0"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w:t>
            </w:r>
            <w:r>
              <w:rPr>
                <w:rFonts w:asciiTheme="minorHAnsi" w:hAnsiTheme="minorHAnsi" w:cstheme="minorHAnsi"/>
              </w:rPr>
              <w:t>o sex or gender</w:t>
            </w:r>
            <w:r w:rsidRPr="00640161">
              <w:rPr>
                <w:rFonts w:asciiTheme="minorHAnsi" w:hAnsiTheme="minorHAnsi" w:cstheme="minorHAnsi"/>
                <w:spacing w:val="-8"/>
              </w:rPr>
              <w:t xml:space="preserve"> </w:t>
            </w:r>
            <w:r w:rsidRPr="00640161">
              <w:rPr>
                <w:rFonts w:asciiTheme="minorHAnsi" w:hAnsiTheme="minorHAnsi" w:cstheme="minorHAnsi"/>
              </w:rPr>
              <w:t>term</w:t>
            </w:r>
            <w:r>
              <w:rPr>
                <w:rFonts w:asciiTheme="minorHAnsi" w:hAnsiTheme="minorHAnsi" w:cstheme="minorHAnsi"/>
              </w:rPr>
              <w:t>s</w:t>
            </w:r>
            <w:r w:rsidRPr="00640161">
              <w:rPr>
                <w:rFonts w:asciiTheme="minorHAnsi" w:hAnsiTheme="minorHAnsi" w:cstheme="minorHAnsi"/>
                <w:spacing w:val="-8"/>
              </w:rPr>
              <w:t xml:space="preserve"> </w:t>
            </w:r>
            <w:r w:rsidRPr="00640161">
              <w:rPr>
                <w:rFonts w:asciiTheme="minorHAnsi" w:hAnsiTheme="minorHAnsi" w:cstheme="minorHAnsi"/>
              </w:rPr>
              <w:t>identified</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tc>
        <w:tc>
          <w:tcPr>
            <w:tcW w:w="1984" w:type="dxa"/>
          </w:tcPr>
          <w:p w14:paraId="0D815756"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36003936"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19FA495"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23211057" w14:textId="77777777" w:rsidTr="0067273F">
        <w:trPr>
          <w:trHeight w:val="2951"/>
        </w:trPr>
        <w:tc>
          <w:tcPr>
            <w:tcW w:w="1575" w:type="dxa"/>
          </w:tcPr>
          <w:p w14:paraId="6F7D4878" w14:textId="77777777" w:rsidR="00094656" w:rsidRPr="00640161" w:rsidRDefault="00094656" w:rsidP="0067273F">
            <w:pPr>
              <w:pStyle w:val="TableParagraph"/>
              <w:ind w:left="110"/>
              <w:rPr>
                <w:rFonts w:asciiTheme="minorHAnsi" w:hAnsiTheme="minorHAnsi" w:cstheme="minorHAnsi"/>
                <w:b/>
              </w:rPr>
            </w:pPr>
            <w:r w:rsidRPr="00640161">
              <w:rPr>
                <w:rFonts w:asciiTheme="minorHAnsi" w:hAnsiTheme="minorHAnsi" w:cstheme="minorHAnsi"/>
                <w:b/>
              </w:rPr>
              <w:t>Australian Childhood Stroke Advisory Committee</w:t>
            </w:r>
          </w:p>
        </w:tc>
        <w:tc>
          <w:tcPr>
            <w:tcW w:w="3119" w:type="dxa"/>
          </w:tcPr>
          <w:p w14:paraId="34520ED1"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Australian Clinical Consensus Guideline: The diagnosis and acute management of childhood stroke, 2019</w:t>
            </w:r>
          </w:p>
          <w:p w14:paraId="4B0F3F11" w14:textId="77777777" w:rsidR="00094656" w:rsidRPr="00640161" w:rsidRDefault="00094656" w:rsidP="0067273F">
            <w:pPr>
              <w:pStyle w:val="TableParagraph"/>
              <w:ind w:left="108" w:right="96"/>
              <w:rPr>
                <w:rFonts w:asciiTheme="minorHAnsi" w:hAnsiTheme="minorHAnsi" w:cstheme="minorHAnsi"/>
              </w:rPr>
            </w:pPr>
          </w:p>
          <w:p w14:paraId="22F35288"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 xml:space="preserve">Medley et al. (2019). Australian Clinical Consensus Guideline: The diagnosis and acute management of childhood stroke. </w:t>
            </w:r>
            <w:r w:rsidRPr="00640161">
              <w:rPr>
                <w:rFonts w:asciiTheme="minorHAnsi" w:hAnsiTheme="minorHAnsi" w:cstheme="minorHAnsi"/>
                <w:i/>
                <w:iCs/>
              </w:rPr>
              <w:t>International Journal of Stroke, 14</w:t>
            </w:r>
            <w:r w:rsidRPr="00640161">
              <w:rPr>
                <w:rFonts w:asciiTheme="minorHAnsi" w:hAnsiTheme="minorHAnsi" w:cstheme="minorHAnsi"/>
              </w:rPr>
              <w:t>(1):94-106. DOI:10.1177/1747493018799958</w:t>
            </w:r>
          </w:p>
        </w:tc>
        <w:tc>
          <w:tcPr>
            <w:tcW w:w="1417" w:type="dxa"/>
          </w:tcPr>
          <w:p w14:paraId="6BB1FFB3" w14:textId="77777777" w:rsidR="00094656" w:rsidRPr="005D3E79" w:rsidRDefault="00094656" w:rsidP="0067273F">
            <w:pPr>
              <w:adjustRightInd w:val="0"/>
              <w:spacing w:before="1"/>
              <w:ind w:left="108" w:right="96"/>
              <w:rPr>
                <w:rFonts w:eastAsiaTheme="minorHAnsi" w:cstheme="minorHAnsi"/>
              </w:rPr>
            </w:pPr>
            <w:r w:rsidRPr="005D3E79">
              <w:rPr>
                <w:rFonts w:eastAsiaTheme="minorHAnsi" w:cstheme="minorHAnsi"/>
              </w:rPr>
              <w:t>Stroke Foundation of Australia</w:t>
            </w:r>
          </w:p>
          <w:p w14:paraId="26AB5D21" w14:textId="77777777" w:rsidR="00094656" w:rsidRPr="00640161" w:rsidRDefault="00094656" w:rsidP="0067273F">
            <w:pPr>
              <w:pStyle w:val="TableParagraph"/>
              <w:ind w:left="108" w:right="96"/>
              <w:rPr>
                <w:rFonts w:asciiTheme="minorHAnsi" w:hAnsiTheme="minorHAnsi" w:cstheme="minorHAnsi"/>
              </w:rPr>
            </w:pPr>
            <w:r w:rsidRPr="005D3E79">
              <w:rPr>
                <w:rFonts w:asciiTheme="minorHAnsi" w:eastAsiaTheme="minorHAnsi" w:hAnsiTheme="minorHAnsi" w:cstheme="minorHAnsi"/>
              </w:rPr>
              <w:t>Australian and New Zealand Childhood Stroke Society</w:t>
            </w:r>
          </w:p>
        </w:tc>
        <w:tc>
          <w:tcPr>
            <w:tcW w:w="1560" w:type="dxa"/>
          </w:tcPr>
          <w:p w14:paraId="1720926F" w14:textId="77777777" w:rsidR="00094656" w:rsidRPr="00640161" w:rsidRDefault="00094656" w:rsidP="0067273F">
            <w:pPr>
              <w:pStyle w:val="TableParagraph"/>
              <w:ind w:left="28" w:right="28"/>
              <w:rPr>
                <w:rFonts w:asciiTheme="minorHAnsi" w:hAnsiTheme="minorHAnsi" w:cstheme="minorHAnsi"/>
              </w:rPr>
            </w:pPr>
            <w:r w:rsidRPr="00640161">
              <w:rPr>
                <w:spacing w:val="-2"/>
              </w:rPr>
              <w:t>Paediatrics</w:t>
            </w:r>
          </w:p>
        </w:tc>
        <w:tc>
          <w:tcPr>
            <w:tcW w:w="2126" w:type="dxa"/>
          </w:tcPr>
          <w:p w14:paraId="579E5ED3" w14:textId="77777777" w:rsidR="00094656" w:rsidRPr="00640161" w:rsidRDefault="00094656" w:rsidP="0067273F">
            <w:pPr>
              <w:pStyle w:val="TableParagraph"/>
              <w:ind w:left="28" w:right="28"/>
              <w:rPr>
                <w:rFonts w:asciiTheme="minorHAnsi" w:hAnsiTheme="minorHAnsi" w:cstheme="minorHAnsi"/>
              </w:rPr>
            </w:pPr>
            <w:r>
              <w:rPr>
                <w:rFonts w:asciiTheme="minorHAnsi" w:hAnsiTheme="minorHAnsi" w:cstheme="minorHAnsi"/>
              </w:rPr>
              <w:t>“Gender”, “sex”, “female”, “male”, “girl”, “boy” not found in text search.</w:t>
            </w:r>
          </w:p>
        </w:tc>
        <w:tc>
          <w:tcPr>
            <w:tcW w:w="1984" w:type="dxa"/>
          </w:tcPr>
          <w:p w14:paraId="71A8AED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6F47BD40"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2E342FF8" w14:textId="77777777" w:rsidR="00094656" w:rsidRPr="00640161" w:rsidRDefault="00094656" w:rsidP="0067273F">
            <w:pPr>
              <w:pStyle w:val="TableParagraph"/>
              <w:ind w:left="108" w:right="96"/>
              <w:jc w:val="both"/>
              <w:rPr>
                <w:rFonts w:asciiTheme="minorHAnsi" w:hAnsiTheme="minorHAnsi" w:cstheme="minorHAnsi"/>
              </w:rPr>
            </w:pPr>
            <w:r>
              <w:rPr>
                <w:rFonts w:asciiTheme="minorHAnsi" w:hAnsiTheme="minorHAnsi" w:cstheme="minorHAnsi"/>
              </w:rPr>
              <w:t>GRADE</w:t>
            </w:r>
          </w:p>
        </w:tc>
      </w:tr>
      <w:tr w:rsidR="00094656" w:rsidRPr="00640161" w14:paraId="2187BC01" w14:textId="77777777" w:rsidTr="0067273F">
        <w:trPr>
          <w:trHeight w:val="2428"/>
        </w:trPr>
        <w:tc>
          <w:tcPr>
            <w:tcW w:w="1575" w:type="dxa"/>
          </w:tcPr>
          <w:p w14:paraId="467CABE0"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Australian</w:t>
            </w:r>
            <w:r w:rsidRPr="00640161">
              <w:rPr>
                <w:rFonts w:asciiTheme="minorHAnsi" w:hAnsiTheme="minorHAnsi" w:cstheme="minorHAnsi"/>
                <w:b/>
                <w:spacing w:val="-13"/>
              </w:rPr>
              <w:t xml:space="preserve"> </w:t>
            </w:r>
            <w:r w:rsidRPr="00640161">
              <w:rPr>
                <w:rFonts w:asciiTheme="minorHAnsi" w:hAnsiTheme="minorHAnsi" w:cstheme="minorHAnsi"/>
                <w:b/>
              </w:rPr>
              <w:t xml:space="preserve">Diabetes </w:t>
            </w:r>
            <w:r w:rsidRPr="00640161">
              <w:rPr>
                <w:rFonts w:asciiTheme="minorHAnsi" w:hAnsiTheme="minorHAnsi" w:cstheme="minorHAnsi"/>
                <w:b/>
                <w:spacing w:val="-2"/>
              </w:rPr>
              <w:t>Society</w:t>
            </w:r>
          </w:p>
        </w:tc>
        <w:tc>
          <w:tcPr>
            <w:tcW w:w="3119" w:type="dxa"/>
          </w:tcPr>
          <w:p w14:paraId="37DA9B26" w14:textId="77777777" w:rsidR="00094656" w:rsidRPr="00640161" w:rsidRDefault="00094656" w:rsidP="0067273F">
            <w:pPr>
              <w:pStyle w:val="TableParagraph"/>
              <w:ind w:right="199"/>
              <w:rPr>
                <w:rFonts w:asciiTheme="minorHAnsi" w:hAnsiTheme="minorHAnsi" w:cstheme="minorHAnsi"/>
              </w:rPr>
            </w:pPr>
            <w:r w:rsidRPr="008D1BF0">
              <w:rPr>
                <w:rFonts w:asciiTheme="minorHAnsi" w:hAnsiTheme="minorHAnsi" w:cstheme="minorHAnsi"/>
              </w:rPr>
              <w:t>Australian</w:t>
            </w:r>
            <w:r w:rsidRPr="008D1BF0">
              <w:rPr>
                <w:rFonts w:asciiTheme="minorHAnsi" w:hAnsiTheme="minorHAnsi" w:cstheme="minorHAnsi"/>
                <w:spacing w:val="-13"/>
              </w:rPr>
              <w:t xml:space="preserve"> </w:t>
            </w:r>
            <w:r w:rsidRPr="008D1BF0">
              <w:rPr>
                <w:rFonts w:asciiTheme="minorHAnsi" w:hAnsiTheme="minorHAnsi" w:cstheme="minorHAnsi"/>
              </w:rPr>
              <w:t>Evidence-Based</w:t>
            </w:r>
            <w:r w:rsidRPr="008D1BF0">
              <w:rPr>
                <w:rFonts w:asciiTheme="minorHAnsi" w:hAnsiTheme="minorHAnsi" w:cstheme="minorHAnsi"/>
                <w:spacing w:val="-12"/>
              </w:rPr>
              <w:t xml:space="preserve"> </w:t>
            </w:r>
            <w:r w:rsidRPr="008D1BF0">
              <w:rPr>
                <w:rFonts w:asciiTheme="minorHAnsi" w:hAnsiTheme="minorHAnsi" w:cstheme="minorHAnsi"/>
              </w:rPr>
              <w:t>Clinical Guidelines for Diabetes, 2020</w:t>
            </w:r>
          </w:p>
          <w:p w14:paraId="587ED46C" w14:textId="77777777" w:rsidR="00094656" w:rsidRPr="00640161" w:rsidRDefault="00094656" w:rsidP="0067273F">
            <w:pPr>
              <w:pStyle w:val="TableParagraph"/>
              <w:spacing w:before="8"/>
              <w:ind w:left="0"/>
              <w:rPr>
                <w:rFonts w:asciiTheme="minorHAnsi" w:hAnsiTheme="minorHAnsi" w:cstheme="minorHAnsi"/>
                <w:b/>
              </w:rPr>
            </w:pPr>
          </w:p>
          <w:p w14:paraId="14A8285A" w14:textId="77777777" w:rsidR="00094656" w:rsidRPr="00640161" w:rsidRDefault="00094656" w:rsidP="0067273F">
            <w:pPr>
              <w:pStyle w:val="TableParagraph"/>
              <w:ind w:left="108" w:right="96"/>
              <w:rPr>
                <w:rFonts w:asciiTheme="minorHAnsi" w:hAnsiTheme="minorHAnsi" w:cstheme="minorHAnsi"/>
              </w:rPr>
            </w:pPr>
            <w:hyperlink r:id="rId23">
              <w:r w:rsidRPr="00640161">
                <w:rPr>
                  <w:rFonts w:asciiTheme="minorHAnsi" w:hAnsiTheme="minorHAnsi" w:cstheme="minorHAnsi"/>
                  <w:spacing w:val="-2"/>
                </w:rPr>
                <w:t>https://w</w:t>
              </w:r>
            </w:hyperlink>
            <w:proofErr w:type="gramStart"/>
            <w:r w:rsidRPr="00640161">
              <w:rPr>
                <w:rFonts w:asciiTheme="minorHAnsi" w:hAnsiTheme="minorHAnsi" w:cstheme="minorHAnsi"/>
                <w:spacing w:val="-2"/>
              </w:rPr>
              <w:t>ww.diabe</w:t>
            </w:r>
            <w:proofErr w:type="gramEnd"/>
            <w:r>
              <w:fldChar w:fldCharType="begin"/>
            </w:r>
            <w:r>
              <w:instrText>HYPERLINK "http://www.diabetessociety.com.au/2" \h</w:instrText>
            </w:r>
            <w:r>
              <w:fldChar w:fldCharType="separate"/>
            </w:r>
            <w:r w:rsidRPr="00640161">
              <w:rPr>
                <w:rFonts w:asciiTheme="minorHAnsi" w:hAnsiTheme="minorHAnsi" w:cstheme="minorHAnsi"/>
                <w:spacing w:val="-2"/>
              </w:rPr>
              <w:t>tessociety.com.au/2</w:t>
            </w:r>
            <w:r>
              <w:rPr>
                <w:rFonts w:asciiTheme="minorHAnsi" w:hAnsiTheme="minorHAnsi" w:cstheme="minorHAnsi"/>
                <w:spacing w:val="-2"/>
              </w:rPr>
              <w:fldChar w:fldCharType="end"/>
            </w:r>
            <w:r w:rsidRPr="00640161">
              <w:rPr>
                <w:rFonts w:asciiTheme="minorHAnsi" w:hAnsiTheme="minorHAnsi" w:cstheme="minorHAnsi"/>
                <w:spacing w:val="-2"/>
              </w:rPr>
              <w:t xml:space="preserve"> 0211104%20Guideline-Australian-Evidence-Based-Clinical-Guidelines-for-Diabetes.pdf</w:t>
            </w:r>
          </w:p>
        </w:tc>
        <w:tc>
          <w:tcPr>
            <w:tcW w:w="1417" w:type="dxa"/>
          </w:tcPr>
          <w:p w14:paraId="1220B481"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NHMRC</w:t>
            </w:r>
          </w:p>
        </w:tc>
        <w:tc>
          <w:tcPr>
            <w:tcW w:w="1560" w:type="dxa"/>
          </w:tcPr>
          <w:p w14:paraId="0BB967F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Endocrinology </w:t>
            </w:r>
          </w:p>
        </w:tc>
        <w:tc>
          <w:tcPr>
            <w:tcW w:w="2126" w:type="dxa"/>
          </w:tcPr>
          <w:p w14:paraId="62D75EC7"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 “gender”, “female”, “male” not</w:t>
            </w:r>
            <w:r w:rsidRPr="00640161">
              <w:rPr>
                <w:rFonts w:asciiTheme="minorHAnsi" w:hAnsiTheme="minorHAnsi" w:cstheme="minorHAnsi"/>
                <w:spacing w:val="-8"/>
              </w:rPr>
              <w:t xml:space="preserve"> </w:t>
            </w:r>
            <w:r w:rsidRPr="00640161">
              <w:rPr>
                <w:rFonts w:asciiTheme="minorHAnsi" w:hAnsiTheme="minorHAnsi" w:cstheme="minorHAnsi"/>
              </w:rPr>
              <w:t>identified</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p w14:paraId="7B5BDA8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Use</w:t>
            </w:r>
            <w:r w:rsidRPr="00640161">
              <w:rPr>
                <w:rFonts w:asciiTheme="minorHAnsi" w:hAnsiTheme="minorHAnsi" w:cstheme="minorHAnsi"/>
                <w:spacing w:val="-3"/>
              </w:rPr>
              <w:t xml:space="preserve"> </w:t>
            </w:r>
            <w:r w:rsidRPr="00640161">
              <w:rPr>
                <w:rFonts w:asciiTheme="minorHAnsi" w:hAnsiTheme="minorHAnsi" w:cstheme="minorHAnsi"/>
                <w:spacing w:val="-2"/>
              </w:rPr>
              <w:t>“women”</w:t>
            </w:r>
            <w:r>
              <w:rPr>
                <w:rFonts w:asciiTheme="minorHAnsi" w:hAnsiTheme="minorHAnsi" w:cstheme="minorHAnsi"/>
                <w:spacing w:val="-2"/>
              </w:rPr>
              <w:t>, “men”</w:t>
            </w:r>
            <w:r w:rsidRPr="00640161">
              <w:rPr>
                <w:rFonts w:asciiTheme="minorHAnsi" w:hAnsiTheme="minorHAnsi" w:cstheme="minorHAnsi"/>
                <w:spacing w:val="-2"/>
              </w:rPr>
              <w:t>.</w:t>
            </w:r>
          </w:p>
        </w:tc>
        <w:tc>
          <w:tcPr>
            <w:tcW w:w="1984" w:type="dxa"/>
          </w:tcPr>
          <w:p w14:paraId="0DDB258B"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C</w:t>
            </w:r>
            <w:r w:rsidRPr="00640161">
              <w:rPr>
                <w:rFonts w:asciiTheme="minorHAnsi" w:hAnsiTheme="minorHAnsi" w:cstheme="minorHAnsi"/>
              </w:rPr>
              <w:t xml:space="preserve">ardiovascular risk factors </w:t>
            </w:r>
            <w:r>
              <w:rPr>
                <w:rFonts w:asciiTheme="minorHAnsi" w:hAnsiTheme="minorHAnsi" w:cstheme="minorHAnsi"/>
              </w:rPr>
              <w:t>for women &amp;</w:t>
            </w:r>
            <w:r w:rsidRPr="00640161">
              <w:rPr>
                <w:rFonts w:asciiTheme="minorHAnsi" w:hAnsiTheme="minorHAnsi" w:cstheme="minorHAnsi"/>
              </w:rPr>
              <w:t xml:space="preserve"> men</w:t>
            </w:r>
            <w:r>
              <w:rPr>
                <w:rFonts w:asciiTheme="minorHAnsi" w:hAnsiTheme="minorHAnsi" w:cstheme="minorHAnsi"/>
              </w:rPr>
              <w:t>.</w:t>
            </w:r>
          </w:p>
          <w:p w14:paraId="2B3BF753" w14:textId="77777777" w:rsidR="00094656" w:rsidRPr="00640161" w:rsidRDefault="00094656" w:rsidP="0067273F">
            <w:pPr>
              <w:pStyle w:val="TableParagraph"/>
              <w:ind w:right="160"/>
              <w:rPr>
                <w:rFonts w:asciiTheme="minorHAnsi" w:hAnsiTheme="minorHAnsi" w:cstheme="minorHAnsi"/>
                <w:spacing w:val="-2"/>
              </w:rPr>
            </w:pPr>
            <w:r w:rsidRPr="00640161">
              <w:rPr>
                <w:rFonts w:asciiTheme="minorHAnsi" w:hAnsiTheme="minorHAnsi" w:cstheme="minorHAnsi"/>
              </w:rPr>
              <w:t>Considerations</w:t>
            </w:r>
            <w:r w:rsidRPr="00640161">
              <w:rPr>
                <w:rFonts w:asciiTheme="minorHAnsi" w:hAnsiTheme="minorHAnsi" w:cstheme="minorHAnsi"/>
                <w:spacing w:val="-13"/>
              </w:rPr>
              <w:t xml:space="preserve"> </w:t>
            </w:r>
            <w:r w:rsidRPr="00640161">
              <w:rPr>
                <w:rFonts w:asciiTheme="minorHAnsi" w:hAnsiTheme="minorHAnsi" w:cstheme="minorHAnsi"/>
              </w:rPr>
              <w:t>of</w:t>
            </w:r>
            <w:r w:rsidRPr="00640161">
              <w:rPr>
                <w:rFonts w:asciiTheme="minorHAnsi" w:hAnsiTheme="minorHAnsi" w:cstheme="minorHAnsi"/>
                <w:spacing w:val="-12"/>
              </w:rPr>
              <w:t xml:space="preserve"> </w:t>
            </w:r>
            <w:r w:rsidRPr="00640161">
              <w:rPr>
                <w:rFonts w:asciiTheme="minorHAnsi" w:hAnsiTheme="minorHAnsi" w:cstheme="minorHAnsi"/>
              </w:rPr>
              <w:t>women for medical device &amp; medication</w:t>
            </w:r>
            <w:r w:rsidRPr="00640161">
              <w:rPr>
                <w:rFonts w:asciiTheme="minorHAnsi" w:hAnsiTheme="minorHAnsi" w:cstheme="minorHAnsi"/>
                <w:spacing w:val="-2"/>
              </w:rPr>
              <w:t>.</w:t>
            </w:r>
          </w:p>
        </w:tc>
        <w:tc>
          <w:tcPr>
            <w:tcW w:w="1843" w:type="dxa"/>
          </w:tcPr>
          <w:p w14:paraId="368BFCFA"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374C3C9" w14:textId="77777777" w:rsidR="00094656" w:rsidRPr="00640161" w:rsidRDefault="00094656" w:rsidP="0067273F">
            <w:pPr>
              <w:pStyle w:val="TableParagraph"/>
              <w:ind w:left="102" w:right="96"/>
              <w:rPr>
                <w:rFonts w:asciiTheme="minorHAnsi" w:hAnsiTheme="minorHAnsi" w:cstheme="minorHAnsi"/>
              </w:rPr>
            </w:pPr>
            <w:r>
              <w:rPr>
                <w:rFonts w:asciiTheme="minorHAnsi" w:hAnsiTheme="minorHAnsi" w:cstheme="minorHAnsi"/>
              </w:rPr>
              <w:t>GRADE</w:t>
            </w:r>
          </w:p>
        </w:tc>
      </w:tr>
      <w:tr w:rsidR="00094656" w:rsidRPr="00640161" w14:paraId="0F9AE44E" w14:textId="77777777" w:rsidTr="0067273F">
        <w:trPr>
          <w:cantSplit/>
        </w:trPr>
        <w:tc>
          <w:tcPr>
            <w:tcW w:w="1575" w:type="dxa"/>
          </w:tcPr>
          <w:p w14:paraId="6F443EDD"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spacing w:val="-2"/>
              </w:rPr>
              <w:t>Australian Hepatology Association</w:t>
            </w:r>
          </w:p>
        </w:tc>
        <w:tc>
          <w:tcPr>
            <w:tcW w:w="3119" w:type="dxa"/>
          </w:tcPr>
          <w:p w14:paraId="508D252A" w14:textId="5B9EB6B3" w:rsidR="00094656" w:rsidRPr="00D46B37" w:rsidRDefault="00094656" w:rsidP="00806C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
              <w:ind w:left="108" w:right="96"/>
              <w:rPr>
                <w:rFonts w:cstheme="minorHAnsi"/>
              </w:rPr>
            </w:pPr>
            <w:r w:rsidRPr="00D46B37">
              <w:rPr>
                <w:rFonts w:cstheme="minorHAnsi"/>
              </w:rPr>
              <w:t>AHA Consensus-based</w:t>
            </w:r>
            <w:r w:rsidRPr="00D46B37">
              <w:rPr>
                <w:rFonts w:cstheme="minorHAnsi"/>
                <w:spacing w:val="-13"/>
              </w:rPr>
              <w:t xml:space="preserve"> </w:t>
            </w:r>
            <w:r w:rsidRPr="00D46B37">
              <w:rPr>
                <w:rFonts w:cstheme="minorHAnsi"/>
              </w:rPr>
              <w:t>Nursing</w:t>
            </w:r>
            <w:r w:rsidRPr="00D46B37">
              <w:rPr>
                <w:rFonts w:cstheme="minorHAnsi"/>
                <w:spacing w:val="-12"/>
              </w:rPr>
              <w:t xml:space="preserve"> </w:t>
            </w:r>
            <w:r w:rsidRPr="00D46B37">
              <w:rPr>
                <w:rFonts w:cstheme="minorHAnsi"/>
              </w:rPr>
              <w:t xml:space="preserve">Guidelines </w:t>
            </w:r>
            <w:r>
              <w:rPr>
                <w:rFonts w:eastAsiaTheme="minorHAnsi" w:cstheme="minorHAnsi"/>
                <w:lang w:val="en-GB"/>
              </w:rPr>
              <w:t>f</w:t>
            </w:r>
            <w:r w:rsidRPr="00D46B37">
              <w:rPr>
                <w:rFonts w:eastAsiaTheme="minorHAnsi" w:cstheme="minorHAnsi"/>
                <w:lang w:val="en-GB"/>
              </w:rPr>
              <w:t xml:space="preserve">or </w:t>
            </w:r>
            <w:r>
              <w:rPr>
                <w:rFonts w:eastAsiaTheme="minorHAnsi" w:cstheme="minorHAnsi"/>
                <w:lang w:val="en-GB"/>
              </w:rPr>
              <w:t>t</w:t>
            </w:r>
            <w:r w:rsidRPr="00D46B37">
              <w:rPr>
                <w:rFonts w:eastAsiaTheme="minorHAnsi" w:cstheme="minorHAnsi"/>
                <w:lang w:val="en-GB"/>
              </w:rPr>
              <w:t xml:space="preserve">he Care </w:t>
            </w:r>
            <w:r>
              <w:rPr>
                <w:rFonts w:eastAsiaTheme="minorHAnsi" w:cstheme="minorHAnsi"/>
                <w:lang w:val="en-GB"/>
              </w:rPr>
              <w:t>o</w:t>
            </w:r>
            <w:r w:rsidRPr="00D46B37">
              <w:rPr>
                <w:rFonts w:eastAsiaTheme="minorHAnsi" w:cstheme="minorHAnsi"/>
                <w:lang w:val="en-GB"/>
              </w:rPr>
              <w:t>f People with Hepatitis B, Hepatitis C, Advanced Liver</w:t>
            </w:r>
            <w:r w:rsidR="0067273F">
              <w:rPr>
                <w:rFonts w:eastAsiaTheme="minorHAnsi" w:cstheme="minorHAnsi"/>
                <w:lang w:val="en-GB"/>
              </w:rPr>
              <w:t xml:space="preserve"> </w:t>
            </w:r>
            <w:r w:rsidRPr="00D46B37">
              <w:rPr>
                <w:rFonts w:eastAsiaTheme="minorHAnsi" w:cstheme="minorHAnsi"/>
                <w:lang w:val="en-GB"/>
              </w:rPr>
              <w:t>Disease and Hepatocellular Carcinoma</w:t>
            </w:r>
            <w:r w:rsidRPr="00D46B37">
              <w:rPr>
                <w:rFonts w:cstheme="minorHAnsi"/>
              </w:rPr>
              <w:t>, 2019</w:t>
            </w:r>
          </w:p>
          <w:p w14:paraId="51D79486" w14:textId="77777777" w:rsidR="00094656" w:rsidRPr="00640161" w:rsidRDefault="00094656" w:rsidP="0067273F">
            <w:pPr>
              <w:pStyle w:val="TableParagraph"/>
              <w:ind w:left="0"/>
              <w:rPr>
                <w:rFonts w:asciiTheme="minorHAnsi" w:hAnsiTheme="minorHAnsi" w:cstheme="minorHAnsi"/>
                <w:b/>
              </w:rPr>
            </w:pPr>
          </w:p>
          <w:p w14:paraId="5669B178" w14:textId="77777777" w:rsidR="00094656" w:rsidRPr="00640161" w:rsidRDefault="00094656" w:rsidP="0067273F">
            <w:pPr>
              <w:pStyle w:val="TableParagraph"/>
              <w:spacing w:before="0"/>
              <w:ind w:right="216"/>
              <w:rPr>
                <w:rFonts w:asciiTheme="minorHAnsi" w:hAnsiTheme="minorHAnsi" w:cstheme="minorHAnsi"/>
                <w:spacing w:val="-2"/>
              </w:rPr>
            </w:pPr>
            <w:r w:rsidRPr="00287035">
              <w:t>https://www.hepatologyassociation.com.au/public/23/files/Resources/AHA_PUBLICATION%20LAYOUT_FINAL.pdf</w:t>
            </w:r>
          </w:p>
        </w:tc>
        <w:tc>
          <w:tcPr>
            <w:tcW w:w="1417" w:type="dxa"/>
          </w:tcPr>
          <w:p w14:paraId="2FCA2BCD" w14:textId="77777777" w:rsidR="00094656" w:rsidRDefault="00094656" w:rsidP="0067273F">
            <w:pPr>
              <w:pStyle w:val="TableParagraph"/>
              <w:rPr>
                <w:rFonts w:asciiTheme="minorHAnsi" w:hAnsiTheme="minorHAnsi" w:cstheme="minorHAnsi"/>
              </w:rPr>
            </w:pPr>
            <w:r>
              <w:rPr>
                <w:rFonts w:asciiTheme="minorHAnsi" w:hAnsiTheme="minorHAnsi" w:cstheme="minorHAnsi"/>
              </w:rPr>
              <w:t>APNA</w:t>
            </w:r>
          </w:p>
          <w:p w14:paraId="79FF1DD4" w14:textId="77777777" w:rsidR="00094656" w:rsidRDefault="00094656" w:rsidP="0067273F">
            <w:pPr>
              <w:pStyle w:val="TableParagraph"/>
              <w:rPr>
                <w:rFonts w:asciiTheme="minorHAnsi" w:hAnsiTheme="minorHAnsi" w:cstheme="minorHAnsi"/>
              </w:rPr>
            </w:pPr>
            <w:r>
              <w:rPr>
                <w:rFonts w:asciiTheme="minorHAnsi" w:hAnsiTheme="minorHAnsi" w:cstheme="minorHAnsi"/>
              </w:rPr>
              <w:t>ASHM</w:t>
            </w:r>
          </w:p>
          <w:p w14:paraId="4B283D5C" w14:textId="77777777" w:rsidR="00094656" w:rsidRDefault="00094656" w:rsidP="0067273F">
            <w:pPr>
              <w:pStyle w:val="TableParagraph"/>
              <w:rPr>
                <w:rFonts w:asciiTheme="minorHAnsi" w:hAnsiTheme="minorHAnsi" w:cstheme="minorHAnsi"/>
              </w:rPr>
            </w:pPr>
            <w:r>
              <w:rPr>
                <w:rFonts w:asciiTheme="minorHAnsi" w:hAnsiTheme="minorHAnsi" w:cstheme="minorHAnsi"/>
              </w:rPr>
              <w:t>GESA</w:t>
            </w:r>
          </w:p>
          <w:p w14:paraId="61C6C91D"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Hepatitis Australia</w:t>
            </w:r>
          </w:p>
        </w:tc>
        <w:tc>
          <w:tcPr>
            <w:tcW w:w="1560" w:type="dxa"/>
          </w:tcPr>
          <w:p w14:paraId="221E3D72"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Nursing</w:t>
            </w:r>
          </w:p>
        </w:tc>
        <w:tc>
          <w:tcPr>
            <w:tcW w:w="2126" w:type="dxa"/>
          </w:tcPr>
          <w:p w14:paraId="7D28051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 “gender” not found in text search.</w:t>
            </w:r>
            <w:r w:rsidRPr="00640161">
              <w:rPr>
                <w:rFonts w:asciiTheme="minorHAnsi" w:hAnsiTheme="minorHAnsi" w:cstheme="minorHAnsi"/>
                <w:spacing w:val="-3"/>
              </w:rPr>
              <w:t xml:space="preserve"> </w:t>
            </w:r>
            <w:r w:rsidRPr="00640161">
              <w:rPr>
                <w:rFonts w:asciiTheme="minorHAnsi" w:hAnsiTheme="minorHAnsi" w:cstheme="minorHAnsi"/>
                <w:spacing w:val="-2"/>
              </w:rPr>
              <w:t>“</w:t>
            </w:r>
            <w:r>
              <w:rPr>
                <w:rFonts w:asciiTheme="minorHAnsi" w:hAnsiTheme="minorHAnsi" w:cstheme="minorHAnsi"/>
                <w:spacing w:val="-2"/>
              </w:rPr>
              <w:t>F</w:t>
            </w:r>
            <w:r w:rsidRPr="00640161">
              <w:rPr>
                <w:rFonts w:asciiTheme="minorHAnsi" w:hAnsiTheme="minorHAnsi" w:cstheme="minorHAnsi"/>
                <w:spacing w:val="-2"/>
              </w:rPr>
              <w:t>emale”</w:t>
            </w:r>
            <w:r>
              <w:rPr>
                <w:rFonts w:asciiTheme="minorHAnsi" w:hAnsiTheme="minorHAnsi" w:cstheme="minorHAnsi"/>
                <w:spacing w:val="-2"/>
              </w:rPr>
              <w:t xml:space="preserve"> appears twice</w:t>
            </w:r>
            <w:r w:rsidRPr="00640161">
              <w:rPr>
                <w:rFonts w:asciiTheme="minorHAnsi" w:hAnsiTheme="minorHAnsi" w:cstheme="minorHAnsi"/>
                <w:spacing w:val="-2"/>
              </w:rPr>
              <w:t>.</w:t>
            </w:r>
          </w:p>
        </w:tc>
        <w:tc>
          <w:tcPr>
            <w:tcW w:w="1984" w:type="dxa"/>
          </w:tcPr>
          <w:p w14:paraId="03576866"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 risk factor</w:t>
            </w:r>
            <w:r>
              <w:rPr>
                <w:rFonts w:asciiTheme="minorHAnsi" w:hAnsiTheme="minorHAnsi" w:cstheme="minorHAnsi"/>
              </w:rPr>
              <w:t>s</w:t>
            </w:r>
            <w:r w:rsidRPr="00640161">
              <w:rPr>
                <w:rFonts w:asciiTheme="minorHAnsi" w:hAnsiTheme="minorHAnsi" w:cstheme="minorHAnsi"/>
              </w:rPr>
              <w:t>.</w:t>
            </w:r>
          </w:p>
        </w:tc>
        <w:tc>
          <w:tcPr>
            <w:tcW w:w="1843" w:type="dxa"/>
          </w:tcPr>
          <w:p w14:paraId="4B4CB0E6"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582B48F6"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“Consensus-based” method.</w:t>
            </w:r>
          </w:p>
        </w:tc>
      </w:tr>
      <w:tr w:rsidR="00094656" w:rsidRPr="00640161" w14:paraId="3C97263B" w14:textId="77777777" w:rsidTr="0067273F">
        <w:trPr>
          <w:cantSplit/>
        </w:trPr>
        <w:tc>
          <w:tcPr>
            <w:tcW w:w="1575" w:type="dxa"/>
          </w:tcPr>
          <w:p w14:paraId="44353D22" w14:textId="77777777" w:rsidR="00094656" w:rsidRPr="00640161" w:rsidRDefault="00094656" w:rsidP="0067273F">
            <w:pPr>
              <w:pStyle w:val="TableParagraph"/>
              <w:ind w:left="110" w:right="232"/>
              <w:rPr>
                <w:rFonts w:asciiTheme="minorHAnsi" w:hAnsiTheme="minorHAnsi" w:cstheme="minorHAnsi"/>
                <w:b/>
              </w:rPr>
            </w:pPr>
            <w:r w:rsidRPr="00640161">
              <w:rPr>
                <w:rFonts w:asciiTheme="minorHAnsi" w:hAnsiTheme="minorHAnsi" w:cstheme="minorHAnsi"/>
                <w:b/>
              </w:rPr>
              <w:t>Australian</w:t>
            </w:r>
            <w:r w:rsidRPr="00640161">
              <w:rPr>
                <w:rFonts w:asciiTheme="minorHAnsi" w:hAnsiTheme="minorHAnsi" w:cstheme="minorHAnsi"/>
                <w:b/>
                <w:spacing w:val="-13"/>
              </w:rPr>
              <w:t xml:space="preserve"> </w:t>
            </w:r>
            <w:r w:rsidRPr="00640161">
              <w:rPr>
                <w:rFonts w:asciiTheme="minorHAnsi" w:hAnsiTheme="minorHAnsi" w:cstheme="minorHAnsi"/>
                <w:b/>
              </w:rPr>
              <w:t>Institute of Sport</w:t>
            </w:r>
          </w:p>
        </w:tc>
        <w:tc>
          <w:tcPr>
            <w:tcW w:w="3119" w:type="dxa"/>
          </w:tcPr>
          <w:p w14:paraId="49770F0D"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Concussion</w:t>
            </w:r>
            <w:r w:rsidRPr="00640161">
              <w:rPr>
                <w:rFonts w:asciiTheme="minorHAnsi" w:hAnsiTheme="minorHAnsi" w:cstheme="minorHAnsi"/>
                <w:spacing w:val="-10"/>
              </w:rPr>
              <w:t xml:space="preserve"> </w:t>
            </w:r>
            <w:r w:rsidRPr="00640161">
              <w:rPr>
                <w:rFonts w:asciiTheme="minorHAnsi" w:hAnsiTheme="minorHAnsi" w:cstheme="minorHAnsi"/>
              </w:rPr>
              <w:t>and</w:t>
            </w:r>
            <w:r w:rsidRPr="00640161">
              <w:rPr>
                <w:rFonts w:asciiTheme="minorHAnsi" w:hAnsiTheme="minorHAnsi" w:cstheme="minorHAnsi"/>
                <w:spacing w:val="-10"/>
              </w:rPr>
              <w:t xml:space="preserve"> </w:t>
            </w:r>
            <w:r w:rsidRPr="00640161">
              <w:rPr>
                <w:rFonts w:asciiTheme="minorHAnsi" w:hAnsiTheme="minorHAnsi" w:cstheme="minorHAnsi"/>
              </w:rPr>
              <w:t>Brain</w:t>
            </w:r>
            <w:r w:rsidRPr="00640161">
              <w:rPr>
                <w:rFonts w:asciiTheme="minorHAnsi" w:hAnsiTheme="minorHAnsi" w:cstheme="minorHAnsi"/>
                <w:spacing w:val="-10"/>
              </w:rPr>
              <w:t xml:space="preserve"> </w:t>
            </w:r>
            <w:r w:rsidRPr="00640161">
              <w:rPr>
                <w:rFonts w:asciiTheme="minorHAnsi" w:hAnsiTheme="minorHAnsi" w:cstheme="minorHAnsi"/>
              </w:rPr>
              <w:t>Health,</w:t>
            </w:r>
            <w:r w:rsidRPr="00640161">
              <w:rPr>
                <w:rFonts w:asciiTheme="minorHAnsi" w:hAnsiTheme="minorHAnsi" w:cstheme="minorHAnsi"/>
                <w:spacing w:val="-10"/>
              </w:rPr>
              <w:t xml:space="preserve"> </w:t>
            </w:r>
            <w:r w:rsidRPr="00640161">
              <w:rPr>
                <w:rFonts w:asciiTheme="minorHAnsi" w:hAnsiTheme="minorHAnsi" w:cstheme="minorHAnsi"/>
              </w:rPr>
              <w:t>Position Statement, 2024</w:t>
            </w:r>
          </w:p>
          <w:p w14:paraId="77894D6C" w14:textId="77777777" w:rsidR="00094656" w:rsidRPr="00640161" w:rsidRDefault="00094656" w:rsidP="0067273F">
            <w:pPr>
              <w:pStyle w:val="TableParagraph"/>
              <w:spacing w:before="0"/>
              <w:ind w:left="0"/>
              <w:rPr>
                <w:rFonts w:asciiTheme="minorHAnsi" w:hAnsiTheme="minorHAnsi" w:cstheme="minorHAnsi"/>
                <w:b/>
              </w:rPr>
            </w:pPr>
          </w:p>
          <w:p w14:paraId="696C110F" w14:textId="77777777" w:rsidR="00094656" w:rsidRPr="00640161" w:rsidRDefault="00094656" w:rsidP="0067273F">
            <w:pPr>
              <w:pStyle w:val="TableParagraph"/>
              <w:spacing w:before="0"/>
              <w:ind w:right="199"/>
              <w:rPr>
                <w:rFonts w:asciiTheme="minorHAnsi" w:hAnsiTheme="minorHAnsi" w:cstheme="minorHAnsi"/>
                <w:spacing w:val="-2"/>
              </w:rPr>
            </w:pPr>
            <w:hyperlink r:id="rId24" w:history="1">
              <w:r w:rsidRPr="00640161">
                <w:rPr>
                  <w:rStyle w:val="Hyperlink"/>
                  <w:rFonts w:asciiTheme="minorHAnsi" w:hAnsiTheme="minorHAnsi" w:cstheme="minorHAnsi"/>
                  <w:spacing w:val="-2"/>
                </w:rPr>
                <w:t>https://www.concussioninsport.gov.au/__data/assets/pdf_file/0004/1133545/37382_Concussion-and-Brain-Health-Position-Statement-2024-FA.pdf</w:t>
              </w:r>
            </w:hyperlink>
            <w:r w:rsidRPr="00640161" w:rsidDel="006273E6">
              <w:rPr>
                <w:rFonts w:asciiTheme="minorHAnsi" w:hAnsiTheme="minorHAnsi" w:cstheme="minorHAnsi"/>
                <w:spacing w:val="-2"/>
              </w:rPr>
              <w:t xml:space="preserve"> </w:t>
            </w:r>
          </w:p>
        </w:tc>
        <w:tc>
          <w:tcPr>
            <w:tcW w:w="1417" w:type="dxa"/>
          </w:tcPr>
          <w:p w14:paraId="71D74AC8"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spacing w:val="-2"/>
              </w:rPr>
              <w:t>RACGP</w:t>
            </w:r>
          </w:p>
          <w:p w14:paraId="6B5CCECB" w14:textId="77777777" w:rsidR="00094656" w:rsidRPr="00640161" w:rsidRDefault="00094656" w:rsidP="0067273F">
            <w:pPr>
              <w:pStyle w:val="TableParagraph"/>
              <w:rPr>
                <w:rFonts w:asciiTheme="minorHAnsi" w:hAnsiTheme="minorHAnsi" w:cstheme="minorHAnsi"/>
              </w:rPr>
            </w:pPr>
          </w:p>
        </w:tc>
        <w:tc>
          <w:tcPr>
            <w:tcW w:w="1560" w:type="dxa"/>
          </w:tcPr>
          <w:p w14:paraId="6276306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Sports medicine</w:t>
            </w:r>
          </w:p>
        </w:tc>
        <w:tc>
          <w:tcPr>
            <w:tcW w:w="2126" w:type="dxa"/>
          </w:tcPr>
          <w:p w14:paraId="6B2C374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Both</w:t>
            </w:r>
            <w:r w:rsidRPr="00640161">
              <w:rPr>
                <w:rFonts w:asciiTheme="minorHAnsi" w:hAnsiTheme="minorHAnsi" w:cstheme="minorHAnsi"/>
                <w:spacing w:val="-6"/>
              </w:rPr>
              <w:t xml:space="preserve"> </w:t>
            </w:r>
            <w:r w:rsidRPr="00640161">
              <w:rPr>
                <w:rFonts w:asciiTheme="minorHAnsi" w:hAnsiTheme="minorHAnsi" w:cstheme="minorHAnsi"/>
              </w:rPr>
              <w:t>defined,</w:t>
            </w:r>
            <w:r w:rsidRPr="00640161">
              <w:rPr>
                <w:rFonts w:asciiTheme="minorHAnsi" w:hAnsiTheme="minorHAnsi" w:cstheme="minorHAnsi"/>
                <w:spacing w:val="-5"/>
              </w:rPr>
              <w:t xml:space="preserve"> </w:t>
            </w:r>
            <w:r w:rsidRPr="00640161">
              <w:rPr>
                <w:rFonts w:asciiTheme="minorHAnsi" w:hAnsiTheme="minorHAnsi" w:cstheme="minorHAnsi"/>
              </w:rPr>
              <w:t>used</w:t>
            </w:r>
            <w:r w:rsidRPr="00640161">
              <w:rPr>
                <w:rFonts w:asciiTheme="minorHAnsi" w:hAnsiTheme="minorHAnsi" w:cstheme="minorHAnsi"/>
                <w:spacing w:val="-5"/>
              </w:rPr>
              <w:t xml:space="preserve"> </w:t>
            </w:r>
            <w:r w:rsidRPr="00640161">
              <w:rPr>
                <w:rFonts w:asciiTheme="minorHAnsi" w:hAnsiTheme="minorHAnsi" w:cstheme="minorHAnsi"/>
                <w:spacing w:val="-2"/>
              </w:rPr>
              <w:t>correctly.</w:t>
            </w:r>
          </w:p>
        </w:tc>
        <w:tc>
          <w:tcPr>
            <w:tcW w:w="1984" w:type="dxa"/>
          </w:tcPr>
          <w:p w14:paraId="1A51D120"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data</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3"/>
              </w:rPr>
              <w:t xml:space="preserve"> </w:t>
            </w:r>
            <w:r w:rsidRPr="00640161">
              <w:rPr>
                <w:rFonts w:asciiTheme="minorHAnsi" w:hAnsiTheme="minorHAnsi" w:cstheme="minorHAnsi"/>
              </w:rPr>
              <w:t>information: prevalence, physical differences.</w:t>
            </w:r>
            <w:r w:rsidRPr="00640161">
              <w:rPr>
                <w:rFonts w:asciiTheme="minorHAnsi" w:hAnsiTheme="minorHAnsi" w:cstheme="minorHAnsi"/>
                <w:spacing w:val="-2"/>
              </w:rPr>
              <w:t xml:space="preserve"> </w:t>
            </w:r>
            <w:r w:rsidRPr="00640161">
              <w:rPr>
                <w:rFonts w:asciiTheme="minorHAnsi" w:hAnsiTheme="minorHAnsi" w:cstheme="minorHAnsi"/>
              </w:rPr>
              <w:t>Lack</w:t>
            </w:r>
            <w:r w:rsidRPr="00640161">
              <w:rPr>
                <w:rFonts w:asciiTheme="minorHAnsi" w:hAnsiTheme="minorHAnsi" w:cstheme="minorHAnsi"/>
                <w:spacing w:val="-2"/>
              </w:rPr>
              <w:t xml:space="preserve"> </w:t>
            </w:r>
            <w:r w:rsidRPr="00640161">
              <w:rPr>
                <w:rFonts w:asciiTheme="minorHAnsi" w:hAnsiTheme="minorHAnsi" w:cstheme="minorHAnsi"/>
              </w:rPr>
              <w:t>of</w:t>
            </w:r>
            <w:r w:rsidRPr="00640161">
              <w:rPr>
                <w:rFonts w:asciiTheme="minorHAnsi" w:hAnsiTheme="minorHAnsi" w:cstheme="minorHAnsi"/>
                <w:spacing w:val="-2"/>
              </w:rPr>
              <w:t xml:space="preserve"> </w:t>
            </w:r>
            <w:r w:rsidRPr="00640161">
              <w:rPr>
                <w:rFonts w:asciiTheme="minorHAnsi" w:hAnsiTheme="minorHAnsi" w:cstheme="minorHAnsi"/>
              </w:rPr>
              <w:t>sex-specific research noted.</w:t>
            </w:r>
          </w:p>
        </w:tc>
        <w:tc>
          <w:tcPr>
            <w:tcW w:w="1843" w:type="dxa"/>
          </w:tcPr>
          <w:p w14:paraId="4FD077CA"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Lack</w:t>
            </w:r>
            <w:r w:rsidRPr="00640161">
              <w:rPr>
                <w:rFonts w:asciiTheme="minorHAnsi" w:hAnsiTheme="minorHAnsi" w:cstheme="minorHAnsi"/>
                <w:spacing w:val="-13"/>
              </w:rPr>
              <w:t xml:space="preserve"> </w:t>
            </w:r>
            <w:r w:rsidRPr="00640161">
              <w:rPr>
                <w:rFonts w:asciiTheme="minorHAnsi" w:hAnsiTheme="minorHAnsi" w:cstheme="minorHAnsi"/>
              </w:rPr>
              <w:t>of</w:t>
            </w:r>
            <w:r w:rsidRPr="00640161">
              <w:rPr>
                <w:rFonts w:asciiTheme="minorHAnsi" w:hAnsiTheme="minorHAnsi" w:cstheme="minorHAnsi"/>
                <w:spacing w:val="-12"/>
              </w:rPr>
              <w:t xml:space="preserve"> </w:t>
            </w:r>
            <w:r w:rsidRPr="00640161">
              <w:rPr>
                <w:rFonts w:asciiTheme="minorHAnsi" w:hAnsiTheme="minorHAnsi" w:cstheme="minorHAnsi"/>
              </w:rPr>
              <w:t>gender-specific</w:t>
            </w:r>
            <w:r w:rsidRPr="00640161">
              <w:rPr>
                <w:rFonts w:asciiTheme="minorHAnsi" w:hAnsiTheme="minorHAnsi" w:cstheme="minorHAnsi"/>
                <w:spacing w:val="-12"/>
              </w:rPr>
              <w:t xml:space="preserve"> </w:t>
            </w:r>
            <w:r w:rsidRPr="00640161">
              <w:rPr>
                <w:rFonts w:asciiTheme="minorHAnsi" w:hAnsiTheme="minorHAnsi" w:cstheme="minorHAnsi"/>
              </w:rPr>
              <w:t xml:space="preserve">evidence </w:t>
            </w:r>
            <w:r w:rsidRPr="00640161">
              <w:rPr>
                <w:rFonts w:asciiTheme="minorHAnsi" w:hAnsiTheme="minorHAnsi" w:cstheme="minorHAnsi"/>
                <w:spacing w:val="-2"/>
              </w:rPr>
              <w:t>noted.</w:t>
            </w:r>
          </w:p>
        </w:tc>
        <w:tc>
          <w:tcPr>
            <w:tcW w:w="1276" w:type="dxa"/>
          </w:tcPr>
          <w:p w14:paraId="0B905EF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2584B64F" w14:textId="77777777" w:rsidTr="0067273F">
        <w:trPr>
          <w:cantSplit/>
        </w:trPr>
        <w:tc>
          <w:tcPr>
            <w:tcW w:w="1575" w:type="dxa"/>
          </w:tcPr>
          <w:p w14:paraId="0DA287BE" w14:textId="77777777" w:rsidR="00094656" w:rsidRPr="00640161" w:rsidRDefault="00094656" w:rsidP="0067273F">
            <w:pPr>
              <w:pStyle w:val="TableParagraph"/>
              <w:ind w:left="110" w:right="215"/>
              <w:rPr>
                <w:rFonts w:asciiTheme="minorHAnsi" w:hAnsiTheme="minorHAnsi" w:cstheme="minorHAnsi"/>
                <w:b/>
                <w:spacing w:val="-2"/>
              </w:rPr>
            </w:pPr>
            <w:r w:rsidRPr="00640161">
              <w:rPr>
                <w:rFonts w:asciiTheme="minorHAnsi" w:hAnsiTheme="minorHAnsi" w:cstheme="minorHAnsi"/>
                <w:b/>
                <w:spacing w:val="-2"/>
              </w:rPr>
              <w:lastRenderedPageBreak/>
              <w:t xml:space="preserve">Australian Professional </w:t>
            </w:r>
            <w:r w:rsidRPr="00640161">
              <w:rPr>
                <w:rFonts w:asciiTheme="minorHAnsi" w:hAnsiTheme="minorHAnsi" w:cstheme="minorHAnsi"/>
                <w:b/>
              </w:rPr>
              <w:t>Association</w:t>
            </w:r>
            <w:r w:rsidRPr="00640161">
              <w:rPr>
                <w:rFonts w:asciiTheme="minorHAnsi" w:hAnsiTheme="minorHAnsi" w:cstheme="minorHAnsi"/>
                <w:b/>
                <w:spacing w:val="-13"/>
              </w:rPr>
              <w:t xml:space="preserve"> </w:t>
            </w:r>
            <w:r w:rsidRPr="00640161">
              <w:rPr>
                <w:rFonts w:asciiTheme="minorHAnsi" w:hAnsiTheme="minorHAnsi" w:cstheme="minorHAnsi"/>
                <w:b/>
              </w:rPr>
              <w:t xml:space="preserve">for Trans Health </w:t>
            </w:r>
            <w:r w:rsidRPr="00640161">
              <w:rPr>
                <w:rFonts w:asciiTheme="minorHAnsi" w:hAnsiTheme="minorHAnsi" w:cstheme="minorHAnsi"/>
                <w:b/>
                <w:spacing w:val="-2"/>
              </w:rPr>
              <w:t>(</w:t>
            </w:r>
            <w:proofErr w:type="spellStart"/>
            <w:r w:rsidRPr="00640161">
              <w:rPr>
                <w:rFonts w:asciiTheme="minorHAnsi" w:hAnsiTheme="minorHAnsi" w:cstheme="minorHAnsi"/>
                <w:b/>
                <w:spacing w:val="-2"/>
              </w:rPr>
              <w:t>AusPATH</w:t>
            </w:r>
            <w:proofErr w:type="spellEnd"/>
            <w:r w:rsidRPr="00640161">
              <w:rPr>
                <w:rFonts w:asciiTheme="minorHAnsi" w:hAnsiTheme="minorHAnsi" w:cstheme="minorHAnsi"/>
                <w:b/>
                <w:spacing w:val="-2"/>
              </w:rPr>
              <w:t>)</w:t>
            </w:r>
          </w:p>
        </w:tc>
        <w:tc>
          <w:tcPr>
            <w:tcW w:w="3119" w:type="dxa"/>
          </w:tcPr>
          <w:p w14:paraId="2F3E437D"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Position statement on the hormonal management</w:t>
            </w:r>
            <w:r w:rsidRPr="00640161">
              <w:rPr>
                <w:rFonts w:asciiTheme="minorHAnsi" w:hAnsiTheme="minorHAnsi" w:cstheme="minorHAnsi"/>
                <w:spacing w:val="-9"/>
              </w:rPr>
              <w:t xml:space="preserve"> </w:t>
            </w:r>
            <w:r w:rsidRPr="00640161">
              <w:rPr>
                <w:rFonts w:asciiTheme="minorHAnsi" w:hAnsiTheme="minorHAnsi" w:cstheme="minorHAnsi"/>
              </w:rPr>
              <w:t>of</w:t>
            </w:r>
            <w:r w:rsidRPr="00640161">
              <w:rPr>
                <w:rFonts w:asciiTheme="minorHAnsi" w:hAnsiTheme="minorHAnsi" w:cstheme="minorHAnsi"/>
                <w:spacing w:val="-9"/>
              </w:rPr>
              <w:t xml:space="preserve"> </w:t>
            </w:r>
            <w:r w:rsidRPr="00640161">
              <w:rPr>
                <w:rFonts w:asciiTheme="minorHAnsi" w:hAnsiTheme="minorHAnsi" w:cstheme="minorHAnsi"/>
              </w:rPr>
              <w:t>adult</w:t>
            </w:r>
            <w:r w:rsidRPr="00640161">
              <w:rPr>
                <w:rFonts w:asciiTheme="minorHAnsi" w:hAnsiTheme="minorHAnsi" w:cstheme="minorHAnsi"/>
                <w:spacing w:val="-9"/>
              </w:rPr>
              <w:t xml:space="preserve"> </w:t>
            </w:r>
            <w:r w:rsidRPr="00640161">
              <w:rPr>
                <w:rFonts w:asciiTheme="minorHAnsi" w:hAnsiTheme="minorHAnsi" w:cstheme="minorHAnsi"/>
              </w:rPr>
              <w:t>transgender</w:t>
            </w:r>
            <w:r w:rsidRPr="00640161">
              <w:rPr>
                <w:rFonts w:asciiTheme="minorHAnsi" w:hAnsiTheme="minorHAnsi" w:cstheme="minorHAnsi"/>
                <w:spacing w:val="-9"/>
              </w:rPr>
              <w:t xml:space="preserve"> </w:t>
            </w:r>
            <w:r w:rsidRPr="00640161">
              <w:rPr>
                <w:rFonts w:asciiTheme="minorHAnsi" w:hAnsiTheme="minorHAnsi" w:cstheme="minorHAnsi"/>
              </w:rPr>
              <w:t>and gender</w:t>
            </w:r>
            <w:r w:rsidRPr="00640161">
              <w:rPr>
                <w:rFonts w:asciiTheme="minorHAnsi" w:hAnsiTheme="minorHAnsi" w:cstheme="minorHAnsi"/>
                <w:spacing w:val="-9"/>
              </w:rPr>
              <w:t xml:space="preserve"> </w:t>
            </w:r>
            <w:r w:rsidRPr="00640161">
              <w:rPr>
                <w:rFonts w:asciiTheme="minorHAnsi" w:hAnsiTheme="minorHAnsi" w:cstheme="minorHAnsi"/>
              </w:rPr>
              <w:t>diverse</w:t>
            </w:r>
            <w:r w:rsidRPr="00640161">
              <w:rPr>
                <w:rFonts w:asciiTheme="minorHAnsi" w:hAnsiTheme="minorHAnsi" w:cstheme="minorHAnsi"/>
                <w:spacing w:val="-7"/>
              </w:rPr>
              <w:t xml:space="preserve"> </w:t>
            </w:r>
            <w:r w:rsidRPr="00640161">
              <w:rPr>
                <w:rFonts w:asciiTheme="minorHAnsi" w:hAnsiTheme="minorHAnsi" w:cstheme="minorHAnsi"/>
              </w:rPr>
              <w:t>(TGD)</w:t>
            </w:r>
            <w:r w:rsidRPr="00640161">
              <w:rPr>
                <w:rFonts w:asciiTheme="minorHAnsi" w:hAnsiTheme="minorHAnsi" w:cstheme="minorHAnsi"/>
                <w:spacing w:val="-7"/>
              </w:rPr>
              <w:t xml:space="preserve"> </w:t>
            </w:r>
            <w:r w:rsidRPr="00640161">
              <w:rPr>
                <w:rFonts w:asciiTheme="minorHAnsi" w:hAnsiTheme="minorHAnsi" w:cstheme="minorHAnsi"/>
              </w:rPr>
              <w:t>individuals,</w:t>
            </w:r>
            <w:r w:rsidRPr="00640161">
              <w:rPr>
                <w:rFonts w:asciiTheme="minorHAnsi" w:hAnsiTheme="minorHAnsi" w:cstheme="minorHAnsi"/>
                <w:spacing w:val="-7"/>
              </w:rPr>
              <w:t xml:space="preserve"> </w:t>
            </w:r>
            <w:r w:rsidRPr="00640161">
              <w:rPr>
                <w:rFonts w:asciiTheme="minorHAnsi" w:hAnsiTheme="minorHAnsi" w:cstheme="minorHAnsi"/>
                <w:spacing w:val="-4"/>
              </w:rPr>
              <w:t>2019</w:t>
            </w:r>
          </w:p>
          <w:p w14:paraId="02AFE67C" w14:textId="77777777" w:rsidR="00094656" w:rsidRPr="00640161" w:rsidRDefault="00094656" w:rsidP="0067273F">
            <w:pPr>
              <w:pStyle w:val="TableParagraph"/>
              <w:ind w:left="0"/>
              <w:rPr>
                <w:rFonts w:asciiTheme="minorHAnsi" w:hAnsiTheme="minorHAnsi" w:cstheme="minorHAnsi"/>
                <w:b/>
              </w:rPr>
            </w:pPr>
          </w:p>
          <w:p w14:paraId="3129CEE2" w14:textId="77777777" w:rsidR="00094656" w:rsidRPr="00640161" w:rsidRDefault="00094656" w:rsidP="0067273F">
            <w:pPr>
              <w:pStyle w:val="TableParagraph"/>
              <w:spacing w:before="0"/>
              <w:ind w:right="199"/>
              <w:rPr>
                <w:rFonts w:asciiTheme="minorHAnsi" w:hAnsiTheme="minorHAnsi" w:cstheme="minorHAnsi"/>
              </w:rPr>
            </w:pPr>
            <w:r w:rsidRPr="00640161">
              <w:rPr>
                <w:rFonts w:asciiTheme="minorHAnsi" w:hAnsiTheme="minorHAnsi" w:cstheme="minorHAnsi"/>
              </w:rPr>
              <w:t>Cheung, et al. (2019). Position statement on the hormonal management</w:t>
            </w:r>
            <w:r w:rsidRPr="00640161">
              <w:rPr>
                <w:rFonts w:asciiTheme="minorHAnsi" w:hAnsiTheme="minorHAnsi" w:cstheme="minorHAnsi"/>
                <w:spacing w:val="-7"/>
              </w:rPr>
              <w:t xml:space="preserve"> </w:t>
            </w:r>
            <w:r w:rsidRPr="00640161">
              <w:rPr>
                <w:rFonts w:asciiTheme="minorHAnsi" w:hAnsiTheme="minorHAnsi" w:cstheme="minorHAnsi"/>
              </w:rPr>
              <w:t>of</w:t>
            </w:r>
            <w:r w:rsidRPr="00640161">
              <w:rPr>
                <w:rFonts w:asciiTheme="minorHAnsi" w:hAnsiTheme="minorHAnsi" w:cstheme="minorHAnsi"/>
                <w:spacing w:val="-7"/>
              </w:rPr>
              <w:t xml:space="preserve"> </w:t>
            </w:r>
            <w:r w:rsidRPr="00640161">
              <w:rPr>
                <w:rFonts w:asciiTheme="minorHAnsi" w:hAnsiTheme="minorHAnsi" w:cstheme="minorHAnsi"/>
              </w:rPr>
              <w:t>adult</w:t>
            </w:r>
            <w:r w:rsidRPr="00640161">
              <w:rPr>
                <w:rFonts w:asciiTheme="minorHAnsi" w:hAnsiTheme="minorHAnsi" w:cstheme="minorHAnsi"/>
                <w:spacing w:val="-7"/>
              </w:rPr>
              <w:t xml:space="preserve"> </w:t>
            </w:r>
            <w:r w:rsidRPr="00640161">
              <w:rPr>
                <w:rFonts w:asciiTheme="minorHAnsi" w:hAnsiTheme="minorHAnsi" w:cstheme="minorHAnsi"/>
              </w:rPr>
              <w:t>transgender</w:t>
            </w:r>
            <w:r w:rsidRPr="00640161">
              <w:rPr>
                <w:rFonts w:asciiTheme="minorHAnsi" w:hAnsiTheme="minorHAnsi" w:cstheme="minorHAnsi"/>
                <w:spacing w:val="-7"/>
              </w:rPr>
              <w:t xml:space="preserve"> </w:t>
            </w:r>
            <w:r w:rsidRPr="00640161">
              <w:rPr>
                <w:rFonts w:asciiTheme="minorHAnsi" w:hAnsiTheme="minorHAnsi" w:cstheme="minorHAnsi"/>
              </w:rPr>
              <w:t>and gender</w:t>
            </w:r>
            <w:r w:rsidRPr="00640161">
              <w:rPr>
                <w:rFonts w:asciiTheme="minorHAnsi" w:hAnsiTheme="minorHAnsi" w:cstheme="minorHAnsi"/>
                <w:spacing w:val="-8"/>
              </w:rPr>
              <w:t xml:space="preserve"> </w:t>
            </w:r>
            <w:r w:rsidRPr="00640161">
              <w:rPr>
                <w:rFonts w:asciiTheme="minorHAnsi" w:hAnsiTheme="minorHAnsi" w:cstheme="minorHAnsi"/>
              </w:rPr>
              <w:t>diverse</w:t>
            </w:r>
            <w:r w:rsidRPr="00640161">
              <w:rPr>
                <w:rFonts w:asciiTheme="minorHAnsi" w:hAnsiTheme="minorHAnsi" w:cstheme="minorHAnsi"/>
                <w:spacing w:val="-8"/>
              </w:rPr>
              <w:t xml:space="preserve"> </w:t>
            </w:r>
            <w:r w:rsidRPr="00640161">
              <w:rPr>
                <w:rFonts w:asciiTheme="minorHAnsi" w:hAnsiTheme="minorHAnsi" w:cstheme="minorHAnsi"/>
              </w:rPr>
              <w:t>individuals.</w:t>
            </w:r>
            <w:r w:rsidRPr="00640161">
              <w:rPr>
                <w:rFonts w:asciiTheme="minorHAnsi" w:hAnsiTheme="minorHAnsi" w:cstheme="minorHAnsi"/>
                <w:spacing w:val="-9"/>
              </w:rPr>
              <w:t xml:space="preserve"> </w:t>
            </w:r>
            <w:r w:rsidRPr="00640161">
              <w:rPr>
                <w:rFonts w:asciiTheme="minorHAnsi" w:hAnsiTheme="minorHAnsi" w:cstheme="minorHAnsi"/>
                <w:i/>
              </w:rPr>
              <w:t>Med</w:t>
            </w:r>
            <w:r w:rsidRPr="00640161">
              <w:rPr>
                <w:rFonts w:asciiTheme="minorHAnsi" w:hAnsiTheme="minorHAnsi" w:cstheme="minorHAnsi"/>
                <w:i/>
                <w:spacing w:val="-8"/>
              </w:rPr>
              <w:t xml:space="preserve"> </w:t>
            </w:r>
            <w:r w:rsidRPr="00640161">
              <w:rPr>
                <w:rFonts w:asciiTheme="minorHAnsi" w:hAnsiTheme="minorHAnsi" w:cstheme="minorHAnsi"/>
                <w:i/>
              </w:rPr>
              <w:t>J</w:t>
            </w:r>
            <w:r w:rsidRPr="00640161">
              <w:rPr>
                <w:rFonts w:asciiTheme="minorHAnsi" w:hAnsiTheme="minorHAnsi" w:cstheme="minorHAnsi"/>
                <w:i/>
                <w:spacing w:val="-8"/>
              </w:rPr>
              <w:t xml:space="preserve"> </w:t>
            </w:r>
            <w:r w:rsidRPr="00640161">
              <w:rPr>
                <w:rFonts w:asciiTheme="minorHAnsi" w:hAnsiTheme="minorHAnsi" w:cstheme="minorHAnsi"/>
                <w:i/>
              </w:rPr>
              <w:t>Aust</w:t>
            </w:r>
            <w:r w:rsidRPr="00640161">
              <w:rPr>
                <w:rFonts w:asciiTheme="minorHAnsi" w:hAnsiTheme="minorHAnsi" w:cstheme="minorHAnsi"/>
              </w:rPr>
              <w:t xml:space="preserve">, </w:t>
            </w:r>
            <w:r w:rsidRPr="00640161">
              <w:rPr>
                <w:rFonts w:asciiTheme="minorHAnsi" w:hAnsiTheme="minorHAnsi" w:cstheme="minorHAnsi"/>
                <w:i/>
              </w:rPr>
              <w:t>211</w:t>
            </w:r>
            <w:r w:rsidRPr="00640161">
              <w:rPr>
                <w:rFonts w:asciiTheme="minorHAnsi" w:hAnsiTheme="minorHAnsi" w:cstheme="minorHAnsi"/>
              </w:rPr>
              <w:t>(3), 127-133.</w:t>
            </w:r>
          </w:p>
          <w:p w14:paraId="2BF2718C" w14:textId="77777777" w:rsidR="00094656" w:rsidRPr="00640161" w:rsidRDefault="00094656" w:rsidP="0067273F">
            <w:pPr>
              <w:pStyle w:val="TableParagraph"/>
              <w:ind w:right="97"/>
              <w:rPr>
                <w:rFonts w:asciiTheme="minorHAnsi" w:hAnsiTheme="minorHAnsi" w:cstheme="minorHAnsi"/>
              </w:rPr>
            </w:pPr>
            <w:r w:rsidRPr="001817AA">
              <w:rPr>
                <w:rFonts w:asciiTheme="minorHAnsi" w:hAnsiTheme="minorHAnsi" w:cstheme="minorHAnsi"/>
                <w:spacing w:val="-2"/>
              </w:rPr>
              <w:t>DOI:</w:t>
            </w:r>
            <w:r w:rsidRPr="001817AA">
              <w:rPr>
                <w:rFonts w:asciiTheme="minorHAnsi" w:hAnsiTheme="minorHAnsi" w:cstheme="minorHAnsi"/>
                <w:spacing w:val="-2"/>
                <w:u w:val="single" w:color="0563C1"/>
              </w:rPr>
              <w:t>10.5694/mja2.50259</w:t>
            </w:r>
          </w:p>
        </w:tc>
        <w:tc>
          <w:tcPr>
            <w:tcW w:w="1417" w:type="dxa"/>
          </w:tcPr>
          <w:p w14:paraId="0EFAD03E" w14:textId="77777777" w:rsidR="00094656" w:rsidRPr="00D754DC" w:rsidRDefault="00094656" w:rsidP="0067273F">
            <w:pPr>
              <w:pStyle w:val="NormalWeb"/>
              <w:spacing w:before="1" w:beforeAutospacing="0" w:after="0" w:afterAutospacing="0"/>
              <w:ind w:left="108" w:right="96"/>
              <w:rPr>
                <w:rFonts w:asciiTheme="minorHAnsi" w:hAnsiTheme="minorHAnsi" w:cstheme="minorHAnsi"/>
                <w:sz w:val="22"/>
                <w:szCs w:val="22"/>
              </w:rPr>
            </w:pPr>
            <w:r w:rsidRPr="00D754DC">
              <w:rPr>
                <w:rFonts w:asciiTheme="minorHAnsi" w:hAnsiTheme="minorHAnsi" w:cstheme="minorHAnsi"/>
                <w:sz w:val="22"/>
                <w:szCs w:val="22"/>
              </w:rPr>
              <w:t xml:space="preserve">Endorsed by </w:t>
            </w:r>
            <w:proofErr w:type="spellStart"/>
            <w:r w:rsidRPr="00D754DC">
              <w:rPr>
                <w:rFonts w:asciiTheme="minorHAnsi" w:hAnsiTheme="minorHAnsi" w:cstheme="minorHAnsi"/>
                <w:sz w:val="22"/>
                <w:szCs w:val="22"/>
              </w:rPr>
              <w:t>AusPATH</w:t>
            </w:r>
            <w:proofErr w:type="spellEnd"/>
            <w:r>
              <w:rPr>
                <w:rFonts w:asciiTheme="minorHAnsi" w:hAnsiTheme="minorHAnsi" w:cstheme="minorHAnsi"/>
                <w:sz w:val="22"/>
                <w:szCs w:val="22"/>
              </w:rPr>
              <w:t>,</w:t>
            </w:r>
          </w:p>
          <w:p w14:paraId="47139FD5" w14:textId="77777777" w:rsidR="00094656" w:rsidRPr="00D754DC" w:rsidRDefault="00094656" w:rsidP="0067273F">
            <w:pPr>
              <w:pStyle w:val="NormalWeb"/>
              <w:spacing w:before="1" w:beforeAutospacing="0" w:after="0" w:afterAutospacing="0"/>
              <w:ind w:left="108" w:right="96"/>
              <w:rPr>
                <w:rFonts w:asciiTheme="minorHAnsi" w:hAnsiTheme="minorHAnsi" w:cstheme="minorHAnsi"/>
                <w:sz w:val="22"/>
                <w:szCs w:val="22"/>
              </w:rPr>
            </w:pPr>
            <w:r w:rsidRPr="00D754DC">
              <w:rPr>
                <w:rFonts w:asciiTheme="minorHAnsi" w:hAnsiTheme="minorHAnsi" w:cstheme="minorHAnsi"/>
                <w:sz w:val="22"/>
                <w:szCs w:val="22"/>
              </w:rPr>
              <w:t>Endocrine Society of Australia (ESA)</w:t>
            </w:r>
            <w:r>
              <w:rPr>
                <w:rFonts w:asciiTheme="minorHAnsi" w:hAnsiTheme="minorHAnsi" w:cstheme="minorHAnsi"/>
                <w:sz w:val="22"/>
                <w:szCs w:val="22"/>
              </w:rPr>
              <w:t>,</w:t>
            </w:r>
          </w:p>
          <w:p w14:paraId="56E788E4" w14:textId="77777777" w:rsidR="00094656" w:rsidRPr="00D754DC" w:rsidRDefault="00094656" w:rsidP="0067273F">
            <w:pPr>
              <w:pStyle w:val="NormalWeb"/>
              <w:spacing w:before="1" w:beforeAutospacing="0" w:after="0" w:afterAutospacing="0"/>
              <w:ind w:left="108" w:right="96"/>
              <w:rPr>
                <w:rFonts w:asciiTheme="minorHAnsi" w:hAnsiTheme="minorHAnsi" w:cstheme="minorHAnsi"/>
                <w:sz w:val="22"/>
                <w:szCs w:val="22"/>
              </w:rPr>
            </w:pPr>
            <w:r w:rsidRPr="00D754DC">
              <w:rPr>
                <w:rFonts w:asciiTheme="minorHAnsi" w:hAnsiTheme="minorHAnsi" w:cstheme="minorHAnsi"/>
                <w:sz w:val="22"/>
                <w:szCs w:val="22"/>
              </w:rPr>
              <w:t xml:space="preserve">Royal Australasian College of Physicians (RACP) </w:t>
            </w:r>
          </w:p>
          <w:p w14:paraId="0B7B7CDB" w14:textId="77777777" w:rsidR="00094656" w:rsidRPr="00D754DC" w:rsidRDefault="00094656" w:rsidP="0067273F">
            <w:pPr>
              <w:pStyle w:val="TableParagraph"/>
              <w:ind w:left="108" w:right="96"/>
              <w:rPr>
                <w:rFonts w:asciiTheme="minorHAnsi" w:hAnsiTheme="minorHAnsi" w:cstheme="minorHAnsi"/>
              </w:rPr>
            </w:pPr>
          </w:p>
        </w:tc>
        <w:tc>
          <w:tcPr>
            <w:tcW w:w="1560" w:type="dxa"/>
          </w:tcPr>
          <w:p w14:paraId="1B7191DC"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Endocrinology</w:t>
            </w:r>
          </w:p>
        </w:tc>
        <w:tc>
          <w:tcPr>
            <w:tcW w:w="2126" w:type="dxa"/>
          </w:tcPr>
          <w:p w14:paraId="6EF57684"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Definitions of gender identity, gender</w:t>
            </w:r>
            <w:r w:rsidRPr="00640161">
              <w:rPr>
                <w:rFonts w:asciiTheme="minorHAnsi" w:hAnsiTheme="minorHAnsi" w:cstheme="minorHAnsi"/>
                <w:spacing w:val="-12"/>
              </w:rPr>
              <w:t xml:space="preserve"> </w:t>
            </w:r>
            <w:r w:rsidRPr="00640161">
              <w:rPr>
                <w:rFonts w:asciiTheme="minorHAnsi" w:hAnsiTheme="minorHAnsi" w:cstheme="minorHAnsi"/>
              </w:rPr>
              <w:t>expression,</w:t>
            </w:r>
            <w:r w:rsidRPr="00640161">
              <w:rPr>
                <w:rFonts w:asciiTheme="minorHAnsi" w:hAnsiTheme="minorHAnsi" w:cstheme="minorHAnsi"/>
                <w:spacing w:val="-12"/>
              </w:rPr>
              <w:t xml:space="preserve"> </w:t>
            </w:r>
            <w:r w:rsidRPr="00640161">
              <w:rPr>
                <w:rFonts w:asciiTheme="minorHAnsi" w:hAnsiTheme="minorHAnsi" w:cstheme="minorHAnsi"/>
              </w:rPr>
              <w:t>sex</w:t>
            </w:r>
            <w:r w:rsidRPr="00640161">
              <w:rPr>
                <w:rFonts w:asciiTheme="minorHAnsi" w:hAnsiTheme="minorHAnsi" w:cstheme="minorHAnsi"/>
                <w:spacing w:val="-12"/>
              </w:rPr>
              <w:t xml:space="preserve"> </w:t>
            </w:r>
            <w:r w:rsidRPr="00640161">
              <w:rPr>
                <w:rFonts w:asciiTheme="minorHAnsi" w:hAnsiTheme="minorHAnsi" w:cstheme="minorHAnsi"/>
              </w:rPr>
              <w:t>assigned at birth.</w:t>
            </w:r>
          </w:p>
        </w:tc>
        <w:tc>
          <w:tcPr>
            <w:tcW w:w="1984" w:type="dxa"/>
          </w:tcPr>
          <w:p w14:paraId="59D09EBC"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Transgender-related</w:t>
            </w:r>
            <w:r w:rsidRPr="00640161">
              <w:rPr>
                <w:rFonts w:asciiTheme="minorHAnsi" w:hAnsiTheme="minorHAnsi" w:cstheme="minorHAnsi"/>
                <w:spacing w:val="-13"/>
              </w:rPr>
              <w:t xml:space="preserve"> </w:t>
            </w:r>
            <w:r w:rsidRPr="00640161">
              <w:rPr>
                <w:rFonts w:asciiTheme="minorHAnsi" w:hAnsiTheme="minorHAnsi" w:cstheme="minorHAnsi"/>
              </w:rPr>
              <w:t>hormone therapy recommendations.</w:t>
            </w:r>
          </w:p>
        </w:tc>
        <w:tc>
          <w:tcPr>
            <w:tcW w:w="1843" w:type="dxa"/>
          </w:tcPr>
          <w:p w14:paraId="33668B02" w14:textId="0807D182" w:rsidR="00094656" w:rsidRPr="00640161" w:rsidRDefault="00094656" w:rsidP="0067273F">
            <w:pPr>
              <w:pStyle w:val="TableParagraph"/>
              <w:ind w:left="104" w:right="180"/>
              <w:rPr>
                <w:rFonts w:asciiTheme="minorHAnsi" w:hAnsiTheme="minorHAnsi" w:cstheme="minorHAnsi"/>
              </w:rPr>
            </w:pPr>
            <w:r w:rsidRPr="00640161">
              <w:rPr>
                <w:rFonts w:asciiTheme="minorHAnsi" w:hAnsiTheme="minorHAnsi" w:cstheme="minorHAnsi"/>
              </w:rPr>
              <w:t>Establish</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affirm</w:t>
            </w:r>
            <w:r w:rsidRPr="00640161">
              <w:rPr>
                <w:rFonts w:asciiTheme="minorHAnsi" w:hAnsiTheme="minorHAnsi" w:cstheme="minorHAnsi"/>
                <w:spacing w:val="-12"/>
              </w:rPr>
              <w:t xml:space="preserve"> </w:t>
            </w:r>
            <w:r w:rsidRPr="00640161">
              <w:rPr>
                <w:rFonts w:asciiTheme="minorHAnsi" w:hAnsiTheme="minorHAnsi" w:cstheme="minorHAnsi"/>
              </w:rPr>
              <w:t>person’s gender identity. Use</w:t>
            </w:r>
            <w:r w:rsidRPr="00640161">
              <w:rPr>
                <w:rFonts w:asciiTheme="minorHAnsi" w:hAnsiTheme="minorHAnsi" w:cstheme="minorHAnsi"/>
                <w:spacing w:val="-10"/>
              </w:rPr>
              <w:t xml:space="preserve"> </w:t>
            </w:r>
            <w:r w:rsidRPr="00640161">
              <w:rPr>
                <w:rFonts w:asciiTheme="minorHAnsi" w:hAnsiTheme="minorHAnsi" w:cstheme="minorHAnsi"/>
              </w:rPr>
              <w:t>preferred</w:t>
            </w:r>
            <w:r w:rsidRPr="00640161">
              <w:rPr>
                <w:rFonts w:asciiTheme="minorHAnsi" w:hAnsiTheme="minorHAnsi" w:cstheme="minorHAnsi"/>
                <w:spacing w:val="-10"/>
              </w:rPr>
              <w:t xml:space="preserve"> </w:t>
            </w:r>
            <w:r w:rsidRPr="00640161">
              <w:rPr>
                <w:rFonts w:asciiTheme="minorHAnsi" w:hAnsiTheme="minorHAnsi" w:cstheme="minorHAnsi"/>
              </w:rPr>
              <w:t>name</w:t>
            </w:r>
            <w:r w:rsidRPr="00640161">
              <w:rPr>
                <w:rFonts w:asciiTheme="minorHAnsi" w:hAnsiTheme="minorHAnsi" w:cstheme="minorHAnsi"/>
                <w:spacing w:val="-10"/>
              </w:rPr>
              <w:t xml:space="preserve"> </w:t>
            </w:r>
            <w:r w:rsidRPr="00640161">
              <w:rPr>
                <w:rFonts w:asciiTheme="minorHAnsi" w:hAnsiTheme="minorHAnsi" w:cstheme="minorHAnsi"/>
              </w:rPr>
              <w:t>&amp;</w:t>
            </w:r>
            <w:r w:rsidRPr="00640161">
              <w:rPr>
                <w:rFonts w:asciiTheme="minorHAnsi" w:hAnsiTheme="minorHAnsi" w:cstheme="minorHAnsi"/>
                <w:spacing w:val="-10"/>
              </w:rPr>
              <w:t xml:space="preserve"> </w:t>
            </w:r>
            <w:r w:rsidRPr="00640161">
              <w:rPr>
                <w:rFonts w:asciiTheme="minorHAnsi" w:hAnsiTheme="minorHAnsi" w:cstheme="minorHAnsi"/>
              </w:rPr>
              <w:t>pronoun. Use legal identity markers for Medicare. Hormonal</w:t>
            </w:r>
            <w:r w:rsidRPr="00640161">
              <w:rPr>
                <w:rFonts w:asciiTheme="minorHAnsi" w:hAnsiTheme="minorHAnsi" w:cstheme="minorHAnsi"/>
                <w:spacing w:val="-6"/>
              </w:rPr>
              <w:t xml:space="preserve"> </w:t>
            </w:r>
            <w:r w:rsidRPr="00640161">
              <w:rPr>
                <w:rFonts w:asciiTheme="minorHAnsi" w:hAnsiTheme="minorHAnsi" w:cstheme="minorHAnsi"/>
              </w:rPr>
              <w:t>therapy:</w:t>
            </w:r>
            <w:r w:rsidRPr="00640161">
              <w:rPr>
                <w:rFonts w:asciiTheme="minorHAnsi" w:hAnsiTheme="minorHAnsi" w:cstheme="minorHAnsi"/>
                <w:spacing w:val="-6"/>
              </w:rPr>
              <w:t xml:space="preserve"> </w:t>
            </w:r>
            <w:r w:rsidRPr="00640161">
              <w:rPr>
                <w:rFonts w:asciiTheme="minorHAnsi" w:hAnsiTheme="minorHAnsi" w:cstheme="minorHAnsi"/>
              </w:rPr>
              <w:t>effective</w:t>
            </w:r>
            <w:r w:rsidRPr="00640161">
              <w:rPr>
                <w:rFonts w:asciiTheme="minorHAnsi" w:hAnsiTheme="minorHAnsi" w:cstheme="minorHAnsi"/>
                <w:spacing w:val="-6"/>
              </w:rPr>
              <w:t xml:space="preserve"> </w:t>
            </w:r>
            <w:r w:rsidRPr="00640161">
              <w:rPr>
                <w:rFonts w:asciiTheme="minorHAnsi" w:hAnsiTheme="minorHAnsi" w:cstheme="minorHAnsi"/>
              </w:rPr>
              <w:t>in aligning physical characteristics with</w:t>
            </w:r>
            <w:r w:rsidRPr="00640161">
              <w:rPr>
                <w:rFonts w:asciiTheme="minorHAnsi" w:hAnsiTheme="minorHAnsi" w:cstheme="minorHAnsi"/>
                <w:spacing w:val="-10"/>
              </w:rPr>
              <w:t xml:space="preserve"> </w:t>
            </w:r>
            <w:r w:rsidRPr="00640161">
              <w:rPr>
                <w:rFonts w:asciiTheme="minorHAnsi" w:hAnsiTheme="minorHAnsi" w:cstheme="minorHAnsi"/>
              </w:rPr>
              <w:t>gender</w:t>
            </w:r>
            <w:r w:rsidRPr="00640161">
              <w:rPr>
                <w:rFonts w:asciiTheme="minorHAnsi" w:hAnsiTheme="minorHAnsi" w:cstheme="minorHAnsi"/>
                <w:spacing w:val="-10"/>
              </w:rPr>
              <w:t xml:space="preserve"> </w:t>
            </w:r>
            <w:r w:rsidRPr="00640161">
              <w:rPr>
                <w:rFonts w:asciiTheme="minorHAnsi" w:hAnsiTheme="minorHAnsi" w:cstheme="minorHAnsi"/>
              </w:rPr>
              <w:t>identity;</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addition to respectful care, can improve mental health.</w:t>
            </w:r>
          </w:p>
        </w:tc>
        <w:tc>
          <w:tcPr>
            <w:tcW w:w="1276" w:type="dxa"/>
          </w:tcPr>
          <w:p w14:paraId="7FEF971A"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655C73B7" w14:textId="77777777" w:rsidTr="0067273F">
        <w:trPr>
          <w:cantSplit/>
        </w:trPr>
        <w:tc>
          <w:tcPr>
            <w:tcW w:w="1575" w:type="dxa"/>
          </w:tcPr>
          <w:p w14:paraId="6F52C3E5" w14:textId="77777777" w:rsidR="00094656" w:rsidRPr="008C105A" w:rsidRDefault="00094656" w:rsidP="0067273F">
            <w:pPr>
              <w:pStyle w:val="TableParagraph"/>
              <w:ind w:left="110"/>
              <w:rPr>
                <w:rFonts w:asciiTheme="minorHAnsi" w:hAnsiTheme="minorHAnsi" w:cstheme="minorHAnsi"/>
                <w:b/>
              </w:rPr>
            </w:pPr>
            <w:r w:rsidRPr="008C105A">
              <w:rPr>
                <w:rFonts w:asciiTheme="minorHAnsi" w:hAnsiTheme="minorHAnsi" w:cstheme="minorHAnsi"/>
                <w:b/>
                <w:color w:val="313131"/>
                <w:shd w:val="clear" w:color="auto" w:fill="FFFFFF"/>
              </w:rPr>
              <w:t>Australian Technical Advisory Group on Immunisation (</w:t>
            </w:r>
            <w:r w:rsidRPr="008C105A">
              <w:rPr>
                <w:rFonts w:asciiTheme="minorHAnsi" w:hAnsiTheme="minorHAnsi" w:cstheme="minorHAnsi"/>
                <w:b/>
              </w:rPr>
              <w:t>ATAGI</w:t>
            </w:r>
            <w:r w:rsidRPr="008C105A">
              <w:rPr>
                <w:rFonts w:asciiTheme="minorHAnsi" w:hAnsiTheme="minorHAnsi" w:cstheme="minorHAnsi"/>
                <w:b/>
                <w:color w:val="313131"/>
                <w:shd w:val="clear" w:color="auto" w:fill="FFFFFF"/>
              </w:rPr>
              <w:t>)</w:t>
            </w:r>
          </w:p>
        </w:tc>
        <w:tc>
          <w:tcPr>
            <w:tcW w:w="3119" w:type="dxa"/>
          </w:tcPr>
          <w:p w14:paraId="5532282B" w14:textId="77777777" w:rsidR="00094656" w:rsidRPr="000143A4" w:rsidRDefault="00094656" w:rsidP="0067273F">
            <w:pPr>
              <w:pStyle w:val="TableParagraph"/>
              <w:ind w:right="97"/>
            </w:pPr>
            <w:r w:rsidRPr="000143A4">
              <w:t>Australian</w:t>
            </w:r>
            <w:r w:rsidRPr="000143A4">
              <w:rPr>
                <w:spacing w:val="-5"/>
              </w:rPr>
              <w:t xml:space="preserve"> </w:t>
            </w:r>
            <w:r w:rsidRPr="000143A4">
              <w:t>immunisation</w:t>
            </w:r>
            <w:r w:rsidRPr="000143A4">
              <w:rPr>
                <w:spacing w:val="-7"/>
              </w:rPr>
              <w:t xml:space="preserve"> </w:t>
            </w:r>
            <w:r w:rsidRPr="000143A4">
              <w:t>handbook, 2018, updated 2024</w:t>
            </w:r>
          </w:p>
          <w:p w14:paraId="003BDCC1" w14:textId="77777777" w:rsidR="00094656" w:rsidRPr="000143A4" w:rsidRDefault="00094656" w:rsidP="0067273F">
            <w:pPr>
              <w:pStyle w:val="TableParagraph"/>
              <w:ind w:left="108" w:right="96"/>
              <w:rPr>
                <w:rFonts w:asciiTheme="minorHAnsi" w:hAnsiTheme="minorHAnsi" w:cstheme="minorHAnsi"/>
              </w:rPr>
            </w:pPr>
          </w:p>
          <w:p w14:paraId="13909781" w14:textId="77777777" w:rsidR="00094656" w:rsidRPr="00F86754" w:rsidRDefault="00094656" w:rsidP="0067273F">
            <w:pPr>
              <w:pStyle w:val="TableParagraph"/>
              <w:ind w:left="108" w:right="96"/>
              <w:rPr>
                <w:rFonts w:asciiTheme="minorHAnsi" w:hAnsiTheme="minorHAnsi" w:cstheme="minorHAnsi"/>
                <w:color w:val="313131"/>
                <w:shd w:val="clear" w:color="auto" w:fill="FFFFFF"/>
              </w:rPr>
            </w:pPr>
            <w:r w:rsidRPr="000143A4">
              <w:rPr>
                <w:rFonts w:asciiTheme="minorHAnsi" w:hAnsiTheme="minorHAnsi" w:cstheme="minorHAnsi"/>
                <w:shd w:val="clear" w:color="auto" w:fill="FFFFFF"/>
              </w:rPr>
              <w:t>Australian Technical Advisory Group on Immunisation (</w:t>
            </w:r>
            <w:r w:rsidRPr="000143A4">
              <w:rPr>
                <w:rFonts w:asciiTheme="minorHAnsi" w:hAnsiTheme="minorHAnsi" w:cstheme="minorHAnsi"/>
              </w:rPr>
              <w:t>ATAGI</w:t>
            </w:r>
            <w:r w:rsidRPr="000143A4">
              <w:rPr>
                <w:rFonts w:asciiTheme="minorHAnsi" w:hAnsiTheme="minorHAnsi" w:cstheme="minorHAnsi"/>
                <w:shd w:val="clear" w:color="auto" w:fill="FFFFFF"/>
              </w:rPr>
              <w:t xml:space="preserve">). </w:t>
            </w:r>
            <w:r w:rsidRPr="000143A4">
              <w:rPr>
                <w:rFonts w:asciiTheme="minorHAnsi" w:hAnsiTheme="minorHAnsi" w:cstheme="minorHAnsi"/>
                <w:i/>
                <w:shd w:val="clear" w:color="auto" w:fill="FFFFFF"/>
              </w:rPr>
              <w:t>Australian Immunisation Handbook</w:t>
            </w:r>
            <w:r w:rsidRPr="000143A4">
              <w:rPr>
                <w:rFonts w:asciiTheme="minorHAnsi" w:hAnsiTheme="minorHAnsi" w:cstheme="minorHAnsi"/>
                <w:shd w:val="clear" w:color="auto" w:fill="FFFFFF"/>
              </w:rPr>
              <w:t>. Australian Government Department of Health and Aged Care, Canberra, 2022, immunisationhandbook.health.gov.au.</w:t>
            </w:r>
          </w:p>
        </w:tc>
        <w:tc>
          <w:tcPr>
            <w:tcW w:w="1417" w:type="dxa"/>
          </w:tcPr>
          <w:p w14:paraId="2D10FCF8"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NHMRC</w:t>
            </w:r>
          </w:p>
        </w:tc>
        <w:tc>
          <w:tcPr>
            <w:tcW w:w="1560" w:type="dxa"/>
          </w:tcPr>
          <w:p w14:paraId="7FC57469" w14:textId="77777777" w:rsidR="00094656" w:rsidRPr="00640161" w:rsidRDefault="00094656" w:rsidP="0067273F">
            <w:pPr>
              <w:pStyle w:val="TableParagraph"/>
              <w:ind w:left="28" w:right="28"/>
              <w:rPr>
                <w:rFonts w:asciiTheme="minorHAnsi" w:hAnsiTheme="minorHAnsi" w:cstheme="minorHAnsi"/>
              </w:rPr>
            </w:pPr>
            <w:r w:rsidRPr="00640161">
              <w:rPr>
                <w:rFonts w:asciiTheme="minorHAnsi" w:hAnsiTheme="minorHAnsi" w:cstheme="minorHAnsi"/>
              </w:rPr>
              <w:t>Immunology</w:t>
            </w:r>
          </w:p>
        </w:tc>
        <w:tc>
          <w:tcPr>
            <w:tcW w:w="2126" w:type="dxa"/>
          </w:tcPr>
          <w:p w14:paraId="550FED02" w14:textId="77777777" w:rsidR="00094656" w:rsidRPr="00640161" w:rsidRDefault="00094656" w:rsidP="0067273F">
            <w:pPr>
              <w:pStyle w:val="TableParagraph"/>
              <w:ind w:left="28" w:right="28"/>
              <w:rPr>
                <w:rFonts w:asciiTheme="minorHAnsi" w:hAnsiTheme="minorHAnsi" w:cstheme="minorHAnsi"/>
              </w:rPr>
            </w:pPr>
            <w:r>
              <w:rPr>
                <w:rFonts w:asciiTheme="minorHAnsi" w:hAnsiTheme="minorHAnsi" w:cstheme="minorHAnsi"/>
              </w:rPr>
              <w:t>“Gender” used to mean “sex”. “Sex” used in connection with sexual intercourse. “Female”, “male” used. “Women” used in conjunction with childbearing.</w:t>
            </w:r>
          </w:p>
        </w:tc>
        <w:tc>
          <w:tcPr>
            <w:tcW w:w="1984" w:type="dxa"/>
          </w:tcPr>
          <w:p w14:paraId="5F04522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Sex-specific risks, treatment.</w:t>
            </w:r>
          </w:p>
        </w:tc>
        <w:tc>
          <w:tcPr>
            <w:tcW w:w="1843" w:type="dxa"/>
          </w:tcPr>
          <w:p w14:paraId="43D04F46"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None identified.</w:t>
            </w:r>
          </w:p>
        </w:tc>
        <w:tc>
          <w:tcPr>
            <w:tcW w:w="1276" w:type="dxa"/>
          </w:tcPr>
          <w:p w14:paraId="297E179C" w14:textId="77777777" w:rsidR="00094656" w:rsidRPr="00640161" w:rsidRDefault="00094656" w:rsidP="0067273F">
            <w:pPr>
              <w:pStyle w:val="TableParagraph"/>
              <w:ind w:left="108" w:right="96"/>
              <w:jc w:val="both"/>
              <w:rPr>
                <w:rFonts w:asciiTheme="minorHAnsi" w:hAnsiTheme="minorHAnsi" w:cstheme="minorHAnsi"/>
              </w:rPr>
            </w:pPr>
            <w:r>
              <w:rPr>
                <w:rFonts w:asciiTheme="minorHAnsi" w:hAnsiTheme="minorHAnsi" w:cstheme="minorHAnsi"/>
              </w:rPr>
              <w:t>GRADE</w:t>
            </w:r>
          </w:p>
        </w:tc>
      </w:tr>
      <w:tr w:rsidR="00094656" w:rsidRPr="00640161" w14:paraId="6EC93D6D" w14:textId="77777777" w:rsidTr="0067273F">
        <w:trPr>
          <w:cantSplit/>
        </w:trPr>
        <w:tc>
          <w:tcPr>
            <w:tcW w:w="1575" w:type="dxa"/>
          </w:tcPr>
          <w:p w14:paraId="26D02E97" w14:textId="77777777" w:rsidR="00094656" w:rsidRPr="00640161" w:rsidRDefault="00094656" w:rsidP="0067273F">
            <w:pPr>
              <w:pStyle w:val="TableParagraph"/>
              <w:ind w:left="110" w:right="215"/>
              <w:rPr>
                <w:rFonts w:asciiTheme="minorHAnsi" w:hAnsiTheme="minorHAnsi" w:cstheme="minorHAnsi"/>
                <w:b/>
                <w:spacing w:val="-2"/>
              </w:rPr>
            </w:pPr>
            <w:r w:rsidRPr="00640161">
              <w:rPr>
                <w:rFonts w:asciiTheme="minorHAnsi" w:hAnsiTheme="minorHAnsi" w:cstheme="minorHAnsi"/>
                <w:b/>
              </w:rPr>
              <w:lastRenderedPageBreak/>
              <w:t xml:space="preserve">Autism CRC </w:t>
            </w:r>
            <w:r w:rsidRPr="00640161">
              <w:rPr>
                <w:rFonts w:asciiTheme="minorHAnsi" w:hAnsiTheme="minorHAnsi" w:cstheme="minorHAnsi"/>
                <w:b/>
                <w:spacing w:val="-2"/>
              </w:rPr>
              <w:t xml:space="preserve">(Cooperative </w:t>
            </w:r>
            <w:r w:rsidRPr="00640161">
              <w:rPr>
                <w:rFonts w:asciiTheme="minorHAnsi" w:hAnsiTheme="minorHAnsi" w:cstheme="minorHAnsi"/>
                <w:b/>
              </w:rPr>
              <w:t>Research</w:t>
            </w:r>
            <w:r w:rsidRPr="00640161">
              <w:rPr>
                <w:rFonts w:asciiTheme="minorHAnsi" w:hAnsiTheme="minorHAnsi" w:cstheme="minorHAnsi"/>
                <w:b/>
                <w:spacing w:val="-13"/>
              </w:rPr>
              <w:t xml:space="preserve"> </w:t>
            </w:r>
            <w:r w:rsidRPr="00640161">
              <w:rPr>
                <w:rFonts w:asciiTheme="minorHAnsi" w:hAnsiTheme="minorHAnsi" w:cstheme="minorHAnsi"/>
                <w:b/>
              </w:rPr>
              <w:t>Centre)</w:t>
            </w:r>
          </w:p>
        </w:tc>
        <w:tc>
          <w:tcPr>
            <w:tcW w:w="3119" w:type="dxa"/>
          </w:tcPr>
          <w:p w14:paraId="1B981B0B" w14:textId="77777777" w:rsidR="00094656" w:rsidRPr="00640161" w:rsidRDefault="00094656" w:rsidP="0067273F">
            <w:pPr>
              <w:pStyle w:val="TableParagraph"/>
              <w:ind w:right="97"/>
              <w:rPr>
                <w:rFonts w:asciiTheme="minorHAnsi" w:hAnsiTheme="minorHAnsi" w:cstheme="minorHAnsi"/>
              </w:rPr>
            </w:pPr>
            <w:r w:rsidRPr="00BC2871">
              <w:rPr>
                <w:rFonts w:asciiTheme="minorHAnsi" w:hAnsiTheme="minorHAnsi" w:cstheme="minorHAnsi"/>
              </w:rPr>
              <w:t>A</w:t>
            </w:r>
            <w:r w:rsidRPr="00BC2871">
              <w:rPr>
                <w:rFonts w:asciiTheme="minorHAnsi" w:hAnsiTheme="minorHAnsi" w:cstheme="minorHAnsi"/>
                <w:spacing w:val="-8"/>
              </w:rPr>
              <w:t xml:space="preserve"> </w:t>
            </w:r>
            <w:r w:rsidRPr="00BC2871">
              <w:rPr>
                <w:rFonts w:asciiTheme="minorHAnsi" w:hAnsiTheme="minorHAnsi" w:cstheme="minorHAnsi"/>
              </w:rPr>
              <w:t>National</w:t>
            </w:r>
            <w:r w:rsidRPr="00BC2871">
              <w:rPr>
                <w:rFonts w:asciiTheme="minorHAnsi" w:hAnsiTheme="minorHAnsi" w:cstheme="minorHAnsi"/>
                <w:spacing w:val="-8"/>
              </w:rPr>
              <w:t xml:space="preserve"> </w:t>
            </w:r>
            <w:r w:rsidRPr="00BC2871">
              <w:rPr>
                <w:rFonts w:asciiTheme="minorHAnsi" w:hAnsiTheme="minorHAnsi" w:cstheme="minorHAnsi"/>
              </w:rPr>
              <w:t>Guideline</w:t>
            </w:r>
            <w:r w:rsidRPr="00BC2871">
              <w:rPr>
                <w:rFonts w:asciiTheme="minorHAnsi" w:hAnsiTheme="minorHAnsi" w:cstheme="minorHAnsi"/>
                <w:spacing w:val="-8"/>
              </w:rPr>
              <w:t xml:space="preserve"> </w:t>
            </w:r>
            <w:r w:rsidRPr="00BC2871">
              <w:rPr>
                <w:rFonts w:asciiTheme="minorHAnsi" w:hAnsiTheme="minorHAnsi" w:cstheme="minorHAnsi"/>
              </w:rPr>
              <w:t>for</w:t>
            </w:r>
            <w:r w:rsidRPr="00BC2871">
              <w:rPr>
                <w:rFonts w:asciiTheme="minorHAnsi" w:hAnsiTheme="minorHAnsi" w:cstheme="minorHAnsi"/>
                <w:spacing w:val="-8"/>
              </w:rPr>
              <w:t xml:space="preserve"> </w:t>
            </w:r>
            <w:r w:rsidRPr="00BC2871">
              <w:rPr>
                <w:rFonts w:asciiTheme="minorHAnsi" w:hAnsiTheme="minorHAnsi" w:cstheme="minorHAnsi"/>
              </w:rPr>
              <w:t>the</w:t>
            </w:r>
            <w:r w:rsidRPr="00BC2871">
              <w:rPr>
                <w:rFonts w:asciiTheme="minorHAnsi" w:hAnsiTheme="minorHAnsi" w:cstheme="minorHAnsi"/>
                <w:spacing w:val="-8"/>
              </w:rPr>
              <w:t xml:space="preserve"> </w:t>
            </w:r>
            <w:r w:rsidRPr="00BC2871">
              <w:rPr>
                <w:rFonts w:asciiTheme="minorHAnsi" w:hAnsiTheme="minorHAnsi" w:cstheme="minorHAnsi"/>
              </w:rPr>
              <w:t>Assessment and Diagnosis of Autism Spectrum Disorders (ASD) in Australia, updated 2023</w:t>
            </w:r>
          </w:p>
          <w:p w14:paraId="355233B6" w14:textId="77777777" w:rsidR="00094656" w:rsidRPr="00640161" w:rsidRDefault="00094656" w:rsidP="0067273F">
            <w:pPr>
              <w:pStyle w:val="TableParagraph"/>
              <w:ind w:left="0"/>
              <w:rPr>
                <w:rFonts w:asciiTheme="minorHAnsi" w:hAnsiTheme="minorHAnsi" w:cstheme="minorHAnsi"/>
                <w:b/>
              </w:rPr>
            </w:pPr>
          </w:p>
          <w:p w14:paraId="2D96A83B" w14:textId="77777777" w:rsidR="00094656" w:rsidRPr="00640161" w:rsidRDefault="00094656" w:rsidP="0067273F">
            <w:pPr>
              <w:pStyle w:val="TableParagraph"/>
              <w:ind w:left="108" w:right="96"/>
              <w:rPr>
                <w:rFonts w:asciiTheme="minorHAnsi" w:hAnsiTheme="minorHAnsi" w:cstheme="minorHAnsi"/>
                <w:bCs/>
              </w:rPr>
            </w:pPr>
            <w:r w:rsidRPr="00640161">
              <w:rPr>
                <w:rFonts w:asciiTheme="minorHAnsi" w:hAnsiTheme="minorHAnsi" w:cstheme="minorHAnsi"/>
                <w:bCs/>
              </w:rPr>
              <w:t>https://www.autismcrc.com.au/best-practice/assessment-and-diagnosis</w:t>
            </w:r>
          </w:p>
          <w:p w14:paraId="07C0B47B" w14:textId="77777777" w:rsidR="00094656" w:rsidRPr="00640161" w:rsidRDefault="00094656" w:rsidP="0067273F">
            <w:pPr>
              <w:pStyle w:val="TableParagraph"/>
              <w:ind w:right="97"/>
              <w:rPr>
                <w:rFonts w:asciiTheme="minorHAnsi" w:hAnsiTheme="minorHAnsi" w:cstheme="minorHAnsi"/>
              </w:rPr>
            </w:pPr>
          </w:p>
        </w:tc>
        <w:tc>
          <w:tcPr>
            <w:tcW w:w="1417" w:type="dxa"/>
          </w:tcPr>
          <w:p w14:paraId="06D88C6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NHMRC</w:t>
            </w:r>
          </w:p>
        </w:tc>
        <w:tc>
          <w:tcPr>
            <w:tcW w:w="1560" w:type="dxa"/>
          </w:tcPr>
          <w:p w14:paraId="3C8E39D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Paediatrics</w:t>
            </w:r>
          </w:p>
        </w:tc>
        <w:tc>
          <w:tcPr>
            <w:tcW w:w="2126" w:type="dxa"/>
          </w:tcPr>
          <w:p w14:paraId="374D7CFE" w14:textId="77777777" w:rsidR="00094656" w:rsidRPr="00640161" w:rsidRDefault="00094656" w:rsidP="0067273F">
            <w:pPr>
              <w:pStyle w:val="TableParagraph"/>
              <w:ind w:left="108" w:right="96"/>
              <w:jc w:val="bot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4"/>
              </w:rPr>
              <w:t xml:space="preserve"> </w:t>
            </w:r>
            <w:r w:rsidRPr="00640161">
              <w:rPr>
                <w:rFonts w:asciiTheme="minorHAnsi" w:hAnsiTheme="minorHAnsi" w:cstheme="minorHAnsi"/>
              </w:rPr>
              <w:t>not</w:t>
            </w:r>
            <w:r w:rsidRPr="00640161">
              <w:rPr>
                <w:rFonts w:asciiTheme="minorHAnsi" w:hAnsiTheme="minorHAnsi" w:cstheme="minorHAnsi"/>
                <w:spacing w:val="-4"/>
              </w:rPr>
              <w:t xml:space="preserve"> </w:t>
            </w:r>
            <w:r w:rsidRPr="00640161">
              <w:rPr>
                <w:rFonts w:asciiTheme="minorHAnsi" w:hAnsiTheme="minorHAnsi" w:cstheme="minorHAnsi"/>
              </w:rPr>
              <w:t>defined. Sex</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gender</w:t>
            </w:r>
            <w:r w:rsidRPr="00640161">
              <w:rPr>
                <w:rFonts w:asciiTheme="minorHAnsi" w:hAnsiTheme="minorHAnsi" w:cstheme="minorHAnsi"/>
                <w:spacing w:val="-12"/>
              </w:rPr>
              <w:t xml:space="preserve"> </w:t>
            </w:r>
            <w:r w:rsidRPr="00640161">
              <w:rPr>
                <w:rFonts w:asciiTheme="minorHAnsi" w:hAnsiTheme="minorHAnsi" w:cstheme="minorHAnsi"/>
              </w:rPr>
              <w:t xml:space="preserve">used </w:t>
            </w:r>
            <w:r w:rsidRPr="00640161">
              <w:rPr>
                <w:rFonts w:asciiTheme="minorHAnsi" w:hAnsiTheme="minorHAnsi" w:cstheme="minorHAnsi"/>
                <w:spacing w:val="-2"/>
              </w:rPr>
              <w:t>interchangeably.</w:t>
            </w:r>
          </w:p>
          <w:p w14:paraId="32C0E33B"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Define</w:t>
            </w:r>
            <w:r w:rsidRPr="00640161">
              <w:rPr>
                <w:rFonts w:asciiTheme="minorHAnsi" w:hAnsiTheme="minorHAnsi" w:cstheme="minorHAnsi"/>
                <w:spacing w:val="-13"/>
              </w:rPr>
              <w:t xml:space="preserve"> </w:t>
            </w:r>
            <w:r w:rsidRPr="00640161">
              <w:rPr>
                <w:rFonts w:asciiTheme="minorHAnsi" w:hAnsiTheme="minorHAnsi" w:cstheme="minorHAnsi"/>
              </w:rPr>
              <w:t>gender</w:t>
            </w:r>
            <w:r w:rsidRPr="00640161">
              <w:rPr>
                <w:rFonts w:asciiTheme="minorHAnsi" w:hAnsiTheme="minorHAnsi" w:cstheme="minorHAnsi"/>
                <w:spacing w:val="-12"/>
              </w:rPr>
              <w:t xml:space="preserve"> </w:t>
            </w:r>
            <w:r w:rsidRPr="00640161">
              <w:rPr>
                <w:rFonts w:asciiTheme="minorHAnsi" w:hAnsiTheme="minorHAnsi" w:cstheme="minorHAnsi"/>
              </w:rPr>
              <w:t>identity</w:t>
            </w:r>
            <w:r w:rsidRPr="00640161">
              <w:rPr>
                <w:rFonts w:asciiTheme="minorHAnsi" w:hAnsiTheme="minorHAnsi" w:cstheme="minorHAnsi"/>
                <w:spacing w:val="-13"/>
              </w:rPr>
              <w:t xml:space="preserve"> </w:t>
            </w:r>
            <w:r w:rsidRPr="00640161">
              <w:rPr>
                <w:rFonts w:asciiTheme="minorHAnsi" w:hAnsiTheme="minorHAnsi" w:cstheme="minorHAnsi"/>
              </w:rPr>
              <w:t>for transgender people.</w:t>
            </w:r>
          </w:p>
        </w:tc>
        <w:tc>
          <w:tcPr>
            <w:tcW w:w="1984" w:type="dxa"/>
          </w:tcPr>
          <w:p w14:paraId="2CDA28CC"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 prevalence, assessment, diagnosis.</w:t>
            </w:r>
            <w:r w:rsidRPr="00640161">
              <w:rPr>
                <w:rFonts w:asciiTheme="minorHAnsi" w:hAnsiTheme="minorHAnsi" w:cstheme="minorHAnsi"/>
                <w:spacing w:val="40"/>
              </w:rPr>
              <w:t xml:space="preserve"> </w:t>
            </w:r>
            <w:r w:rsidRPr="00640161">
              <w:rPr>
                <w:rFonts w:asciiTheme="minorHAnsi" w:hAnsiTheme="minorHAnsi" w:cstheme="minorHAnsi"/>
              </w:rPr>
              <w:t>Consider</w:t>
            </w:r>
            <w:r w:rsidRPr="00640161">
              <w:rPr>
                <w:rFonts w:asciiTheme="minorHAnsi" w:hAnsiTheme="minorHAnsi" w:cstheme="minorHAnsi"/>
                <w:spacing w:val="-10"/>
              </w:rPr>
              <w:t xml:space="preserve"> </w:t>
            </w:r>
            <w:r w:rsidRPr="00640161">
              <w:rPr>
                <w:rFonts w:asciiTheme="minorHAnsi" w:hAnsiTheme="minorHAnsi" w:cstheme="minorHAnsi"/>
              </w:rPr>
              <w:t>how</w:t>
            </w:r>
            <w:r w:rsidRPr="00640161">
              <w:rPr>
                <w:rFonts w:asciiTheme="minorHAnsi" w:hAnsiTheme="minorHAnsi" w:cstheme="minorHAnsi"/>
                <w:spacing w:val="-10"/>
              </w:rPr>
              <w:t xml:space="preserve"> </w:t>
            </w:r>
            <w:r w:rsidRPr="00640161">
              <w:rPr>
                <w:rFonts w:asciiTheme="minorHAnsi" w:hAnsiTheme="minorHAnsi" w:cstheme="minorHAnsi"/>
              </w:rPr>
              <w:t>ASD</w:t>
            </w:r>
            <w:r w:rsidRPr="00640161">
              <w:rPr>
                <w:rFonts w:asciiTheme="minorHAnsi" w:hAnsiTheme="minorHAnsi" w:cstheme="minorHAnsi"/>
                <w:spacing w:val="-10"/>
              </w:rPr>
              <w:t xml:space="preserve"> </w:t>
            </w:r>
            <w:r w:rsidRPr="00640161">
              <w:rPr>
                <w:rFonts w:asciiTheme="minorHAnsi" w:hAnsiTheme="minorHAnsi" w:cstheme="minorHAnsi"/>
              </w:rPr>
              <w:t>can</w:t>
            </w:r>
            <w:r w:rsidRPr="00640161">
              <w:rPr>
                <w:rFonts w:asciiTheme="minorHAnsi" w:hAnsiTheme="minorHAnsi" w:cstheme="minorHAnsi"/>
                <w:spacing w:val="-10"/>
              </w:rPr>
              <w:t xml:space="preserve"> </w:t>
            </w:r>
            <w:r w:rsidRPr="00640161">
              <w:rPr>
                <w:rFonts w:asciiTheme="minorHAnsi" w:hAnsiTheme="minorHAnsi" w:cstheme="minorHAnsi"/>
              </w:rPr>
              <w:t>manifest differently in women &amp; men.</w:t>
            </w:r>
          </w:p>
        </w:tc>
        <w:tc>
          <w:tcPr>
            <w:tcW w:w="1843" w:type="dxa"/>
          </w:tcPr>
          <w:p w14:paraId="485BF63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Evidence that being transgender or gender diverse is more common</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people</w:t>
            </w:r>
            <w:r w:rsidRPr="00640161">
              <w:rPr>
                <w:rFonts w:asciiTheme="minorHAnsi" w:hAnsiTheme="minorHAnsi" w:cstheme="minorHAnsi"/>
                <w:spacing w:val="-8"/>
              </w:rPr>
              <w:t xml:space="preserve"> </w:t>
            </w:r>
            <w:r w:rsidRPr="00640161">
              <w:rPr>
                <w:rFonts w:asciiTheme="minorHAnsi" w:hAnsiTheme="minorHAnsi" w:cstheme="minorHAnsi"/>
              </w:rPr>
              <w:t>on</w:t>
            </w:r>
            <w:r w:rsidRPr="00640161">
              <w:rPr>
                <w:rFonts w:asciiTheme="minorHAnsi" w:hAnsiTheme="minorHAnsi" w:cstheme="minorHAnsi"/>
                <w:spacing w:val="-8"/>
              </w:rPr>
              <w:t xml:space="preserve"> </w:t>
            </w:r>
            <w:r w:rsidRPr="00640161">
              <w:rPr>
                <w:rFonts w:asciiTheme="minorHAnsi" w:hAnsiTheme="minorHAnsi" w:cstheme="minorHAnsi"/>
              </w:rPr>
              <w:t>the</w:t>
            </w:r>
            <w:r w:rsidRPr="00640161">
              <w:rPr>
                <w:rFonts w:asciiTheme="minorHAnsi" w:hAnsiTheme="minorHAnsi" w:cstheme="minorHAnsi"/>
                <w:spacing w:val="-8"/>
              </w:rPr>
              <w:t xml:space="preserve"> </w:t>
            </w:r>
            <w:r w:rsidRPr="00640161">
              <w:rPr>
                <w:rFonts w:asciiTheme="minorHAnsi" w:hAnsiTheme="minorHAnsi" w:cstheme="minorHAnsi"/>
              </w:rPr>
              <w:t xml:space="preserve">autism spectrum than in broader </w:t>
            </w:r>
            <w:r w:rsidRPr="00640161">
              <w:rPr>
                <w:rFonts w:asciiTheme="minorHAnsi" w:hAnsiTheme="minorHAnsi" w:cstheme="minorHAnsi"/>
                <w:spacing w:val="-2"/>
              </w:rPr>
              <w:t>population.</w:t>
            </w:r>
          </w:p>
          <w:p w14:paraId="0B00BF13"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Sensitivity</w:t>
            </w:r>
            <w:r w:rsidRPr="00640161">
              <w:rPr>
                <w:rFonts w:asciiTheme="minorHAnsi" w:hAnsiTheme="minorHAnsi" w:cstheme="minorHAnsi"/>
                <w:spacing w:val="-13"/>
              </w:rPr>
              <w:t xml:space="preserve"> </w:t>
            </w:r>
            <w:r w:rsidRPr="00640161">
              <w:rPr>
                <w:rFonts w:asciiTheme="minorHAnsi" w:hAnsiTheme="minorHAnsi" w:cstheme="minorHAnsi"/>
              </w:rPr>
              <w:t>to</w:t>
            </w:r>
            <w:r w:rsidRPr="00640161">
              <w:rPr>
                <w:rFonts w:asciiTheme="minorHAnsi" w:hAnsiTheme="minorHAnsi" w:cstheme="minorHAnsi"/>
                <w:spacing w:val="-12"/>
              </w:rPr>
              <w:t xml:space="preserve"> </w:t>
            </w:r>
            <w:r w:rsidRPr="00640161">
              <w:rPr>
                <w:rFonts w:asciiTheme="minorHAnsi" w:hAnsiTheme="minorHAnsi" w:cstheme="minorHAnsi"/>
              </w:rPr>
              <w:t>gender-related language important during assessment of ASD.</w:t>
            </w:r>
          </w:p>
        </w:tc>
        <w:tc>
          <w:tcPr>
            <w:tcW w:w="1276" w:type="dxa"/>
          </w:tcPr>
          <w:p w14:paraId="36AEE663"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Adapted GRADE; consensus</w:t>
            </w:r>
          </w:p>
        </w:tc>
      </w:tr>
      <w:tr w:rsidR="00094656" w:rsidRPr="00640161" w14:paraId="39A7B14E" w14:textId="77777777" w:rsidTr="0067273F">
        <w:trPr>
          <w:cantSplit/>
        </w:trPr>
        <w:tc>
          <w:tcPr>
            <w:tcW w:w="1575" w:type="dxa"/>
          </w:tcPr>
          <w:p w14:paraId="39467A28"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5FC9183C" w14:textId="77777777" w:rsidR="00094656" w:rsidRPr="00640161" w:rsidRDefault="00094656" w:rsidP="0067273F">
            <w:pPr>
              <w:pStyle w:val="TableParagraph"/>
              <w:spacing w:before="3"/>
              <w:ind w:right="97"/>
              <w:rPr>
                <w:rFonts w:asciiTheme="minorHAnsi" w:hAnsiTheme="minorHAnsi" w:cstheme="minorHAnsi"/>
              </w:rPr>
            </w:pPr>
            <w:r w:rsidRPr="0087323B">
              <w:rPr>
                <w:rFonts w:asciiTheme="minorHAnsi" w:hAnsiTheme="minorHAnsi" w:cstheme="minorHAnsi"/>
              </w:rPr>
              <w:t>Clinical practice guidelines for the diagnosis</w:t>
            </w:r>
            <w:r w:rsidRPr="0087323B">
              <w:rPr>
                <w:rFonts w:asciiTheme="minorHAnsi" w:hAnsiTheme="minorHAnsi" w:cstheme="minorHAnsi"/>
                <w:spacing w:val="-10"/>
              </w:rPr>
              <w:t xml:space="preserve"> </w:t>
            </w:r>
            <w:r w:rsidRPr="0087323B">
              <w:rPr>
                <w:rFonts w:asciiTheme="minorHAnsi" w:hAnsiTheme="minorHAnsi" w:cstheme="minorHAnsi"/>
              </w:rPr>
              <w:t>and</w:t>
            </w:r>
            <w:r w:rsidRPr="0087323B">
              <w:rPr>
                <w:rFonts w:asciiTheme="minorHAnsi" w:hAnsiTheme="minorHAnsi" w:cstheme="minorHAnsi"/>
                <w:spacing w:val="-10"/>
              </w:rPr>
              <w:t xml:space="preserve"> </w:t>
            </w:r>
            <w:r w:rsidRPr="0087323B">
              <w:rPr>
                <w:rFonts w:asciiTheme="minorHAnsi" w:hAnsiTheme="minorHAnsi" w:cstheme="minorHAnsi"/>
              </w:rPr>
              <w:t>management</w:t>
            </w:r>
            <w:r w:rsidRPr="0087323B">
              <w:rPr>
                <w:rFonts w:asciiTheme="minorHAnsi" w:hAnsiTheme="minorHAnsi" w:cstheme="minorHAnsi"/>
                <w:spacing w:val="-10"/>
              </w:rPr>
              <w:t xml:space="preserve"> </w:t>
            </w:r>
            <w:r w:rsidRPr="0087323B">
              <w:rPr>
                <w:rFonts w:asciiTheme="minorHAnsi" w:hAnsiTheme="minorHAnsi" w:cstheme="minorHAnsi"/>
              </w:rPr>
              <w:t>of</w:t>
            </w:r>
            <w:r w:rsidRPr="0087323B">
              <w:rPr>
                <w:rFonts w:asciiTheme="minorHAnsi" w:hAnsiTheme="minorHAnsi" w:cstheme="minorHAnsi"/>
                <w:spacing w:val="-10"/>
              </w:rPr>
              <w:t xml:space="preserve"> </w:t>
            </w:r>
            <w:r w:rsidRPr="0087323B">
              <w:rPr>
                <w:rFonts w:asciiTheme="minorHAnsi" w:hAnsiTheme="minorHAnsi" w:cstheme="minorHAnsi"/>
              </w:rPr>
              <w:t>Barrett’s oesophagus and early oesophageal adenocarcinoma, 2015</w:t>
            </w:r>
          </w:p>
          <w:p w14:paraId="40B3AF7B" w14:textId="77777777" w:rsidR="00094656" w:rsidRPr="00640161" w:rsidRDefault="00094656" w:rsidP="0067273F">
            <w:pPr>
              <w:pStyle w:val="TableParagraph"/>
              <w:spacing w:before="5"/>
              <w:ind w:left="0"/>
              <w:rPr>
                <w:rFonts w:asciiTheme="minorHAnsi" w:hAnsiTheme="minorHAnsi" w:cstheme="minorHAnsi"/>
                <w:b/>
              </w:rPr>
            </w:pPr>
          </w:p>
          <w:p w14:paraId="485FDAEC" w14:textId="77777777" w:rsidR="00094656" w:rsidRPr="00640161" w:rsidRDefault="00094656" w:rsidP="0067273F">
            <w:pPr>
              <w:pStyle w:val="TableParagraph"/>
              <w:spacing w:before="0"/>
              <w:ind w:right="97"/>
              <w:rPr>
                <w:rFonts w:asciiTheme="minorHAnsi" w:hAnsiTheme="minorHAnsi" w:cstheme="minorHAnsi"/>
                <w:color w:val="0563C1"/>
                <w:spacing w:val="-2"/>
                <w:u w:val="single" w:color="0563C1"/>
              </w:rPr>
            </w:pPr>
            <w:r w:rsidRPr="00640161">
              <w:rPr>
                <w:rFonts w:asciiTheme="minorHAnsi" w:hAnsiTheme="minorHAnsi" w:cstheme="minorHAnsi"/>
              </w:rPr>
              <w:t>Whiteman, et al. (2015). Australian clinical practice guidelines for BE and EAC.</w:t>
            </w:r>
            <w:r w:rsidRPr="00640161">
              <w:rPr>
                <w:rFonts w:asciiTheme="minorHAnsi" w:hAnsiTheme="minorHAnsi" w:cstheme="minorHAnsi"/>
                <w:spacing w:val="-8"/>
              </w:rPr>
              <w:t xml:space="preserve"> </w:t>
            </w:r>
            <w:r w:rsidRPr="00640161">
              <w:rPr>
                <w:rFonts w:asciiTheme="minorHAnsi" w:hAnsiTheme="minorHAnsi" w:cstheme="minorHAnsi"/>
                <w:i/>
              </w:rPr>
              <w:t>J</w:t>
            </w:r>
            <w:r w:rsidRPr="00640161">
              <w:rPr>
                <w:rFonts w:asciiTheme="minorHAnsi" w:hAnsiTheme="minorHAnsi" w:cstheme="minorHAnsi"/>
                <w:i/>
                <w:spacing w:val="-8"/>
              </w:rPr>
              <w:t xml:space="preserve"> </w:t>
            </w:r>
            <w:r w:rsidRPr="00640161">
              <w:rPr>
                <w:rFonts w:asciiTheme="minorHAnsi" w:hAnsiTheme="minorHAnsi" w:cstheme="minorHAnsi"/>
                <w:i/>
              </w:rPr>
              <w:t>Gastroenterol</w:t>
            </w:r>
            <w:r w:rsidRPr="00640161">
              <w:rPr>
                <w:rFonts w:asciiTheme="minorHAnsi" w:hAnsiTheme="minorHAnsi" w:cstheme="minorHAnsi"/>
                <w:i/>
                <w:spacing w:val="-7"/>
              </w:rPr>
              <w:t xml:space="preserve"> </w:t>
            </w:r>
            <w:r w:rsidRPr="00640161">
              <w:rPr>
                <w:rFonts w:asciiTheme="minorHAnsi" w:hAnsiTheme="minorHAnsi" w:cstheme="minorHAnsi"/>
                <w:i/>
              </w:rPr>
              <w:t>Hepatol</w:t>
            </w:r>
            <w:r w:rsidRPr="00640161">
              <w:rPr>
                <w:rFonts w:asciiTheme="minorHAnsi" w:hAnsiTheme="minorHAnsi" w:cstheme="minorHAnsi"/>
              </w:rPr>
              <w:t>,</w:t>
            </w:r>
            <w:r w:rsidRPr="00640161">
              <w:rPr>
                <w:rFonts w:asciiTheme="minorHAnsi" w:hAnsiTheme="minorHAnsi" w:cstheme="minorHAnsi"/>
                <w:spacing w:val="-8"/>
              </w:rPr>
              <w:t xml:space="preserve"> </w:t>
            </w:r>
            <w:r w:rsidRPr="00640161">
              <w:rPr>
                <w:rFonts w:asciiTheme="minorHAnsi" w:hAnsiTheme="minorHAnsi" w:cstheme="minorHAnsi"/>
              </w:rPr>
              <w:t>30:</w:t>
            </w:r>
            <w:r w:rsidRPr="00640161">
              <w:rPr>
                <w:rFonts w:asciiTheme="minorHAnsi" w:hAnsiTheme="minorHAnsi" w:cstheme="minorHAnsi"/>
                <w:spacing w:val="-8"/>
              </w:rPr>
              <w:t xml:space="preserve"> </w:t>
            </w:r>
            <w:r w:rsidRPr="00640161">
              <w:rPr>
                <w:rFonts w:asciiTheme="minorHAnsi" w:hAnsiTheme="minorHAnsi" w:cstheme="minorHAnsi"/>
              </w:rPr>
              <w:t>804-820.</w:t>
            </w:r>
            <w:r w:rsidRPr="00640161">
              <w:rPr>
                <w:rFonts w:asciiTheme="minorHAnsi" w:hAnsiTheme="minorHAnsi" w:cstheme="minorHAnsi"/>
                <w:spacing w:val="-4"/>
              </w:rPr>
              <w:t xml:space="preserve"> </w:t>
            </w:r>
            <w:r w:rsidRPr="00640161">
              <w:rPr>
                <w:rFonts w:asciiTheme="minorHAnsi" w:hAnsiTheme="minorHAnsi" w:cstheme="minorHAnsi"/>
              </w:rPr>
              <w:t>DOI:</w:t>
            </w:r>
            <w:r w:rsidRPr="001F4112">
              <w:rPr>
                <w:rFonts w:asciiTheme="minorHAnsi" w:hAnsiTheme="minorHAnsi" w:cstheme="minorHAnsi"/>
                <w:spacing w:val="-2"/>
              </w:rPr>
              <w:t>10.1111/jgh.12913</w:t>
            </w:r>
          </w:p>
        </w:tc>
        <w:tc>
          <w:tcPr>
            <w:tcW w:w="1417" w:type="dxa"/>
          </w:tcPr>
          <w:p w14:paraId="205E7663" w14:textId="77777777" w:rsidR="00094656" w:rsidRPr="000359A1" w:rsidRDefault="00094656" w:rsidP="0067273F">
            <w:pPr>
              <w:pStyle w:val="TableParagraph"/>
              <w:rPr>
                <w:rFonts w:asciiTheme="minorHAnsi" w:hAnsiTheme="minorHAnsi" w:cstheme="minorHAnsi"/>
              </w:rPr>
            </w:pPr>
            <w:r w:rsidRPr="000359A1">
              <w:rPr>
                <w:rFonts w:asciiTheme="minorHAnsi" w:hAnsiTheme="minorHAnsi" w:cstheme="minorHAnsi"/>
              </w:rPr>
              <w:t>Cancer</w:t>
            </w:r>
            <w:r w:rsidRPr="000359A1">
              <w:rPr>
                <w:rFonts w:asciiTheme="minorHAnsi" w:hAnsiTheme="minorHAnsi" w:cstheme="minorHAnsi"/>
                <w:spacing w:val="-13"/>
              </w:rPr>
              <w:t xml:space="preserve"> </w:t>
            </w:r>
            <w:r w:rsidRPr="000359A1">
              <w:rPr>
                <w:rFonts w:asciiTheme="minorHAnsi" w:hAnsiTheme="minorHAnsi" w:cstheme="minorHAnsi"/>
              </w:rPr>
              <w:t xml:space="preserve">Council </w:t>
            </w:r>
            <w:r w:rsidRPr="000359A1">
              <w:rPr>
                <w:rFonts w:asciiTheme="minorHAnsi" w:hAnsiTheme="minorHAnsi" w:cstheme="minorHAnsi"/>
                <w:spacing w:val="-2"/>
              </w:rPr>
              <w:t>Australia</w:t>
            </w:r>
          </w:p>
        </w:tc>
        <w:tc>
          <w:tcPr>
            <w:tcW w:w="1560" w:type="dxa"/>
          </w:tcPr>
          <w:p w14:paraId="62F087F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409CB398"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w:t>
            </w:r>
          </w:p>
          <w:p w14:paraId="56A2B625" w14:textId="77777777" w:rsidR="00094656" w:rsidRPr="00640161" w:rsidRDefault="00094656" w:rsidP="0067273F">
            <w:pPr>
              <w:pStyle w:val="TableParagraph"/>
              <w:ind w:left="108" w:right="96"/>
              <w:jc w:val="bot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“gender”</w:t>
            </w:r>
            <w:r w:rsidRPr="00640161">
              <w:rPr>
                <w:rFonts w:asciiTheme="minorHAnsi" w:hAnsiTheme="minorHAnsi" w:cstheme="minorHAnsi"/>
                <w:spacing w:val="-13"/>
              </w:rPr>
              <w:t xml:space="preserve"> </w:t>
            </w:r>
            <w:r w:rsidRPr="00640161">
              <w:rPr>
                <w:rFonts w:asciiTheme="minorHAnsi" w:hAnsiTheme="minorHAnsi" w:cstheme="minorHAnsi"/>
              </w:rPr>
              <w:t xml:space="preserve">used </w:t>
            </w:r>
            <w:r>
              <w:rPr>
                <w:rFonts w:asciiTheme="minorHAnsi" w:hAnsiTheme="minorHAnsi" w:cstheme="minorHAnsi"/>
                <w:spacing w:val="-2"/>
              </w:rPr>
              <w:t>for “sex”</w:t>
            </w:r>
            <w:r w:rsidRPr="00640161">
              <w:rPr>
                <w:rFonts w:asciiTheme="minorHAnsi" w:hAnsiTheme="minorHAnsi" w:cstheme="minorHAnsi"/>
                <w:spacing w:val="-2"/>
              </w:rPr>
              <w:t>.</w:t>
            </w:r>
          </w:p>
        </w:tc>
        <w:tc>
          <w:tcPr>
            <w:tcW w:w="1984" w:type="dxa"/>
          </w:tcPr>
          <w:p w14:paraId="3B3280CF"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prevalence</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3"/>
              </w:rPr>
              <w:t xml:space="preserve"> </w:t>
            </w:r>
            <w:r w:rsidRPr="00640161">
              <w:rPr>
                <w:rFonts w:asciiTheme="minorHAnsi" w:hAnsiTheme="minorHAnsi" w:cstheme="minorHAnsi"/>
              </w:rPr>
              <w:t xml:space="preserve">risk </w:t>
            </w:r>
            <w:r w:rsidRPr="00640161">
              <w:rPr>
                <w:rFonts w:asciiTheme="minorHAnsi" w:hAnsiTheme="minorHAnsi" w:cstheme="minorHAnsi"/>
                <w:spacing w:val="-2"/>
              </w:rPr>
              <w:t>factors.</w:t>
            </w:r>
          </w:p>
        </w:tc>
        <w:tc>
          <w:tcPr>
            <w:tcW w:w="1843" w:type="dxa"/>
          </w:tcPr>
          <w:p w14:paraId="1B845719"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F0E2203"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 xml:space="preserve">Cancer Council Australia guidelines </w:t>
            </w:r>
            <w:proofErr w:type="gramStart"/>
            <w:r>
              <w:rPr>
                <w:rFonts w:asciiTheme="minorHAnsi" w:hAnsiTheme="minorHAnsi" w:cstheme="minorHAnsi"/>
              </w:rPr>
              <w:t>method;</w:t>
            </w:r>
            <w:proofErr w:type="gramEnd"/>
          </w:p>
          <w:p w14:paraId="1C3BB551"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consensus.</w:t>
            </w:r>
          </w:p>
        </w:tc>
      </w:tr>
      <w:tr w:rsidR="00094656" w:rsidRPr="00640161" w14:paraId="562C1797" w14:textId="77777777" w:rsidTr="0067273F">
        <w:trPr>
          <w:cantSplit/>
        </w:trPr>
        <w:tc>
          <w:tcPr>
            <w:tcW w:w="1575" w:type="dxa"/>
          </w:tcPr>
          <w:p w14:paraId="7149BEBF"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3527952E" w14:textId="77777777" w:rsidR="00094656" w:rsidRDefault="00094656" w:rsidP="0067273F">
            <w:pPr>
              <w:pStyle w:val="TableParagraph"/>
              <w:ind w:right="199"/>
              <w:rPr>
                <w:rFonts w:asciiTheme="minorHAnsi" w:hAnsiTheme="minorHAnsi" w:cstheme="minorHAnsi"/>
              </w:rPr>
            </w:pPr>
            <w:r w:rsidRPr="001466AB">
              <w:rPr>
                <w:rFonts w:asciiTheme="minorHAnsi" w:hAnsiTheme="minorHAnsi" w:cstheme="minorHAnsi"/>
              </w:rPr>
              <w:t>Clinical</w:t>
            </w:r>
            <w:r w:rsidRPr="001466AB">
              <w:rPr>
                <w:rFonts w:asciiTheme="minorHAnsi" w:hAnsiTheme="minorHAnsi" w:cstheme="minorHAnsi"/>
                <w:spacing w:val="-10"/>
              </w:rPr>
              <w:t xml:space="preserve"> </w:t>
            </w:r>
            <w:r w:rsidRPr="001466AB">
              <w:rPr>
                <w:rFonts w:asciiTheme="minorHAnsi" w:hAnsiTheme="minorHAnsi" w:cstheme="minorHAnsi"/>
              </w:rPr>
              <w:t>practice</w:t>
            </w:r>
            <w:r w:rsidRPr="001466AB">
              <w:rPr>
                <w:rFonts w:asciiTheme="minorHAnsi" w:hAnsiTheme="minorHAnsi" w:cstheme="minorHAnsi"/>
                <w:spacing w:val="-10"/>
              </w:rPr>
              <w:t xml:space="preserve"> </w:t>
            </w:r>
            <w:r w:rsidRPr="001466AB">
              <w:rPr>
                <w:rFonts w:asciiTheme="minorHAnsi" w:hAnsiTheme="minorHAnsi" w:cstheme="minorHAnsi"/>
              </w:rPr>
              <w:t>guidelines</w:t>
            </w:r>
            <w:r w:rsidRPr="001466AB">
              <w:rPr>
                <w:rFonts w:asciiTheme="minorHAnsi" w:hAnsiTheme="minorHAnsi" w:cstheme="minorHAnsi"/>
                <w:spacing w:val="-10"/>
              </w:rPr>
              <w:t xml:space="preserve"> </w:t>
            </w:r>
            <w:r w:rsidRPr="001466AB">
              <w:rPr>
                <w:rFonts w:asciiTheme="minorHAnsi" w:hAnsiTheme="minorHAnsi" w:cstheme="minorHAnsi"/>
              </w:rPr>
              <w:t>for</w:t>
            </w:r>
            <w:r w:rsidRPr="001466AB">
              <w:rPr>
                <w:rFonts w:asciiTheme="minorHAnsi" w:hAnsiTheme="minorHAnsi" w:cstheme="minorHAnsi"/>
                <w:spacing w:val="-10"/>
              </w:rPr>
              <w:t xml:space="preserve"> </w:t>
            </w:r>
            <w:r w:rsidRPr="001466AB">
              <w:rPr>
                <w:rFonts w:asciiTheme="minorHAnsi" w:hAnsiTheme="minorHAnsi" w:cstheme="minorHAnsi"/>
              </w:rPr>
              <w:t>the prevention and diagnosis of lung cancer, 20</w:t>
            </w:r>
            <w:r>
              <w:rPr>
                <w:rFonts w:asciiTheme="minorHAnsi" w:hAnsiTheme="minorHAnsi" w:cstheme="minorHAnsi"/>
              </w:rPr>
              <w:t>22</w:t>
            </w:r>
            <w:r w:rsidRPr="001466AB">
              <w:rPr>
                <w:rFonts w:asciiTheme="minorHAnsi" w:hAnsiTheme="minorHAnsi" w:cstheme="minorHAnsi"/>
              </w:rPr>
              <w:t xml:space="preserve"> (now live, with online updates)</w:t>
            </w:r>
            <w:r>
              <w:rPr>
                <w:rFonts w:asciiTheme="minorHAnsi" w:hAnsiTheme="minorHAnsi" w:cstheme="minorHAnsi"/>
              </w:rPr>
              <w:t xml:space="preserve"> </w:t>
            </w:r>
          </w:p>
          <w:p w14:paraId="4A92DFD9" w14:textId="77777777" w:rsidR="00094656" w:rsidRPr="001466AB" w:rsidRDefault="00094656" w:rsidP="0067273F">
            <w:pPr>
              <w:pStyle w:val="TableParagraph"/>
              <w:ind w:right="199"/>
              <w:rPr>
                <w:rFonts w:asciiTheme="minorHAnsi" w:hAnsiTheme="minorHAnsi" w:cstheme="minorHAnsi"/>
              </w:rPr>
            </w:pPr>
            <w:r>
              <w:rPr>
                <w:rFonts w:asciiTheme="minorHAnsi" w:hAnsiTheme="minorHAnsi" w:cstheme="minorHAnsi"/>
              </w:rPr>
              <w:t>(391 pp version assessed)</w:t>
            </w:r>
          </w:p>
          <w:p w14:paraId="7FA27560" w14:textId="77777777" w:rsidR="00094656" w:rsidRPr="001466AB" w:rsidRDefault="00094656" w:rsidP="0067273F">
            <w:pPr>
              <w:pStyle w:val="TableParagraph"/>
              <w:ind w:right="199"/>
              <w:rPr>
                <w:rFonts w:asciiTheme="minorHAnsi" w:hAnsiTheme="minorHAnsi" w:cstheme="minorHAnsi"/>
              </w:rPr>
            </w:pPr>
          </w:p>
          <w:p w14:paraId="167DD325" w14:textId="77777777" w:rsidR="00094656" w:rsidRPr="00C665A7" w:rsidRDefault="00094656" w:rsidP="0067273F">
            <w:pPr>
              <w:pStyle w:val="TableParagraph"/>
              <w:ind w:right="199"/>
              <w:rPr>
                <w:rFonts w:asciiTheme="minorHAnsi" w:hAnsiTheme="minorHAnsi" w:cstheme="minorHAnsi"/>
              </w:rPr>
            </w:pPr>
            <w:r w:rsidRPr="00C665A7">
              <w:rPr>
                <w:rFonts w:asciiTheme="minorHAnsi" w:hAnsiTheme="minorHAnsi" w:cstheme="minorHAnsi"/>
              </w:rPr>
              <w:t>https://www.cancer.org.au/assets/pdf/guidelines-lung-cancer</w:t>
            </w:r>
          </w:p>
        </w:tc>
        <w:tc>
          <w:tcPr>
            <w:tcW w:w="1417" w:type="dxa"/>
          </w:tcPr>
          <w:p w14:paraId="741A023D" w14:textId="77777777" w:rsidR="00094656" w:rsidRDefault="00094656" w:rsidP="0067273F">
            <w:pPr>
              <w:pStyle w:val="TableParagraph"/>
              <w:rPr>
                <w:rFonts w:asciiTheme="minorHAnsi" w:hAnsiTheme="minorHAnsi" w:cstheme="minorHAnsi"/>
              </w:rPr>
            </w:pPr>
            <w:r>
              <w:rPr>
                <w:rFonts w:asciiTheme="minorHAnsi" w:hAnsiTheme="minorHAnsi" w:cstheme="minorHAnsi"/>
              </w:rPr>
              <w:t>Cancer Council Australia.</w:t>
            </w:r>
          </w:p>
          <w:p w14:paraId="24D4C92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Initial version endorsed by NHMRC.</w:t>
            </w:r>
          </w:p>
        </w:tc>
        <w:tc>
          <w:tcPr>
            <w:tcW w:w="1560" w:type="dxa"/>
          </w:tcPr>
          <w:p w14:paraId="1235EC0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39ADBDD6" w14:textId="77777777" w:rsidR="00094656" w:rsidRDefault="00094656" w:rsidP="0067273F">
            <w:pPr>
              <w:pStyle w:val="TableParagraph"/>
              <w:rPr>
                <w:rFonts w:asciiTheme="minorHAnsi" w:hAnsiTheme="minorHAnsi" w:cstheme="minorHAnsi"/>
              </w:rPr>
            </w:pPr>
            <w:r>
              <w:rPr>
                <w:rFonts w:asciiTheme="minorHAnsi" w:hAnsiTheme="minorHAnsi" w:cstheme="minorHAnsi"/>
              </w:rPr>
              <w:t>“Female gender” (= sex) found once in text search.</w:t>
            </w:r>
          </w:p>
          <w:p w14:paraId="59589208"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 “male” not found in text search. "Men and women” found once; “women” twice.</w:t>
            </w:r>
          </w:p>
        </w:tc>
        <w:tc>
          <w:tcPr>
            <w:tcW w:w="1984" w:type="dxa"/>
          </w:tcPr>
          <w:p w14:paraId="35E72E33"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Pr>
                <w:rFonts w:asciiTheme="minorHAnsi" w:hAnsiTheme="minorHAnsi" w:cstheme="minorHAnsi"/>
              </w:rPr>
              <w:t>and</w:t>
            </w:r>
            <w:r w:rsidRPr="00640161">
              <w:rPr>
                <w:rFonts w:asciiTheme="minorHAnsi" w:hAnsiTheme="minorHAnsi" w:cstheme="minorHAnsi"/>
              </w:rPr>
              <w:t xml:space="preserve"> </w:t>
            </w:r>
            <w:r w:rsidRPr="00640161">
              <w:rPr>
                <w:rFonts w:asciiTheme="minorHAnsi" w:hAnsiTheme="minorHAnsi" w:cstheme="minorHAnsi"/>
                <w:spacing w:val="-2"/>
              </w:rPr>
              <w:t>information.</w:t>
            </w:r>
          </w:p>
        </w:tc>
        <w:tc>
          <w:tcPr>
            <w:tcW w:w="1843" w:type="dxa"/>
          </w:tcPr>
          <w:p w14:paraId="00E42695"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BA8E39E"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 xml:space="preserve">Cancer Council Australia guidelines </w:t>
            </w:r>
            <w:proofErr w:type="gramStart"/>
            <w:r>
              <w:rPr>
                <w:rFonts w:asciiTheme="minorHAnsi" w:hAnsiTheme="minorHAnsi" w:cstheme="minorHAnsi"/>
              </w:rPr>
              <w:t>method;</w:t>
            </w:r>
            <w:proofErr w:type="gramEnd"/>
          </w:p>
          <w:p w14:paraId="2930F4CD"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consensus.</w:t>
            </w:r>
          </w:p>
        </w:tc>
      </w:tr>
      <w:tr w:rsidR="00094656" w:rsidRPr="00640161" w14:paraId="1C73AD25" w14:textId="77777777" w:rsidTr="0067273F">
        <w:trPr>
          <w:cantSplit/>
        </w:trPr>
        <w:tc>
          <w:tcPr>
            <w:tcW w:w="1575" w:type="dxa"/>
          </w:tcPr>
          <w:p w14:paraId="7491E1C1"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1B8EAA84" w14:textId="77777777" w:rsidR="00094656" w:rsidRPr="00640161" w:rsidRDefault="00094656" w:rsidP="0067273F">
            <w:pPr>
              <w:pStyle w:val="TableParagraph"/>
              <w:ind w:right="97"/>
              <w:rPr>
                <w:rFonts w:asciiTheme="minorHAnsi" w:hAnsiTheme="minorHAnsi" w:cstheme="minorHAnsi"/>
              </w:rPr>
            </w:pPr>
            <w:r w:rsidRPr="0095621A">
              <w:rPr>
                <w:rFonts w:asciiTheme="minorHAnsi" w:hAnsiTheme="minorHAnsi" w:cstheme="minorHAnsi"/>
              </w:rPr>
              <w:t>Clinical</w:t>
            </w:r>
            <w:r w:rsidRPr="0095621A">
              <w:rPr>
                <w:rFonts w:asciiTheme="minorHAnsi" w:hAnsiTheme="minorHAnsi" w:cstheme="minorHAnsi"/>
                <w:spacing w:val="-10"/>
              </w:rPr>
              <w:t xml:space="preserve"> </w:t>
            </w:r>
            <w:r w:rsidRPr="0095621A">
              <w:rPr>
                <w:rFonts w:asciiTheme="minorHAnsi" w:hAnsiTheme="minorHAnsi" w:cstheme="minorHAnsi"/>
              </w:rPr>
              <w:t>practice</w:t>
            </w:r>
            <w:r w:rsidRPr="0095621A">
              <w:rPr>
                <w:rFonts w:asciiTheme="minorHAnsi" w:hAnsiTheme="minorHAnsi" w:cstheme="minorHAnsi"/>
                <w:spacing w:val="-10"/>
              </w:rPr>
              <w:t xml:space="preserve"> </w:t>
            </w:r>
            <w:r w:rsidRPr="0095621A">
              <w:rPr>
                <w:rFonts w:asciiTheme="minorHAnsi" w:hAnsiTheme="minorHAnsi" w:cstheme="minorHAnsi"/>
              </w:rPr>
              <w:t>guidelines</w:t>
            </w:r>
            <w:r w:rsidRPr="0095621A">
              <w:rPr>
                <w:rFonts w:asciiTheme="minorHAnsi" w:hAnsiTheme="minorHAnsi" w:cstheme="minorHAnsi"/>
                <w:spacing w:val="-10"/>
              </w:rPr>
              <w:t xml:space="preserve"> </w:t>
            </w:r>
            <w:r w:rsidRPr="0095621A">
              <w:rPr>
                <w:rFonts w:asciiTheme="minorHAnsi" w:hAnsiTheme="minorHAnsi" w:cstheme="minorHAnsi"/>
              </w:rPr>
              <w:t>for</w:t>
            </w:r>
            <w:r w:rsidRPr="0095621A">
              <w:rPr>
                <w:rFonts w:asciiTheme="minorHAnsi" w:hAnsiTheme="minorHAnsi" w:cstheme="minorHAnsi"/>
                <w:spacing w:val="-10"/>
              </w:rPr>
              <w:t xml:space="preserve"> </w:t>
            </w:r>
            <w:r w:rsidRPr="0095621A">
              <w:rPr>
                <w:rFonts w:asciiTheme="minorHAnsi" w:hAnsiTheme="minorHAnsi" w:cstheme="minorHAnsi"/>
              </w:rPr>
              <w:t>the treatment of lung cancer, 20</w:t>
            </w:r>
            <w:r>
              <w:rPr>
                <w:rFonts w:asciiTheme="minorHAnsi" w:hAnsiTheme="minorHAnsi" w:cstheme="minorHAnsi"/>
              </w:rPr>
              <w:t>22</w:t>
            </w:r>
          </w:p>
          <w:p w14:paraId="4B30581A" w14:textId="77777777" w:rsidR="00094656" w:rsidRPr="00640161" w:rsidRDefault="00094656" w:rsidP="0067273F">
            <w:pPr>
              <w:pStyle w:val="TableParagraph"/>
              <w:ind w:left="0"/>
              <w:rPr>
                <w:rFonts w:asciiTheme="minorHAnsi" w:hAnsiTheme="minorHAnsi" w:cstheme="minorHAnsi"/>
                <w:b/>
              </w:rPr>
            </w:pPr>
          </w:p>
          <w:p w14:paraId="18B0C898" w14:textId="77777777" w:rsidR="00094656" w:rsidRPr="00640161" w:rsidRDefault="00094656" w:rsidP="0067273F">
            <w:pPr>
              <w:pStyle w:val="TableParagraph"/>
              <w:ind w:right="199"/>
              <w:rPr>
                <w:rFonts w:asciiTheme="minorHAnsi" w:hAnsiTheme="minorHAnsi" w:cstheme="minorHAnsi"/>
              </w:rPr>
            </w:pPr>
            <w:hyperlink r:id="rId25" w:history="1">
              <w:r w:rsidRPr="00640161">
                <w:rPr>
                  <w:rStyle w:val="Hyperlink"/>
                  <w:rFonts w:asciiTheme="minorHAnsi" w:hAnsiTheme="minorHAnsi" w:cstheme="minorHAnsi"/>
                </w:rPr>
                <w:t>https://www.cancer.org.au/assets/pdf/guidelines-lung-cancer</w:t>
              </w:r>
            </w:hyperlink>
          </w:p>
        </w:tc>
        <w:tc>
          <w:tcPr>
            <w:tcW w:w="1417" w:type="dxa"/>
          </w:tcPr>
          <w:p w14:paraId="510C3F5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Initial version endorsed by NHMRC</w:t>
            </w:r>
          </w:p>
        </w:tc>
        <w:tc>
          <w:tcPr>
            <w:tcW w:w="1560" w:type="dxa"/>
          </w:tcPr>
          <w:p w14:paraId="5DE5E6E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57D936DD"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w:t>
            </w:r>
          </w:p>
          <w:p w14:paraId="431AA68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w:t>
            </w:r>
            <w:r>
              <w:rPr>
                <w:rFonts w:asciiTheme="minorHAnsi" w:hAnsiTheme="minorHAnsi" w:cstheme="minorHAnsi"/>
              </w:rPr>
              <w:t>Ge</w:t>
            </w:r>
            <w:r w:rsidRPr="00640161">
              <w:rPr>
                <w:rFonts w:asciiTheme="minorHAnsi" w:hAnsiTheme="minorHAnsi" w:cstheme="minorHAnsi"/>
              </w:rPr>
              <w:t>nder”</w:t>
            </w:r>
            <w:r w:rsidRPr="00640161">
              <w:rPr>
                <w:rFonts w:asciiTheme="minorHAnsi" w:hAnsiTheme="minorHAnsi" w:cstheme="minorHAnsi"/>
                <w:spacing w:val="-13"/>
              </w:rPr>
              <w:t xml:space="preserve"> </w:t>
            </w:r>
            <w:r w:rsidRPr="00640161">
              <w:rPr>
                <w:rFonts w:asciiTheme="minorHAnsi" w:hAnsiTheme="minorHAnsi" w:cstheme="minorHAnsi"/>
              </w:rPr>
              <w:t xml:space="preserve">used </w:t>
            </w:r>
            <w:r>
              <w:rPr>
                <w:rFonts w:asciiTheme="minorHAnsi" w:hAnsiTheme="minorHAnsi" w:cstheme="minorHAnsi"/>
                <w:spacing w:val="-2"/>
              </w:rPr>
              <w:t>for “sex”</w:t>
            </w:r>
            <w:r w:rsidRPr="00640161">
              <w:rPr>
                <w:rFonts w:asciiTheme="minorHAnsi" w:hAnsiTheme="minorHAnsi" w:cstheme="minorHAnsi"/>
                <w:spacing w:val="-2"/>
              </w:rPr>
              <w:t>.</w:t>
            </w:r>
            <w:r>
              <w:rPr>
                <w:rFonts w:asciiTheme="minorHAnsi" w:hAnsiTheme="minorHAnsi" w:cstheme="minorHAnsi"/>
                <w:spacing w:val="-2"/>
              </w:rPr>
              <w:t xml:space="preserve"> “Women” &amp; “men” used.</w:t>
            </w:r>
          </w:p>
        </w:tc>
        <w:tc>
          <w:tcPr>
            <w:tcW w:w="1984" w:type="dxa"/>
          </w:tcPr>
          <w:p w14:paraId="70739EF9"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 prevalence. Sex-related</w:t>
            </w:r>
            <w:r w:rsidRPr="00640161">
              <w:rPr>
                <w:rFonts w:asciiTheme="minorHAnsi" w:hAnsiTheme="minorHAnsi" w:cstheme="minorHAnsi"/>
                <w:spacing w:val="-13"/>
              </w:rPr>
              <w:t xml:space="preserve"> </w:t>
            </w:r>
            <w:r w:rsidRPr="00640161">
              <w:rPr>
                <w:rFonts w:asciiTheme="minorHAnsi" w:hAnsiTheme="minorHAnsi" w:cstheme="minorHAnsi"/>
              </w:rPr>
              <w:t xml:space="preserve">psychotherapy </w:t>
            </w:r>
            <w:r w:rsidRPr="00640161">
              <w:rPr>
                <w:rFonts w:asciiTheme="minorHAnsi" w:hAnsiTheme="minorHAnsi" w:cstheme="minorHAnsi"/>
                <w:spacing w:val="-2"/>
              </w:rPr>
              <w:t>intervention.</w:t>
            </w:r>
          </w:p>
        </w:tc>
        <w:tc>
          <w:tcPr>
            <w:tcW w:w="1843" w:type="dxa"/>
          </w:tcPr>
          <w:p w14:paraId="1EA6A20E"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79A3C6A1"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 xml:space="preserve">Cancer Council Australia guidelines </w:t>
            </w:r>
            <w:proofErr w:type="gramStart"/>
            <w:r>
              <w:rPr>
                <w:rFonts w:asciiTheme="minorHAnsi" w:hAnsiTheme="minorHAnsi" w:cstheme="minorHAnsi"/>
              </w:rPr>
              <w:t>method;</w:t>
            </w:r>
            <w:proofErr w:type="gramEnd"/>
          </w:p>
          <w:p w14:paraId="1B07FCA3"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consensus.</w:t>
            </w:r>
          </w:p>
        </w:tc>
      </w:tr>
      <w:tr w:rsidR="00094656" w:rsidRPr="00640161" w14:paraId="30DD793A" w14:textId="77777777" w:rsidTr="0067273F">
        <w:trPr>
          <w:cantSplit/>
        </w:trPr>
        <w:tc>
          <w:tcPr>
            <w:tcW w:w="1575" w:type="dxa"/>
          </w:tcPr>
          <w:p w14:paraId="1CC61333"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75DB4C30" w14:textId="77777777" w:rsidR="00094656" w:rsidRPr="00640161" w:rsidRDefault="00094656" w:rsidP="0067273F">
            <w:pPr>
              <w:pStyle w:val="TableParagraph"/>
              <w:keepNext/>
              <w:keepLines/>
              <w:widowControl/>
              <w:ind w:right="97"/>
              <w:rPr>
                <w:rFonts w:asciiTheme="minorHAnsi" w:hAnsiTheme="minorHAnsi" w:cstheme="minorHAnsi"/>
              </w:rPr>
            </w:pPr>
            <w:r w:rsidRPr="008F074B">
              <w:rPr>
                <w:rFonts w:asciiTheme="minorHAnsi" w:hAnsiTheme="minorHAnsi" w:cstheme="minorHAnsi"/>
              </w:rPr>
              <w:t>Clinical</w:t>
            </w:r>
            <w:r w:rsidRPr="008F074B">
              <w:rPr>
                <w:rFonts w:asciiTheme="minorHAnsi" w:hAnsiTheme="minorHAnsi" w:cstheme="minorHAnsi"/>
                <w:spacing w:val="-10"/>
              </w:rPr>
              <w:t xml:space="preserve"> </w:t>
            </w:r>
            <w:r w:rsidRPr="008F074B">
              <w:rPr>
                <w:rFonts w:asciiTheme="minorHAnsi" w:hAnsiTheme="minorHAnsi" w:cstheme="minorHAnsi"/>
              </w:rPr>
              <w:t>practice</w:t>
            </w:r>
            <w:r w:rsidRPr="008F074B">
              <w:rPr>
                <w:rFonts w:asciiTheme="minorHAnsi" w:hAnsiTheme="minorHAnsi" w:cstheme="minorHAnsi"/>
                <w:spacing w:val="-10"/>
              </w:rPr>
              <w:t xml:space="preserve"> </w:t>
            </w:r>
            <w:r w:rsidRPr="008F074B">
              <w:rPr>
                <w:rFonts w:asciiTheme="minorHAnsi" w:hAnsiTheme="minorHAnsi" w:cstheme="minorHAnsi"/>
              </w:rPr>
              <w:t>guidelines</w:t>
            </w:r>
            <w:r w:rsidRPr="008F074B">
              <w:rPr>
                <w:rFonts w:asciiTheme="minorHAnsi" w:hAnsiTheme="minorHAnsi" w:cstheme="minorHAnsi"/>
                <w:spacing w:val="-10"/>
              </w:rPr>
              <w:t xml:space="preserve"> </w:t>
            </w:r>
            <w:r w:rsidRPr="008F074B">
              <w:rPr>
                <w:rFonts w:asciiTheme="minorHAnsi" w:hAnsiTheme="minorHAnsi" w:cstheme="minorHAnsi"/>
              </w:rPr>
              <w:t>for</w:t>
            </w:r>
            <w:r w:rsidRPr="008F074B">
              <w:rPr>
                <w:rFonts w:asciiTheme="minorHAnsi" w:hAnsiTheme="minorHAnsi" w:cstheme="minorHAnsi"/>
                <w:spacing w:val="-10"/>
              </w:rPr>
              <w:t xml:space="preserve"> </w:t>
            </w:r>
            <w:r w:rsidRPr="008F074B">
              <w:rPr>
                <w:rFonts w:asciiTheme="minorHAnsi" w:hAnsiTheme="minorHAnsi" w:cstheme="minorHAnsi"/>
              </w:rPr>
              <w:t>the diagnosis and management of melanoma, 2021</w:t>
            </w:r>
          </w:p>
          <w:p w14:paraId="7906C445" w14:textId="77777777" w:rsidR="00094656" w:rsidRPr="00640161" w:rsidRDefault="00094656" w:rsidP="0067273F">
            <w:pPr>
              <w:pStyle w:val="TableParagraph"/>
              <w:keepNext/>
              <w:keepLines/>
              <w:widowControl/>
              <w:ind w:left="0"/>
              <w:rPr>
                <w:rFonts w:asciiTheme="minorHAnsi" w:hAnsiTheme="minorHAnsi" w:cstheme="minorHAnsi"/>
                <w:b/>
              </w:rPr>
            </w:pPr>
          </w:p>
          <w:p w14:paraId="13A48E6B" w14:textId="77777777" w:rsidR="00094656" w:rsidRPr="00640161" w:rsidRDefault="00094656" w:rsidP="0067273F">
            <w:pPr>
              <w:pStyle w:val="TableParagraph"/>
              <w:ind w:right="97"/>
              <w:rPr>
                <w:rFonts w:asciiTheme="minorHAnsi" w:hAnsiTheme="minorHAnsi" w:cstheme="minorHAnsi"/>
                <w:spacing w:val="-2"/>
              </w:rPr>
            </w:pPr>
            <w:r w:rsidRPr="00640161">
              <w:rPr>
                <w:rFonts w:asciiTheme="minorHAnsi" w:hAnsiTheme="minorHAnsi" w:cstheme="minorHAnsi"/>
                <w:spacing w:val="-2"/>
              </w:rPr>
              <w:t>https://wiki.cancer.org.au/australia/Guidelines:Melanoma</w:t>
            </w:r>
          </w:p>
        </w:tc>
        <w:tc>
          <w:tcPr>
            <w:tcW w:w="1417" w:type="dxa"/>
          </w:tcPr>
          <w:p w14:paraId="2AF86262"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Original version endorsed by NHMRC</w:t>
            </w:r>
          </w:p>
        </w:tc>
        <w:tc>
          <w:tcPr>
            <w:tcW w:w="1560" w:type="dxa"/>
          </w:tcPr>
          <w:p w14:paraId="15E3165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43DC6E5B"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w:t>
            </w:r>
          </w:p>
          <w:p w14:paraId="7A826ABA"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“gender”</w:t>
            </w:r>
            <w:r w:rsidRPr="00640161">
              <w:rPr>
                <w:rFonts w:asciiTheme="minorHAnsi" w:hAnsiTheme="minorHAnsi" w:cstheme="minorHAnsi"/>
                <w:spacing w:val="-13"/>
              </w:rPr>
              <w:t xml:space="preserve"> </w:t>
            </w:r>
            <w:r w:rsidRPr="00640161">
              <w:rPr>
                <w:rFonts w:asciiTheme="minorHAnsi" w:hAnsiTheme="minorHAnsi" w:cstheme="minorHAnsi"/>
              </w:rPr>
              <w:t xml:space="preserve">used </w:t>
            </w:r>
            <w:r w:rsidRPr="00640161">
              <w:rPr>
                <w:rFonts w:asciiTheme="minorHAnsi" w:hAnsiTheme="minorHAnsi" w:cstheme="minorHAnsi"/>
                <w:spacing w:val="-2"/>
              </w:rPr>
              <w:t>interchangeably.</w:t>
            </w:r>
          </w:p>
        </w:tc>
        <w:tc>
          <w:tcPr>
            <w:tcW w:w="1984" w:type="dxa"/>
          </w:tcPr>
          <w:p w14:paraId="78456152"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 xml:space="preserve">Sex-related </w:t>
            </w:r>
            <w:r>
              <w:rPr>
                <w:rFonts w:asciiTheme="minorHAnsi" w:hAnsiTheme="minorHAnsi" w:cstheme="minorHAnsi"/>
              </w:rPr>
              <w:t xml:space="preserve">risk factors, </w:t>
            </w:r>
            <w:r w:rsidRPr="00640161">
              <w:rPr>
                <w:rFonts w:asciiTheme="minorHAnsi" w:hAnsiTheme="minorHAnsi" w:cstheme="minorHAnsi"/>
              </w:rPr>
              <w:t>prevalence, diagnosis,</w:t>
            </w:r>
            <w:r w:rsidRPr="00640161">
              <w:rPr>
                <w:rFonts w:asciiTheme="minorHAnsi" w:hAnsiTheme="minorHAnsi" w:cstheme="minorHAnsi"/>
                <w:spacing w:val="-13"/>
              </w:rPr>
              <w:t xml:space="preserve"> </w:t>
            </w:r>
            <w:r w:rsidRPr="00640161">
              <w:rPr>
                <w:rFonts w:asciiTheme="minorHAnsi" w:hAnsiTheme="minorHAnsi" w:cstheme="minorHAnsi"/>
              </w:rPr>
              <w:t>management.</w:t>
            </w:r>
          </w:p>
        </w:tc>
        <w:tc>
          <w:tcPr>
            <w:tcW w:w="1843" w:type="dxa"/>
          </w:tcPr>
          <w:p w14:paraId="18B37B75"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893E3F0"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 xml:space="preserve">Cancer Council Australia guidelines </w:t>
            </w:r>
            <w:proofErr w:type="gramStart"/>
            <w:r>
              <w:rPr>
                <w:rFonts w:asciiTheme="minorHAnsi" w:hAnsiTheme="minorHAnsi" w:cstheme="minorHAnsi"/>
              </w:rPr>
              <w:t>method;</w:t>
            </w:r>
            <w:proofErr w:type="gramEnd"/>
          </w:p>
          <w:p w14:paraId="1C9C3D04"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consensus.</w:t>
            </w:r>
          </w:p>
        </w:tc>
      </w:tr>
      <w:tr w:rsidR="00094656" w:rsidRPr="00640161" w14:paraId="43A836D2" w14:textId="77777777" w:rsidTr="0067273F">
        <w:trPr>
          <w:cantSplit/>
        </w:trPr>
        <w:tc>
          <w:tcPr>
            <w:tcW w:w="1575" w:type="dxa"/>
          </w:tcPr>
          <w:p w14:paraId="3B807771"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4A730DEE"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Clinical practice guidelines for hepatocellular carcinoma (HCC) surveillance</w:t>
            </w:r>
            <w:r w:rsidRPr="00640161">
              <w:rPr>
                <w:rFonts w:asciiTheme="minorHAnsi" w:hAnsiTheme="minorHAnsi" w:cstheme="minorHAnsi"/>
                <w:spacing w:val="-6"/>
              </w:rPr>
              <w:t xml:space="preserve"> </w:t>
            </w:r>
            <w:r w:rsidRPr="00640161">
              <w:rPr>
                <w:rFonts w:asciiTheme="minorHAnsi" w:hAnsiTheme="minorHAnsi" w:cstheme="minorHAnsi"/>
              </w:rPr>
              <w:t>for</w:t>
            </w:r>
            <w:r w:rsidRPr="00640161">
              <w:rPr>
                <w:rFonts w:asciiTheme="minorHAnsi" w:hAnsiTheme="minorHAnsi" w:cstheme="minorHAnsi"/>
                <w:spacing w:val="-6"/>
              </w:rPr>
              <w:t xml:space="preserve"> </w:t>
            </w:r>
            <w:r w:rsidRPr="00640161">
              <w:rPr>
                <w:rFonts w:asciiTheme="minorHAnsi" w:hAnsiTheme="minorHAnsi" w:cstheme="minorHAnsi"/>
              </w:rPr>
              <w:t>people</w:t>
            </w:r>
            <w:r w:rsidRPr="00640161">
              <w:rPr>
                <w:rFonts w:asciiTheme="minorHAnsi" w:hAnsiTheme="minorHAnsi" w:cstheme="minorHAnsi"/>
                <w:spacing w:val="-6"/>
              </w:rPr>
              <w:t xml:space="preserve"> </w:t>
            </w:r>
            <w:r w:rsidRPr="00640161">
              <w:rPr>
                <w:rFonts w:asciiTheme="minorHAnsi" w:hAnsiTheme="minorHAnsi" w:cstheme="minorHAnsi"/>
              </w:rPr>
              <w:t>at</w:t>
            </w:r>
            <w:r w:rsidRPr="00640161">
              <w:rPr>
                <w:rFonts w:asciiTheme="minorHAnsi" w:hAnsiTheme="minorHAnsi" w:cstheme="minorHAnsi"/>
                <w:spacing w:val="-6"/>
              </w:rPr>
              <w:t xml:space="preserve"> </w:t>
            </w:r>
            <w:r w:rsidRPr="00640161">
              <w:rPr>
                <w:rFonts w:asciiTheme="minorHAnsi" w:hAnsiTheme="minorHAnsi" w:cstheme="minorHAnsi"/>
              </w:rPr>
              <w:t>high</w:t>
            </w:r>
            <w:r w:rsidRPr="00640161">
              <w:rPr>
                <w:rFonts w:asciiTheme="minorHAnsi" w:hAnsiTheme="minorHAnsi" w:cstheme="minorHAnsi"/>
                <w:spacing w:val="-6"/>
              </w:rPr>
              <w:t xml:space="preserve"> </w:t>
            </w:r>
            <w:r w:rsidRPr="00640161">
              <w:rPr>
                <w:rFonts w:asciiTheme="minorHAnsi" w:hAnsiTheme="minorHAnsi" w:cstheme="minorHAnsi"/>
              </w:rPr>
              <w:t>risk</w:t>
            </w:r>
            <w:r w:rsidRPr="00640161">
              <w:rPr>
                <w:rFonts w:asciiTheme="minorHAnsi" w:hAnsiTheme="minorHAnsi" w:cstheme="minorHAnsi"/>
                <w:spacing w:val="-6"/>
              </w:rPr>
              <w:t xml:space="preserve"> </w:t>
            </w:r>
            <w:r w:rsidRPr="00640161">
              <w:rPr>
                <w:rFonts w:asciiTheme="minorHAnsi" w:hAnsiTheme="minorHAnsi" w:cstheme="minorHAnsi"/>
              </w:rPr>
              <w:t>in Australia, 2023</w:t>
            </w:r>
          </w:p>
          <w:p w14:paraId="3AEA422C" w14:textId="77777777" w:rsidR="00094656" w:rsidRPr="00640161" w:rsidRDefault="00094656" w:rsidP="0067273F">
            <w:pPr>
              <w:pStyle w:val="TableParagraph"/>
              <w:spacing w:before="4"/>
              <w:ind w:left="0"/>
              <w:rPr>
                <w:rFonts w:asciiTheme="minorHAnsi" w:hAnsiTheme="minorHAnsi" w:cstheme="minorHAnsi"/>
                <w:b/>
              </w:rPr>
            </w:pPr>
          </w:p>
          <w:p w14:paraId="47F95C3D" w14:textId="77777777" w:rsidR="00094656" w:rsidRPr="00640161" w:rsidRDefault="00094656" w:rsidP="0067273F">
            <w:pPr>
              <w:pStyle w:val="TableParagraph"/>
              <w:keepNext/>
              <w:keepLines/>
              <w:widowControl/>
              <w:ind w:right="97"/>
              <w:rPr>
                <w:rFonts w:asciiTheme="minorHAnsi" w:hAnsiTheme="minorHAnsi" w:cstheme="minorHAnsi"/>
                <w:spacing w:val="-4"/>
              </w:rPr>
            </w:pPr>
            <w:hyperlink r:id="rId26" w:anchor="/guideline/7 585" w:history="1">
              <w:r w:rsidRPr="00640161">
                <w:rPr>
                  <w:rStyle w:val="Hyperlink"/>
                  <w:rFonts w:asciiTheme="minorHAnsi" w:hAnsiTheme="minorHAnsi" w:cstheme="minorHAnsi"/>
                  <w:spacing w:val="-2"/>
                </w:rPr>
                <w:t xml:space="preserve">https://app.magicapp.org/#/guideline/7 </w:t>
              </w:r>
              <w:r w:rsidRPr="00640161">
                <w:rPr>
                  <w:rStyle w:val="Hyperlink"/>
                  <w:rFonts w:asciiTheme="minorHAnsi" w:hAnsiTheme="minorHAnsi" w:cstheme="minorHAnsi"/>
                  <w:spacing w:val="-4"/>
                </w:rPr>
                <w:t>585</w:t>
              </w:r>
            </w:hyperlink>
          </w:p>
        </w:tc>
        <w:tc>
          <w:tcPr>
            <w:tcW w:w="1417" w:type="dxa"/>
          </w:tcPr>
          <w:p w14:paraId="44546A3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Approved</w:t>
            </w:r>
            <w:r w:rsidRPr="00640161">
              <w:rPr>
                <w:rFonts w:asciiTheme="minorHAnsi" w:hAnsiTheme="minorHAnsi" w:cstheme="minorHAnsi"/>
                <w:spacing w:val="-10"/>
              </w:rPr>
              <w:t xml:space="preserve"> </w:t>
            </w:r>
            <w:r w:rsidRPr="00640161">
              <w:rPr>
                <w:rFonts w:asciiTheme="minorHAnsi" w:hAnsiTheme="minorHAnsi" w:cstheme="minorHAnsi"/>
              </w:rPr>
              <w:t>by</w:t>
            </w:r>
            <w:r w:rsidRPr="00640161">
              <w:rPr>
                <w:rFonts w:asciiTheme="minorHAnsi" w:hAnsiTheme="minorHAnsi" w:cstheme="minorHAnsi"/>
                <w:spacing w:val="-10"/>
              </w:rPr>
              <w:t xml:space="preserve"> </w:t>
            </w:r>
            <w:r w:rsidRPr="00640161">
              <w:rPr>
                <w:rFonts w:asciiTheme="minorHAnsi" w:hAnsiTheme="minorHAnsi" w:cstheme="minorHAnsi"/>
              </w:rPr>
              <w:t>NHMRC</w:t>
            </w:r>
          </w:p>
          <w:p w14:paraId="757BF348"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Endorsed</w:t>
            </w:r>
            <w:r w:rsidRPr="00640161">
              <w:rPr>
                <w:rFonts w:asciiTheme="minorHAnsi" w:hAnsiTheme="minorHAnsi" w:cstheme="minorHAnsi"/>
                <w:spacing w:val="-10"/>
              </w:rPr>
              <w:t xml:space="preserve"> </w:t>
            </w:r>
            <w:r w:rsidRPr="00640161">
              <w:rPr>
                <w:rFonts w:asciiTheme="minorHAnsi" w:hAnsiTheme="minorHAnsi" w:cstheme="minorHAnsi"/>
              </w:rPr>
              <w:t xml:space="preserve">by </w:t>
            </w:r>
            <w:r w:rsidRPr="00640161">
              <w:rPr>
                <w:rFonts w:asciiTheme="minorHAnsi" w:hAnsiTheme="minorHAnsi" w:cstheme="minorHAnsi"/>
                <w:spacing w:val="-2"/>
              </w:rPr>
              <w:t>RACGP</w:t>
            </w:r>
          </w:p>
        </w:tc>
        <w:tc>
          <w:tcPr>
            <w:tcW w:w="1560" w:type="dxa"/>
          </w:tcPr>
          <w:p w14:paraId="2F31048C"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06883E36"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Refer to “gender identities”, undefined, as part of sensitive care in general. Otherwise, gender = sex.</w:t>
            </w:r>
          </w:p>
          <w:p w14:paraId="33C75ECE" w14:textId="77777777" w:rsidR="00094656" w:rsidRPr="00640161" w:rsidRDefault="00094656" w:rsidP="0067273F">
            <w:pPr>
              <w:pStyle w:val="TableParagraph"/>
              <w:ind w:left="108" w:right="96"/>
              <w:rPr>
                <w:rFonts w:asciiTheme="minorHAnsi" w:hAnsiTheme="minorHAnsi" w:cstheme="minorHAnsi"/>
              </w:rPr>
            </w:pPr>
          </w:p>
        </w:tc>
        <w:tc>
          <w:tcPr>
            <w:tcW w:w="1984" w:type="dxa"/>
          </w:tcPr>
          <w:p w14:paraId="028CDFBA"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HCC</w:t>
            </w:r>
            <w:r w:rsidRPr="00640161">
              <w:rPr>
                <w:rFonts w:asciiTheme="minorHAnsi" w:hAnsiTheme="minorHAnsi" w:cstheme="minorHAnsi"/>
                <w:spacing w:val="-12"/>
              </w:rPr>
              <w:t xml:space="preserve"> </w:t>
            </w:r>
            <w:r w:rsidRPr="00640161">
              <w:rPr>
                <w:rFonts w:asciiTheme="minorHAnsi" w:hAnsiTheme="minorHAnsi" w:cstheme="minorHAnsi"/>
              </w:rPr>
              <w:t>surveillance</w:t>
            </w:r>
            <w:r w:rsidRPr="00640161">
              <w:rPr>
                <w:rFonts w:asciiTheme="minorHAnsi" w:hAnsiTheme="minorHAnsi" w:cstheme="minorHAnsi"/>
                <w:spacing w:val="-13"/>
              </w:rPr>
              <w:t xml:space="preserve"> </w:t>
            </w:r>
            <w:r w:rsidRPr="00640161">
              <w:rPr>
                <w:rFonts w:asciiTheme="minorHAnsi" w:hAnsiTheme="minorHAnsi" w:cstheme="minorHAnsi"/>
              </w:rPr>
              <w:t>for people of Asia-Pacific &amp; Sub- Saharan</w:t>
            </w:r>
            <w:r w:rsidRPr="00640161">
              <w:rPr>
                <w:rFonts w:asciiTheme="minorHAnsi" w:hAnsiTheme="minorHAnsi" w:cstheme="minorHAnsi"/>
                <w:spacing w:val="-13"/>
              </w:rPr>
              <w:t xml:space="preserve"> </w:t>
            </w:r>
            <w:r w:rsidRPr="00640161">
              <w:rPr>
                <w:rFonts w:asciiTheme="minorHAnsi" w:hAnsiTheme="minorHAnsi" w:cstheme="minorHAnsi"/>
              </w:rPr>
              <w:t>background;</w:t>
            </w:r>
            <w:r w:rsidRPr="00640161">
              <w:rPr>
                <w:rFonts w:asciiTheme="minorHAnsi" w:hAnsiTheme="minorHAnsi" w:cstheme="minorHAnsi"/>
                <w:spacing w:val="-12"/>
              </w:rPr>
              <w:t xml:space="preserve"> </w:t>
            </w:r>
            <w:r w:rsidRPr="00640161">
              <w:rPr>
                <w:rFonts w:asciiTheme="minorHAnsi" w:hAnsiTheme="minorHAnsi" w:cstheme="minorHAnsi"/>
              </w:rPr>
              <w:t xml:space="preserve">treatment </w:t>
            </w:r>
            <w:r w:rsidRPr="00640161">
              <w:rPr>
                <w:rFonts w:asciiTheme="minorHAnsi" w:hAnsiTheme="minorHAnsi" w:cstheme="minorHAnsi"/>
                <w:spacing w:val="-2"/>
              </w:rPr>
              <w:t>recommendations.</w:t>
            </w:r>
          </w:p>
        </w:tc>
        <w:tc>
          <w:tcPr>
            <w:tcW w:w="1843" w:type="dxa"/>
          </w:tcPr>
          <w:p w14:paraId="716FA2B5"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2C1E62D"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2F6E205E" w14:textId="77777777" w:rsidTr="0067273F">
        <w:trPr>
          <w:cantSplit/>
        </w:trPr>
        <w:tc>
          <w:tcPr>
            <w:tcW w:w="1575" w:type="dxa"/>
          </w:tcPr>
          <w:p w14:paraId="274BF467"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27EBCC4A" w14:textId="77777777" w:rsidR="00094656" w:rsidRPr="00640161" w:rsidRDefault="00094656" w:rsidP="0067273F">
            <w:pPr>
              <w:pStyle w:val="TableParagraph"/>
              <w:ind w:right="97"/>
              <w:rPr>
                <w:rFonts w:asciiTheme="minorHAnsi" w:hAnsiTheme="minorHAnsi" w:cstheme="minorHAnsi"/>
              </w:rPr>
            </w:pPr>
            <w:r w:rsidRPr="00295E68">
              <w:rPr>
                <w:rFonts w:asciiTheme="minorHAnsi" w:hAnsiTheme="minorHAnsi" w:cstheme="minorHAnsi"/>
              </w:rPr>
              <w:t>Clinical practice guidelines for the prevention, early detection and management</w:t>
            </w:r>
            <w:r w:rsidRPr="00295E68">
              <w:rPr>
                <w:rFonts w:asciiTheme="minorHAnsi" w:hAnsiTheme="minorHAnsi" w:cstheme="minorHAnsi"/>
                <w:spacing w:val="-10"/>
              </w:rPr>
              <w:t xml:space="preserve"> </w:t>
            </w:r>
            <w:r w:rsidRPr="00295E68">
              <w:rPr>
                <w:rFonts w:asciiTheme="minorHAnsi" w:hAnsiTheme="minorHAnsi" w:cstheme="minorHAnsi"/>
              </w:rPr>
              <w:t>of</w:t>
            </w:r>
            <w:r w:rsidRPr="00295E68">
              <w:rPr>
                <w:rFonts w:asciiTheme="minorHAnsi" w:hAnsiTheme="minorHAnsi" w:cstheme="minorHAnsi"/>
                <w:spacing w:val="-10"/>
              </w:rPr>
              <w:t xml:space="preserve"> </w:t>
            </w:r>
            <w:r w:rsidRPr="00295E68">
              <w:rPr>
                <w:rFonts w:asciiTheme="minorHAnsi" w:hAnsiTheme="minorHAnsi" w:cstheme="minorHAnsi"/>
              </w:rPr>
              <w:t>colorectal</w:t>
            </w:r>
            <w:r w:rsidRPr="00295E68">
              <w:rPr>
                <w:rFonts w:asciiTheme="minorHAnsi" w:hAnsiTheme="minorHAnsi" w:cstheme="minorHAnsi"/>
                <w:spacing w:val="-10"/>
              </w:rPr>
              <w:t xml:space="preserve"> </w:t>
            </w:r>
            <w:r w:rsidRPr="00295E68">
              <w:rPr>
                <w:rFonts w:asciiTheme="minorHAnsi" w:hAnsiTheme="minorHAnsi" w:cstheme="minorHAnsi"/>
              </w:rPr>
              <w:t>cancer,</w:t>
            </w:r>
            <w:r>
              <w:rPr>
                <w:rFonts w:asciiTheme="minorHAnsi" w:hAnsiTheme="minorHAnsi" w:cstheme="minorHAnsi"/>
              </w:rPr>
              <w:t xml:space="preserve"> 2017; wiki updates </w:t>
            </w:r>
            <w:r w:rsidRPr="00295E68">
              <w:rPr>
                <w:rFonts w:asciiTheme="minorHAnsi" w:hAnsiTheme="minorHAnsi" w:cstheme="minorHAnsi"/>
              </w:rPr>
              <w:t>2023</w:t>
            </w:r>
          </w:p>
          <w:p w14:paraId="1C09078E" w14:textId="77777777" w:rsidR="00094656" w:rsidRPr="00640161" w:rsidRDefault="00094656" w:rsidP="0067273F">
            <w:pPr>
              <w:pStyle w:val="TableParagraph"/>
              <w:ind w:left="0"/>
              <w:rPr>
                <w:rFonts w:asciiTheme="minorHAnsi" w:hAnsiTheme="minorHAnsi" w:cstheme="minorHAnsi"/>
                <w:b/>
              </w:rPr>
            </w:pPr>
          </w:p>
          <w:p w14:paraId="21738FCE" w14:textId="77777777" w:rsidR="00094656" w:rsidRPr="00640161" w:rsidRDefault="00094656" w:rsidP="0067273F">
            <w:pPr>
              <w:pStyle w:val="TableParagraph"/>
              <w:spacing w:before="0"/>
              <w:ind w:left="108" w:right="96"/>
              <w:rPr>
                <w:rFonts w:asciiTheme="minorHAnsi" w:hAnsiTheme="minorHAnsi" w:cstheme="minorHAnsi"/>
                <w:spacing w:val="-2"/>
              </w:rPr>
            </w:pPr>
            <w:r w:rsidRPr="009276EB">
              <w:rPr>
                <w:rFonts w:asciiTheme="minorHAnsi" w:hAnsiTheme="minorHAnsi" w:cstheme="minorHAnsi"/>
                <w:spacing w:val="-2"/>
              </w:rPr>
              <w:t>https://www.cancer.org.au/clinical-guidelines/bowel-cancer/colorectal-cancer</w:t>
            </w:r>
            <w:r>
              <w:rPr>
                <w:rStyle w:val="Hyperlink"/>
                <w:rFonts w:asciiTheme="minorHAnsi" w:hAnsiTheme="minorHAnsi" w:cstheme="minorHAnsi"/>
                <w:spacing w:val="-2"/>
              </w:rPr>
              <w:t xml:space="preserve"> </w:t>
            </w:r>
          </w:p>
        </w:tc>
        <w:tc>
          <w:tcPr>
            <w:tcW w:w="1417" w:type="dxa"/>
          </w:tcPr>
          <w:p w14:paraId="696094AB"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NHMRC</w:t>
            </w:r>
          </w:p>
        </w:tc>
        <w:tc>
          <w:tcPr>
            <w:tcW w:w="1560" w:type="dxa"/>
          </w:tcPr>
          <w:p w14:paraId="3934653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2A1C1446"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w:t>
            </w:r>
          </w:p>
          <w:p w14:paraId="12428FBC"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“gender”</w:t>
            </w:r>
            <w:r w:rsidRPr="00640161">
              <w:rPr>
                <w:rFonts w:asciiTheme="minorHAnsi" w:hAnsiTheme="minorHAnsi" w:cstheme="minorHAnsi"/>
                <w:spacing w:val="-13"/>
              </w:rPr>
              <w:t xml:space="preserve"> </w:t>
            </w:r>
            <w:r w:rsidRPr="00640161">
              <w:rPr>
                <w:rFonts w:asciiTheme="minorHAnsi" w:hAnsiTheme="minorHAnsi" w:cstheme="minorHAnsi"/>
              </w:rPr>
              <w:t xml:space="preserve">used </w:t>
            </w:r>
            <w:r w:rsidRPr="00640161">
              <w:rPr>
                <w:rFonts w:asciiTheme="minorHAnsi" w:hAnsiTheme="minorHAnsi" w:cstheme="minorHAnsi"/>
                <w:spacing w:val="-2"/>
              </w:rPr>
              <w:t>interchangeably</w:t>
            </w:r>
            <w:r>
              <w:rPr>
                <w:rFonts w:asciiTheme="minorHAnsi" w:hAnsiTheme="minorHAnsi" w:cstheme="minorHAnsi"/>
                <w:spacing w:val="-2"/>
              </w:rPr>
              <w:t xml:space="preserve"> to mean sex</w:t>
            </w:r>
            <w:r w:rsidRPr="00640161">
              <w:rPr>
                <w:rFonts w:asciiTheme="minorHAnsi" w:hAnsiTheme="minorHAnsi" w:cstheme="minorHAnsi"/>
                <w:spacing w:val="-2"/>
              </w:rPr>
              <w:t>.</w:t>
            </w:r>
          </w:p>
        </w:tc>
        <w:tc>
          <w:tcPr>
            <w:tcW w:w="1984" w:type="dxa"/>
          </w:tcPr>
          <w:p w14:paraId="1E90CBA8"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screening</w:t>
            </w:r>
            <w:r w:rsidRPr="00640161">
              <w:rPr>
                <w:rFonts w:asciiTheme="minorHAnsi" w:hAnsiTheme="minorHAnsi" w:cstheme="minorHAnsi"/>
                <w:spacing w:val="-12"/>
              </w:rPr>
              <w:t xml:space="preserve"> </w:t>
            </w:r>
            <w:r w:rsidRPr="00640161">
              <w:rPr>
                <w:rFonts w:asciiTheme="minorHAnsi" w:hAnsiTheme="minorHAnsi" w:cstheme="minorHAnsi"/>
              </w:rPr>
              <w:t xml:space="preserve">&amp; </w:t>
            </w:r>
            <w:r w:rsidRPr="00640161">
              <w:rPr>
                <w:rFonts w:asciiTheme="minorHAnsi" w:hAnsiTheme="minorHAnsi" w:cstheme="minorHAnsi"/>
                <w:spacing w:val="-2"/>
              </w:rPr>
              <w:t>prevalence.</w:t>
            </w:r>
          </w:p>
        </w:tc>
        <w:tc>
          <w:tcPr>
            <w:tcW w:w="1843" w:type="dxa"/>
          </w:tcPr>
          <w:p w14:paraId="33E1B3E3"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74BEECB8"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 xml:space="preserve">Cancer Council Australia guidelines </w:t>
            </w:r>
            <w:proofErr w:type="gramStart"/>
            <w:r>
              <w:rPr>
                <w:rFonts w:asciiTheme="minorHAnsi" w:hAnsiTheme="minorHAnsi" w:cstheme="minorHAnsi"/>
              </w:rPr>
              <w:t>method;</w:t>
            </w:r>
            <w:proofErr w:type="gramEnd"/>
          </w:p>
          <w:p w14:paraId="5B8C4634"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consensus.</w:t>
            </w:r>
          </w:p>
        </w:tc>
      </w:tr>
      <w:tr w:rsidR="00094656" w:rsidRPr="00640161" w14:paraId="1E95C1DB" w14:textId="77777777" w:rsidTr="0067273F">
        <w:trPr>
          <w:cantSplit/>
        </w:trPr>
        <w:tc>
          <w:tcPr>
            <w:tcW w:w="1575" w:type="dxa"/>
          </w:tcPr>
          <w:p w14:paraId="2EDC8A12"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Cancer</w:t>
            </w:r>
            <w:r w:rsidRPr="00640161">
              <w:rPr>
                <w:rFonts w:asciiTheme="minorHAnsi" w:hAnsiTheme="minorHAnsi" w:cstheme="minorHAnsi"/>
                <w:b/>
                <w:spacing w:val="-13"/>
              </w:rPr>
              <w:t xml:space="preserve"> </w:t>
            </w:r>
            <w:r w:rsidRPr="00640161">
              <w:rPr>
                <w:rFonts w:asciiTheme="minorHAnsi" w:hAnsiTheme="minorHAnsi" w:cstheme="minorHAnsi"/>
                <w:b/>
              </w:rPr>
              <w:t xml:space="preserve">Council </w:t>
            </w:r>
            <w:r w:rsidRPr="00640161">
              <w:rPr>
                <w:rFonts w:asciiTheme="minorHAnsi" w:hAnsiTheme="minorHAnsi" w:cstheme="minorHAnsi"/>
                <w:b/>
                <w:spacing w:val="-2"/>
              </w:rPr>
              <w:t>Australia</w:t>
            </w:r>
          </w:p>
        </w:tc>
        <w:tc>
          <w:tcPr>
            <w:tcW w:w="3119" w:type="dxa"/>
          </w:tcPr>
          <w:p w14:paraId="5DA998CC" w14:textId="77777777" w:rsidR="00094656" w:rsidRPr="003C273C" w:rsidRDefault="00094656" w:rsidP="0067273F">
            <w:pPr>
              <w:pStyle w:val="TableParagraph"/>
              <w:ind w:right="199"/>
              <w:rPr>
                <w:rFonts w:asciiTheme="minorHAnsi" w:hAnsiTheme="minorHAnsi" w:cstheme="minorHAnsi"/>
              </w:rPr>
            </w:pPr>
            <w:r w:rsidRPr="003C273C">
              <w:rPr>
                <w:rFonts w:asciiTheme="minorHAnsi" w:hAnsiTheme="minorHAnsi" w:cstheme="minorHAnsi"/>
              </w:rPr>
              <w:t>Cancer</w:t>
            </w:r>
            <w:r w:rsidRPr="003C273C">
              <w:rPr>
                <w:rFonts w:asciiTheme="minorHAnsi" w:hAnsiTheme="minorHAnsi" w:cstheme="minorHAnsi"/>
                <w:spacing w:val="-10"/>
              </w:rPr>
              <w:t xml:space="preserve"> </w:t>
            </w:r>
            <w:r w:rsidRPr="003C273C">
              <w:rPr>
                <w:rFonts w:asciiTheme="minorHAnsi" w:hAnsiTheme="minorHAnsi" w:cstheme="minorHAnsi"/>
              </w:rPr>
              <w:t>pain</w:t>
            </w:r>
            <w:r w:rsidRPr="003C273C">
              <w:rPr>
                <w:rFonts w:asciiTheme="minorHAnsi" w:hAnsiTheme="minorHAnsi" w:cstheme="minorHAnsi"/>
                <w:spacing w:val="-10"/>
              </w:rPr>
              <w:t xml:space="preserve"> </w:t>
            </w:r>
            <w:r w:rsidRPr="003C273C">
              <w:rPr>
                <w:rFonts w:asciiTheme="minorHAnsi" w:hAnsiTheme="minorHAnsi" w:cstheme="minorHAnsi"/>
              </w:rPr>
              <w:t>management</w:t>
            </w:r>
            <w:r w:rsidRPr="003C273C">
              <w:rPr>
                <w:rFonts w:asciiTheme="minorHAnsi" w:hAnsiTheme="minorHAnsi" w:cstheme="minorHAnsi"/>
                <w:spacing w:val="-10"/>
              </w:rPr>
              <w:t xml:space="preserve"> </w:t>
            </w:r>
            <w:r w:rsidRPr="003C273C">
              <w:rPr>
                <w:rFonts w:asciiTheme="minorHAnsi" w:hAnsiTheme="minorHAnsi" w:cstheme="minorHAnsi"/>
              </w:rPr>
              <w:t>in</w:t>
            </w:r>
            <w:r w:rsidRPr="003C273C">
              <w:rPr>
                <w:rFonts w:asciiTheme="minorHAnsi" w:hAnsiTheme="minorHAnsi" w:cstheme="minorHAnsi"/>
                <w:spacing w:val="-10"/>
              </w:rPr>
              <w:t xml:space="preserve"> </w:t>
            </w:r>
            <w:r w:rsidRPr="003C273C">
              <w:rPr>
                <w:rFonts w:asciiTheme="minorHAnsi" w:hAnsiTheme="minorHAnsi" w:cstheme="minorHAnsi"/>
              </w:rPr>
              <w:t xml:space="preserve">adults, </w:t>
            </w:r>
            <w:r>
              <w:rPr>
                <w:rFonts w:asciiTheme="minorHAnsi" w:hAnsiTheme="minorHAnsi" w:cstheme="minorHAnsi"/>
              </w:rPr>
              <w:t xml:space="preserve">updated </w:t>
            </w:r>
            <w:r w:rsidRPr="003C273C">
              <w:rPr>
                <w:rFonts w:asciiTheme="minorHAnsi" w:hAnsiTheme="minorHAnsi" w:cstheme="minorHAnsi"/>
                <w:spacing w:val="-4"/>
              </w:rPr>
              <w:t>2024</w:t>
            </w:r>
          </w:p>
          <w:p w14:paraId="4E57B628" w14:textId="77777777" w:rsidR="00094656" w:rsidRPr="003C273C" w:rsidRDefault="00094656" w:rsidP="0067273F">
            <w:pPr>
              <w:pStyle w:val="TableParagraph"/>
              <w:ind w:left="0"/>
              <w:rPr>
                <w:rFonts w:asciiTheme="minorHAnsi" w:hAnsiTheme="minorHAnsi" w:cstheme="minorHAnsi"/>
                <w:b/>
              </w:rPr>
            </w:pPr>
          </w:p>
          <w:p w14:paraId="15F3F387" w14:textId="77777777" w:rsidR="00094656" w:rsidRPr="003C273C" w:rsidRDefault="00094656" w:rsidP="0067273F">
            <w:pPr>
              <w:pStyle w:val="TableParagraph"/>
              <w:ind w:left="108" w:right="96"/>
              <w:rPr>
                <w:rFonts w:asciiTheme="minorHAnsi" w:hAnsiTheme="minorHAnsi" w:cstheme="minorHAnsi"/>
              </w:rPr>
            </w:pPr>
            <w:hyperlink r:id="rId27">
              <w:r w:rsidRPr="003C273C">
                <w:rPr>
                  <w:rFonts w:asciiTheme="minorHAnsi" w:hAnsiTheme="minorHAnsi" w:cstheme="minorHAnsi"/>
                  <w:spacing w:val="-2"/>
                </w:rPr>
                <w:t>https://w</w:t>
              </w:r>
            </w:hyperlink>
            <w:proofErr w:type="gramStart"/>
            <w:r w:rsidRPr="003C273C">
              <w:rPr>
                <w:rFonts w:asciiTheme="minorHAnsi" w:hAnsiTheme="minorHAnsi" w:cstheme="minorHAnsi"/>
                <w:spacing w:val="-2"/>
              </w:rPr>
              <w:t>ww.cance</w:t>
            </w:r>
            <w:proofErr w:type="gramEnd"/>
            <w:r>
              <w:fldChar w:fldCharType="begin"/>
            </w:r>
            <w:r>
              <w:instrText>HYPERLINK "http://www.cancer.org.au/assets/pdf/" \h</w:instrText>
            </w:r>
            <w:r>
              <w:fldChar w:fldCharType="separate"/>
            </w:r>
            <w:r w:rsidRPr="003C273C">
              <w:rPr>
                <w:rFonts w:asciiTheme="minorHAnsi" w:hAnsiTheme="minorHAnsi" w:cstheme="minorHAnsi"/>
                <w:spacing w:val="-2"/>
              </w:rPr>
              <w:t>r.org.au/assets/pdf/</w:t>
            </w:r>
            <w:r>
              <w:rPr>
                <w:rFonts w:asciiTheme="minorHAnsi" w:hAnsiTheme="minorHAnsi" w:cstheme="minorHAnsi"/>
                <w:spacing w:val="-2"/>
              </w:rPr>
              <w:fldChar w:fldCharType="end"/>
            </w:r>
            <w:r w:rsidRPr="003C273C">
              <w:rPr>
                <w:rFonts w:asciiTheme="minorHAnsi" w:hAnsiTheme="minorHAnsi" w:cstheme="minorHAnsi"/>
                <w:spacing w:val="-2"/>
              </w:rPr>
              <w:t>cancer-pain-management-in-adults</w:t>
            </w:r>
          </w:p>
        </w:tc>
        <w:tc>
          <w:tcPr>
            <w:tcW w:w="1417" w:type="dxa"/>
          </w:tcPr>
          <w:p w14:paraId="4AD2311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Cancer Council Australia</w:t>
            </w:r>
          </w:p>
        </w:tc>
        <w:tc>
          <w:tcPr>
            <w:tcW w:w="1560" w:type="dxa"/>
          </w:tcPr>
          <w:p w14:paraId="7CB2689D"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63645BC0"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 “Gender”, “sex”, “female”, “male”, “woman”, “man” not identified in text search.</w:t>
            </w:r>
          </w:p>
        </w:tc>
        <w:tc>
          <w:tcPr>
            <w:tcW w:w="1984" w:type="dxa"/>
          </w:tcPr>
          <w:p w14:paraId="1C20B33D"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2D88E083"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r>
              <w:rPr>
                <w:rFonts w:asciiTheme="minorHAnsi" w:hAnsiTheme="minorHAnsi" w:cstheme="minorHAnsi"/>
                <w:spacing w:val="-2"/>
              </w:rPr>
              <w:t xml:space="preserve"> Suggest seeing other guidelines for “psychosocial concerns”.</w:t>
            </w:r>
          </w:p>
        </w:tc>
        <w:tc>
          <w:tcPr>
            <w:tcW w:w="1276" w:type="dxa"/>
          </w:tcPr>
          <w:p w14:paraId="7719C1A7"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 xml:space="preserve">Cancer Council Australia guidelines </w:t>
            </w:r>
            <w:proofErr w:type="gramStart"/>
            <w:r>
              <w:rPr>
                <w:rFonts w:asciiTheme="minorHAnsi" w:hAnsiTheme="minorHAnsi" w:cstheme="minorHAnsi"/>
              </w:rPr>
              <w:t>method;</w:t>
            </w:r>
            <w:proofErr w:type="gramEnd"/>
          </w:p>
          <w:p w14:paraId="3227091F"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ADAPTE approach to assessing evidence</w:t>
            </w:r>
          </w:p>
        </w:tc>
      </w:tr>
      <w:tr w:rsidR="00094656" w:rsidRPr="00640161" w14:paraId="57B35A03" w14:textId="77777777" w:rsidTr="0067273F">
        <w:trPr>
          <w:cantSplit/>
        </w:trPr>
        <w:tc>
          <w:tcPr>
            <w:tcW w:w="1575" w:type="dxa"/>
          </w:tcPr>
          <w:p w14:paraId="723AAEFF"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Cardiac Society of Australia</w:t>
            </w:r>
            <w:r w:rsidRPr="00640161">
              <w:rPr>
                <w:rFonts w:asciiTheme="minorHAnsi" w:hAnsiTheme="minorHAnsi" w:cstheme="minorHAnsi"/>
                <w:b/>
                <w:spacing w:val="-13"/>
              </w:rPr>
              <w:t xml:space="preserve"> </w:t>
            </w:r>
            <w:r w:rsidRPr="00640161">
              <w:rPr>
                <w:rFonts w:asciiTheme="minorHAnsi" w:hAnsiTheme="minorHAnsi" w:cstheme="minorHAnsi"/>
                <w:b/>
              </w:rPr>
              <w:t>and</w:t>
            </w:r>
            <w:r w:rsidRPr="00640161">
              <w:rPr>
                <w:rFonts w:asciiTheme="minorHAnsi" w:hAnsiTheme="minorHAnsi" w:cstheme="minorHAnsi"/>
                <w:b/>
                <w:spacing w:val="-12"/>
              </w:rPr>
              <w:t xml:space="preserve"> </w:t>
            </w:r>
            <w:r w:rsidRPr="00640161">
              <w:rPr>
                <w:rFonts w:asciiTheme="minorHAnsi" w:hAnsiTheme="minorHAnsi" w:cstheme="minorHAnsi"/>
                <w:b/>
              </w:rPr>
              <w:t xml:space="preserve">New </w:t>
            </w:r>
            <w:r w:rsidRPr="00640161">
              <w:rPr>
                <w:rFonts w:asciiTheme="minorHAnsi" w:hAnsiTheme="minorHAnsi" w:cstheme="minorHAnsi"/>
                <w:b/>
                <w:spacing w:val="-2"/>
              </w:rPr>
              <w:t>Zealand</w:t>
            </w:r>
          </w:p>
        </w:tc>
        <w:tc>
          <w:tcPr>
            <w:tcW w:w="3119" w:type="dxa"/>
          </w:tcPr>
          <w:p w14:paraId="50584E91"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A Clinical Guide for Assessment and Prescription</w:t>
            </w:r>
            <w:r w:rsidRPr="00640161">
              <w:rPr>
                <w:rFonts w:asciiTheme="minorHAnsi" w:hAnsiTheme="minorHAnsi" w:cstheme="minorHAnsi"/>
                <w:spacing w:val="-9"/>
              </w:rPr>
              <w:t xml:space="preserve"> </w:t>
            </w:r>
            <w:r w:rsidRPr="00640161">
              <w:rPr>
                <w:rFonts w:asciiTheme="minorHAnsi" w:hAnsiTheme="minorHAnsi" w:cstheme="minorHAnsi"/>
              </w:rPr>
              <w:t>of</w:t>
            </w:r>
            <w:r w:rsidRPr="00640161">
              <w:rPr>
                <w:rFonts w:asciiTheme="minorHAnsi" w:hAnsiTheme="minorHAnsi" w:cstheme="minorHAnsi"/>
                <w:spacing w:val="-9"/>
              </w:rPr>
              <w:t xml:space="preserve"> </w:t>
            </w:r>
            <w:r w:rsidRPr="00640161">
              <w:rPr>
                <w:rFonts w:asciiTheme="minorHAnsi" w:hAnsiTheme="minorHAnsi" w:cstheme="minorHAnsi"/>
              </w:rPr>
              <w:t>Exercise</w:t>
            </w:r>
            <w:r w:rsidRPr="00640161">
              <w:rPr>
                <w:rFonts w:asciiTheme="minorHAnsi" w:hAnsiTheme="minorHAnsi" w:cstheme="minorHAnsi"/>
                <w:spacing w:val="-9"/>
              </w:rPr>
              <w:t xml:space="preserve"> </w:t>
            </w:r>
            <w:r w:rsidRPr="00640161">
              <w:rPr>
                <w:rFonts w:asciiTheme="minorHAnsi" w:hAnsiTheme="minorHAnsi" w:cstheme="minorHAnsi"/>
              </w:rPr>
              <w:t>and</w:t>
            </w:r>
            <w:r w:rsidRPr="00640161">
              <w:rPr>
                <w:rFonts w:asciiTheme="minorHAnsi" w:hAnsiTheme="minorHAnsi" w:cstheme="minorHAnsi"/>
                <w:spacing w:val="-9"/>
              </w:rPr>
              <w:t xml:space="preserve"> </w:t>
            </w:r>
            <w:r w:rsidRPr="00640161">
              <w:rPr>
                <w:rFonts w:asciiTheme="minorHAnsi" w:hAnsiTheme="minorHAnsi" w:cstheme="minorHAnsi"/>
              </w:rPr>
              <w:t>Physical Activity in Cardiac Rehabilitation. A CSANZ</w:t>
            </w:r>
            <w:r w:rsidRPr="00640161">
              <w:rPr>
                <w:rFonts w:asciiTheme="minorHAnsi" w:hAnsiTheme="minorHAnsi" w:cstheme="minorHAnsi"/>
                <w:spacing w:val="-6"/>
              </w:rPr>
              <w:t xml:space="preserve"> </w:t>
            </w:r>
            <w:r w:rsidRPr="00640161">
              <w:rPr>
                <w:rFonts w:asciiTheme="minorHAnsi" w:hAnsiTheme="minorHAnsi" w:cstheme="minorHAnsi"/>
              </w:rPr>
              <w:t>Position</w:t>
            </w:r>
            <w:r w:rsidRPr="00640161">
              <w:rPr>
                <w:rFonts w:asciiTheme="minorHAnsi" w:hAnsiTheme="minorHAnsi" w:cstheme="minorHAnsi"/>
                <w:spacing w:val="-6"/>
              </w:rPr>
              <w:t xml:space="preserve"> </w:t>
            </w:r>
            <w:r w:rsidRPr="00640161">
              <w:rPr>
                <w:rFonts w:asciiTheme="minorHAnsi" w:hAnsiTheme="minorHAnsi" w:cstheme="minorHAnsi"/>
              </w:rPr>
              <w:t>Statement,</w:t>
            </w:r>
            <w:r w:rsidRPr="00640161">
              <w:rPr>
                <w:rFonts w:asciiTheme="minorHAnsi" w:hAnsiTheme="minorHAnsi" w:cstheme="minorHAnsi"/>
                <w:spacing w:val="-6"/>
              </w:rPr>
              <w:t xml:space="preserve"> </w:t>
            </w:r>
            <w:r w:rsidRPr="00640161">
              <w:rPr>
                <w:rFonts w:asciiTheme="minorHAnsi" w:hAnsiTheme="minorHAnsi" w:cstheme="minorHAnsi"/>
                <w:spacing w:val="-4"/>
              </w:rPr>
              <w:t>2023</w:t>
            </w:r>
          </w:p>
          <w:p w14:paraId="66CAFA19" w14:textId="77777777" w:rsidR="00094656" w:rsidRPr="00640161" w:rsidRDefault="00094656" w:rsidP="0067273F">
            <w:pPr>
              <w:pStyle w:val="TableParagraph"/>
              <w:spacing w:before="8"/>
              <w:ind w:left="108" w:right="96"/>
              <w:rPr>
                <w:rFonts w:asciiTheme="minorHAnsi" w:hAnsiTheme="minorHAnsi" w:cstheme="minorHAnsi"/>
                <w:b/>
              </w:rPr>
            </w:pPr>
          </w:p>
          <w:p w14:paraId="13E980BA"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Verdicchio C, et al. (2023). A clinical guide for assessment</w:t>
            </w:r>
            <w:r w:rsidRPr="00640161">
              <w:rPr>
                <w:rFonts w:asciiTheme="minorHAnsi" w:hAnsiTheme="minorHAnsi" w:cstheme="minorHAnsi"/>
                <w:spacing w:val="-10"/>
              </w:rPr>
              <w:t xml:space="preserve"> </w:t>
            </w:r>
            <w:r w:rsidRPr="00640161">
              <w:rPr>
                <w:rFonts w:asciiTheme="minorHAnsi" w:hAnsiTheme="minorHAnsi" w:cstheme="minorHAnsi"/>
              </w:rPr>
              <w:t>and</w:t>
            </w:r>
            <w:r w:rsidRPr="00640161">
              <w:rPr>
                <w:rFonts w:asciiTheme="minorHAnsi" w:hAnsiTheme="minorHAnsi" w:cstheme="minorHAnsi"/>
                <w:spacing w:val="-10"/>
              </w:rPr>
              <w:t xml:space="preserve"> </w:t>
            </w:r>
            <w:r w:rsidRPr="00640161">
              <w:rPr>
                <w:rFonts w:asciiTheme="minorHAnsi" w:hAnsiTheme="minorHAnsi" w:cstheme="minorHAnsi"/>
              </w:rPr>
              <w:t>prescription</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 xml:space="preserve">exercise and physical activity in cardiac rehabilitation. A CSANZ Position Statement. </w:t>
            </w:r>
            <w:r w:rsidRPr="00640161">
              <w:rPr>
                <w:rFonts w:asciiTheme="minorHAnsi" w:hAnsiTheme="minorHAnsi" w:cstheme="minorHAnsi"/>
                <w:i/>
              </w:rPr>
              <w:t>Heart, Lung and Circulation</w:t>
            </w:r>
            <w:r w:rsidRPr="00640161">
              <w:rPr>
                <w:rFonts w:asciiTheme="minorHAnsi" w:hAnsiTheme="minorHAnsi" w:cstheme="minorHAnsi"/>
                <w:color w:val="222222"/>
                <w:shd w:val="clear" w:color="auto" w:fill="FFFFFF"/>
              </w:rPr>
              <w:t xml:space="preserve">, </w:t>
            </w:r>
            <w:r w:rsidRPr="00640161">
              <w:rPr>
                <w:rFonts w:asciiTheme="minorHAnsi" w:hAnsiTheme="minorHAnsi" w:cstheme="minorHAnsi"/>
                <w:i/>
                <w:iCs/>
                <w:color w:val="222222"/>
                <w:shd w:val="clear" w:color="auto" w:fill="FFFFFF"/>
              </w:rPr>
              <w:t>32</w:t>
            </w:r>
            <w:r w:rsidRPr="00640161">
              <w:rPr>
                <w:rFonts w:asciiTheme="minorHAnsi" w:hAnsiTheme="minorHAnsi" w:cstheme="minorHAnsi"/>
                <w:color w:val="222222"/>
                <w:shd w:val="clear" w:color="auto" w:fill="FFFFFF"/>
              </w:rPr>
              <w:t xml:space="preserve">(9), 1035-1048. </w:t>
            </w:r>
            <w:proofErr w:type="gramStart"/>
            <w:r w:rsidRPr="00640161">
              <w:rPr>
                <w:rFonts w:asciiTheme="minorHAnsi" w:hAnsiTheme="minorHAnsi" w:cstheme="minorHAnsi"/>
              </w:rPr>
              <w:t>DOI:10.1016/j.hlc</w:t>
            </w:r>
            <w:proofErr w:type="gramEnd"/>
            <w:r w:rsidRPr="00640161">
              <w:rPr>
                <w:rFonts w:asciiTheme="minorHAnsi" w:hAnsiTheme="minorHAnsi" w:cstheme="minorHAnsi"/>
              </w:rPr>
              <w:t>.2023.06.854</w:t>
            </w:r>
          </w:p>
        </w:tc>
        <w:tc>
          <w:tcPr>
            <w:tcW w:w="1417" w:type="dxa"/>
          </w:tcPr>
          <w:p w14:paraId="7FFC2BC5" w14:textId="77777777" w:rsidR="00094656" w:rsidRPr="00640161" w:rsidRDefault="00094656" w:rsidP="0067273F">
            <w:pPr>
              <w:pStyle w:val="TableParagraph"/>
              <w:rPr>
                <w:rFonts w:asciiTheme="minorHAnsi" w:hAnsiTheme="minorHAnsi" w:cstheme="minorHAnsi"/>
              </w:rPr>
            </w:pPr>
            <w:r w:rsidRPr="00E0186C">
              <w:rPr>
                <w:rFonts w:asciiTheme="minorHAnsi" w:hAnsiTheme="minorHAnsi" w:cstheme="minorHAnsi"/>
              </w:rPr>
              <w:t>Cardiac Society of Australia</w:t>
            </w:r>
            <w:r w:rsidRPr="00E0186C">
              <w:rPr>
                <w:rFonts w:asciiTheme="minorHAnsi" w:hAnsiTheme="minorHAnsi" w:cstheme="minorHAnsi"/>
                <w:spacing w:val="-13"/>
              </w:rPr>
              <w:t xml:space="preserve"> </w:t>
            </w:r>
            <w:r w:rsidRPr="00E0186C">
              <w:rPr>
                <w:rFonts w:asciiTheme="minorHAnsi" w:hAnsiTheme="minorHAnsi" w:cstheme="minorHAnsi"/>
              </w:rPr>
              <w:t>and</w:t>
            </w:r>
            <w:r w:rsidRPr="00E0186C">
              <w:rPr>
                <w:rFonts w:asciiTheme="minorHAnsi" w:hAnsiTheme="minorHAnsi" w:cstheme="minorHAnsi"/>
                <w:spacing w:val="-12"/>
              </w:rPr>
              <w:t xml:space="preserve"> </w:t>
            </w:r>
            <w:r w:rsidRPr="00E0186C">
              <w:rPr>
                <w:rFonts w:asciiTheme="minorHAnsi" w:hAnsiTheme="minorHAnsi" w:cstheme="minorHAnsi"/>
              </w:rPr>
              <w:t xml:space="preserve">New </w:t>
            </w:r>
            <w:r w:rsidRPr="00E0186C">
              <w:rPr>
                <w:rFonts w:asciiTheme="minorHAnsi" w:hAnsiTheme="minorHAnsi" w:cstheme="minorHAnsi"/>
                <w:spacing w:val="-2"/>
              </w:rPr>
              <w:t>Zealand</w:t>
            </w:r>
            <w:r w:rsidRPr="00E0186C">
              <w:rPr>
                <w:rFonts w:asciiTheme="minorHAnsi" w:hAnsiTheme="minorHAnsi" w:cstheme="minorHAnsi"/>
              </w:rPr>
              <w:t>.</w:t>
            </w:r>
            <w:r>
              <w:rPr>
                <w:rFonts w:asciiTheme="minorHAnsi" w:hAnsiTheme="minorHAnsi" w:cstheme="minorHAnsi"/>
              </w:rPr>
              <w:t xml:space="preserve"> Funded by NHMRC.</w:t>
            </w:r>
          </w:p>
        </w:tc>
        <w:tc>
          <w:tcPr>
            <w:tcW w:w="1560" w:type="dxa"/>
          </w:tcPr>
          <w:p w14:paraId="08281A5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Cardiology</w:t>
            </w:r>
          </w:p>
        </w:tc>
        <w:tc>
          <w:tcPr>
            <w:tcW w:w="2126" w:type="dxa"/>
          </w:tcPr>
          <w:p w14:paraId="0587DD38" w14:textId="77777777" w:rsidR="00094656" w:rsidRDefault="00094656" w:rsidP="0067273F">
            <w:pPr>
              <w:pStyle w:val="TableParagraph"/>
              <w:rPr>
                <w:rFonts w:asciiTheme="minorHAnsi" w:hAnsiTheme="minorHAnsi" w:cstheme="minorHAnsi"/>
                <w:spacing w:val="-2"/>
              </w:rPr>
            </w:pPr>
            <w:r>
              <w:rPr>
                <w:rFonts w:asciiTheme="minorHAnsi" w:hAnsiTheme="minorHAnsi" w:cstheme="minorHAnsi"/>
              </w:rPr>
              <w:t>“Sex” &amp; “gender” (meaning sex) each identified once; n</w:t>
            </w:r>
            <w:r w:rsidRPr="00640161">
              <w:rPr>
                <w:rFonts w:asciiTheme="minorHAnsi" w:hAnsiTheme="minorHAnsi" w:cstheme="minorHAnsi"/>
              </w:rPr>
              <w:t>either</w:t>
            </w:r>
            <w:r w:rsidRPr="00640161">
              <w:rPr>
                <w:rFonts w:asciiTheme="minorHAnsi" w:hAnsiTheme="minorHAnsi" w:cstheme="minorHAnsi"/>
                <w:spacing w:val="-10"/>
              </w:rPr>
              <w:t xml:space="preserve"> </w:t>
            </w:r>
            <w:r w:rsidRPr="00640161">
              <w:rPr>
                <w:rFonts w:asciiTheme="minorHAnsi" w:hAnsiTheme="minorHAnsi" w:cstheme="minorHAnsi"/>
              </w:rPr>
              <w:t>term</w:t>
            </w:r>
            <w:r w:rsidRPr="00640161">
              <w:rPr>
                <w:rFonts w:asciiTheme="minorHAnsi" w:hAnsiTheme="minorHAnsi" w:cstheme="minorHAnsi"/>
                <w:spacing w:val="-10"/>
              </w:rPr>
              <w:t xml:space="preserve"> </w:t>
            </w:r>
            <w:r>
              <w:rPr>
                <w:rFonts w:asciiTheme="minorHAnsi" w:hAnsiTheme="minorHAnsi" w:cstheme="minorHAnsi"/>
              </w:rPr>
              <w:t>defined</w:t>
            </w:r>
            <w:r w:rsidRPr="00640161">
              <w:rPr>
                <w:rFonts w:asciiTheme="minorHAnsi" w:hAnsiTheme="minorHAnsi" w:cstheme="minorHAnsi"/>
                <w:spacing w:val="-2"/>
              </w:rPr>
              <w:t>.</w:t>
            </w:r>
          </w:p>
          <w:p w14:paraId="483E5DB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“Women”, “men”, “female”, “male” not identified in text search.</w:t>
            </w:r>
          </w:p>
        </w:tc>
        <w:tc>
          <w:tcPr>
            <w:tcW w:w="1984" w:type="dxa"/>
          </w:tcPr>
          <w:p w14:paraId="1B9F4F44"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r>
              <w:rPr>
                <w:rFonts w:asciiTheme="minorHAnsi" w:hAnsiTheme="minorHAnsi" w:cstheme="minorHAnsi"/>
                <w:spacing w:val="-2"/>
              </w:rPr>
              <w:t>, apart from statement that sex is not a factor in strength</w:t>
            </w:r>
            <w:r w:rsidRPr="00640161">
              <w:rPr>
                <w:rFonts w:asciiTheme="minorHAnsi" w:hAnsiTheme="minorHAnsi" w:cstheme="minorHAnsi"/>
                <w:spacing w:val="-2"/>
              </w:rPr>
              <w:t>.</w:t>
            </w:r>
          </w:p>
        </w:tc>
        <w:tc>
          <w:tcPr>
            <w:tcW w:w="1843" w:type="dxa"/>
          </w:tcPr>
          <w:p w14:paraId="49B0A63D"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18E65764"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4AE90D36" w14:textId="77777777" w:rsidTr="0067273F">
        <w:trPr>
          <w:cantSplit/>
        </w:trPr>
        <w:tc>
          <w:tcPr>
            <w:tcW w:w="1575" w:type="dxa"/>
          </w:tcPr>
          <w:p w14:paraId="16911842"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Centre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Perinatal Excellence (COPE)</w:t>
            </w:r>
          </w:p>
        </w:tc>
        <w:tc>
          <w:tcPr>
            <w:tcW w:w="3119" w:type="dxa"/>
          </w:tcPr>
          <w:p w14:paraId="575C566B" w14:textId="77777777" w:rsidR="00094656" w:rsidRPr="00640161" w:rsidRDefault="00094656" w:rsidP="0067273F">
            <w:pPr>
              <w:pStyle w:val="TableParagraph"/>
              <w:ind w:left="108" w:right="96"/>
              <w:rPr>
                <w:rFonts w:asciiTheme="minorHAnsi" w:hAnsiTheme="minorHAnsi" w:cstheme="minorHAnsi"/>
              </w:rPr>
            </w:pPr>
            <w:r w:rsidRPr="00EB26B0">
              <w:rPr>
                <w:rFonts w:asciiTheme="minorHAnsi" w:hAnsiTheme="minorHAnsi" w:cstheme="minorHAnsi"/>
              </w:rPr>
              <w:t>Mental</w:t>
            </w:r>
            <w:r w:rsidRPr="00EB26B0">
              <w:rPr>
                <w:rFonts w:asciiTheme="minorHAnsi" w:hAnsiTheme="minorHAnsi" w:cstheme="minorHAnsi"/>
                <w:spacing w:val="-8"/>
              </w:rPr>
              <w:t xml:space="preserve"> </w:t>
            </w:r>
            <w:r w:rsidRPr="00EB26B0">
              <w:rPr>
                <w:rFonts w:asciiTheme="minorHAnsi" w:hAnsiTheme="minorHAnsi" w:cstheme="minorHAnsi"/>
              </w:rPr>
              <w:t>Health</w:t>
            </w:r>
            <w:r w:rsidRPr="00EB26B0">
              <w:rPr>
                <w:rFonts w:asciiTheme="minorHAnsi" w:hAnsiTheme="minorHAnsi" w:cstheme="minorHAnsi"/>
                <w:spacing w:val="-8"/>
              </w:rPr>
              <w:t xml:space="preserve"> </w:t>
            </w:r>
            <w:r w:rsidRPr="00EB26B0">
              <w:rPr>
                <w:rFonts w:asciiTheme="minorHAnsi" w:hAnsiTheme="minorHAnsi" w:cstheme="minorHAnsi"/>
              </w:rPr>
              <w:t>Care</w:t>
            </w:r>
            <w:r w:rsidRPr="00EB26B0">
              <w:rPr>
                <w:rFonts w:asciiTheme="minorHAnsi" w:hAnsiTheme="minorHAnsi" w:cstheme="minorHAnsi"/>
                <w:spacing w:val="-8"/>
              </w:rPr>
              <w:t xml:space="preserve"> </w:t>
            </w:r>
            <w:r w:rsidRPr="00EB26B0">
              <w:rPr>
                <w:rFonts w:asciiTheme="minorHAnsi" w:hAnsiTheme="minorHAnsi" w:cstheme="minorHAnsi"/>
              </w:rPr>
              <w:t>in</w:t>
            </w:r>
            <w:r w:rsidRPr="00EB26B0">
              <w:rPr>
                <w:rFonts w:asciiTheme="minorHAnsi" w:hAnsiTheme="minorHAnsi" w:cstheme="minorHAnsi"/>
                <w:spacing w:val="-8"/>
              </w:rPr>
              <w:t xml:space="preserve"> </w:t>
            </w:r>
            <w:r w:rsidRPr="00EB26B0">
              <w:rPr>
                <w:rFonts w:asciiTheme="minorHAnsi" w:hAnsiTheme="minorHAnsi" w:cstheme="minorHAnsi"/>
              </w:rPr>
              <w:t>the</w:t>
            </w:r>
            <w:r w:rsidRPr="00EB26B0">
              <w:rPr>
                <w:rFonts w:asciiTheme="minorHAnsi" w:hAnsiTheme="minorHAnsi" w:cstheme="minorHAnsi"/>
                <w:spacing w:val="-8"/>
              </w:rPr>
              <w:t xml:space="preserve"> </w:t>
            </w:r>
            <w:r w:rsidRPr="00EB26B0">
              <w:rPr>
                <w:rFonts w:asciiTheme="minorHAnsi" w:hAnsiTheme="minorHAnsi" w:cstheme="minorHAnsi"/>
              </w:rPr>
              <w:t>Perinatal Period: Australian Clinical Practice Guideline, 2018</w:t>
            </w:r>
          </w:p>
          <w:p w14:paraId="0C6C3ACA" w14:textId="77777777" w:rsidR="00094656" w:rsidRPr="00640161" w:rsidRDefault="00094656" w:rsidP="0067273F">
            <w:pPr>
              <w:pStyle w:val="TableParagraph"/>
              <w:spacing w:before="8"/>
              <w:ind w:left="108" w:right="96"/>
              <w:rPr>
                <w:rFonts w:asciiTheme="minorHAnsi" w:hAnsiTheme="minorHAnsi" w:cstheme="minorHAnsi"/>
                <w:b/>
              </w:rPr>
            </w:pPr>
          </w:p>
          <w:p w14:paraId="2F180AC9" w14:textId="77777777" w:rsidR="00094656" w:rsidRPr="00640161" w:rsidRDefault="00094656" w:rsidP="0067273F">
            <w:pPr>
              <w:pStyle w:val="TableParagraph"/>
              <w:ind w:left="108" w:right="96"/>
              <w:rPr>
                <w:rFonts w:asciiTheme="minorHAnsi" w:hAnsiTheme="minorHAnsi" w:cstheme="minorHAnsi"/>
                <w:color w:val="000000" w:themeColor="text1"/>
              </w:rPr>
            </w:pPr>
            <w:hyperlink r:id="rId28">
              <w:r w:rsidRPr="00640161">
                <w:rPr>
                  <w:rFonts w:asciiTheme="minorHAnsi" w:hAnsiTheme="minorHAnsi" w:cstheme="minorHAnsi"/>
                  <w:color w:val="000000" w:themeColor="text1"/>
                  <w:spacing w:val="-2"/>
                </w:rPr>
                <w:t>https://w</w:t>
              </w:r>
            </w:hyperlink>
            <w:proofErr w:type="gramStart"/>
            <w:r w:rsidRPr="00640161">
              <w:rPr>
                <w:rFonts w:asciiTheme="minorHAnsi" w:hAnsiTheme="minorHAnsi" w:cstheme="minorHAnsi"/>
                <w:color w:val="000000" w:themeColor="text1"/>
                <w:spacing w:val="-2"/>
              </w:rPr>
              <w:t>ww.cope</w:t>
            </w:r>
            <w:proofErr w:type="gramEnd"/>
            <w:r w:rsidRPr="00640161">
              <w:rPr>
                <w:rFonts w:asciiTheme="minorHAnsi" w:hAnsiTheme="minorHAnsi" w:cstheme="minorHAnsi"/>
                <w:color w:val="000000" w:themeColor="text1"/>
                <w:spacing w:val="-2"/>
              </w:rPr>
              <w:t>.</w:t>
            </w:r>
            <w:hyperlink r:id="rId29">
              <w:r w:rsidRPr="00640161">
                <w:rPr>
                  <w:rFonts w:asciiTheme="minorHAnsi" w:hAnsiTheme="minorHAnsi" w:cstheme="minorHAnsi"/>
                  <w:color w:val="000000" w:themeColor="text1"/>
                  <w:spacing w:val="-2"/>
                </w:rPr>
                <w:t>org.au/wp-</w:t>
              </w:r>
            </w:hyperlink>
            <w:r w:rsidRPr="00640161">
              <w:rPr>
                <w:rFonts w:asciiTheme="minorHAnsi" w:hAnsiTheme="minorHAnsi" w:cstheme="minorHAnsi"/>
                <w:color w:val="000000" w:themeColor="text1"/>
                <w:spacing w:val="-2"/>
              </w:rPr>
              <w:t>content/uploads/2018/05/COPE-Perinatal-MH-Guideline_Final-2018.pdf</w:t>
            </w:r>
          </w:p>
          <w:p w14:paraId="48628BB9" w14:textId="77777777" w:rsidR="00094656" w:rsidRPr="00640161" w:rsidRDefault="00094656" w:rsidP="0067273F">
            <w:pPr>
              <w:pStyle w:val="TableParagraph"/>
              <w:spacing w:before="0"/>
              <w:ind w:left="108" w:right="96"/>
              <w:rPr>
                <w:rFonts w:asciiTheme="minorHAnsi" w:hAnsiTheme="minorHAnsi" w:cstheme="minorHAnsi"/>
                <w:b/>
              </w:rPr>
            </w:pPr>
          </w:p>
          <w:p w14:paraId="079715B9"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Austin M-P, Highet N &amp; the Expert Working</w:t>
            </w:r>
            <w:r w:rsidRPr="00640161">
              <w:rPr>
                <w:rFonts w:asciiTheme="minorHAnsi" w:hAnsiTheme="minorHAnsi" w:cstheme="minorHAnsi"/>
                <w:spacing w:val="-4"/>
              </w:rPr>
              <w:t xml:space="preserve"> </w:t>
            </w:r>
            <w:r w:rsidRPr="00640161">
              <w:rPr>
                <w:rFonts w:asciiTheme="minorHAnsi" w:hAnsiTheme="minorHAnsi" w:cstheme="minorHAnsi"/>
              </w:rPr>
              <w:t>Group.</w:t>
            </w:r>
            <w:r w:rsidRPr="00640161">
              <w:rPr>
                <w:rFonts w:asciiTheme="minorHAnsi" w:hAnsiTheme="minorHAnsi" w:cstheme="minorHAnsi"/>
                <w:spacing w:val="-4"/>
              </w:rPr>
              <w:t xml:space="preserve"> </w:t>
            </w:r>
            <w:r w:rsidRPr="00640161">
              <w:rPr>
                <w:rFonts w:asciiTheme="minorHAnsi" w:hAnsiTheme="minorHAnsi" w:cstheme="minorHAnsi"/>
              </w:rPr>
              <w:t>(2017).</w:t>
            </w:r>
            <w:r w:rsidRPr="00640161">
              <w:rPr>
                <w:rFonts w:asciiTheme="minorHAnsi" w:hAnsiTheme="minorHAnsi" w:cstheme="minorHAnsi"/>
                <w:spacing w:val="-4"/>
              </w:rPr>
              <w:t xml:space="preserve"> </w:t>
            </w:r>
            <w:r w:rsidRPr="00035BDC">
              <w:rPr>
                <w:rFonts w:asciiTheme="minorHAnsi" w:hAnsiTheme="minorHAnsi" w:cstheme="minorHAnsi"/>
                <w:i/>
              </w:rPr>
              <w:t>Mental</w:t>
            </w:r>
            <w:r w:rsidRPr="00035BDC">
              <w:rPr>
                <w:rFonts w:asciiTheme="minorHAnsi" w:hAnsiTheme="minorHAnsi" w:cstheme="minorHAnsi"/>
                <w:i/>
                <w:spacing w:val="-4"/>
              </w:rPr>
              <w:t xml:space="preserve"> </w:t>
            </w:r>
            <w:r w:rsidRPr="00035BDC">
              <w:rPr>
                <w:rFonts w:asciiTheme="minorHAnsi" w:hAnsiTheme="minorHAnsi" w:cstheme="minorHAnsi"/>
                <w:i/>
              </w:rPr>
              <w:t>health care</w:t>
            </w:r>
            <w:r w:rsidRPr="00035BDC">
              <w:rPr>
                <w:rFonts w:asciiTheme="minorHAnsi" w:hAnsiTheme="minorHAnsi" w:cstheme="minorHAnsi"/>
                <w:i/>
                <w:spacing w:val="-8"/>
              </w:rPr>
              <w:t xml:space="preserve"> </w:t>
            </w:r>
            <w:r w:rsidRPr="00035BDC">
              <w:rPr>
                <w:rFonts w:asciiTheme="minorHAnsi" w:hAnsiTheme="minorHAnsi" w:cstheme="minorHAnsi"/>
                <w:i/>
              </w:rPr>
              <w:t>in</w:t>
            </w:r>
            <w:r w:rsidRPr="00035BDC">
              <w:rPr>
                <w:rFonts w:asciiTheme="minorHAnsi" w:hAnsiTheme="minorHAnsi" w:cstheme="minorHAnsi"/>
                <w:i/>
                <w:spacing w:val="-8"/>
              </w:rPr>
              <w:t xml:space="preserve"> </w:t>
            </w:r>
            <w:r w:rsidRPr="00035BDC">
              <w:rPr>
                <w:rFonts w:asciiTheme="minorHAnsi" w:hAnsiTheme="minorHAnsi" w:cstheme="minorHAnsi"/>
                <w:i/>
              </w:rPr>
              <w:t>the</w:t>
            </w:r>
            <w:r w:rsidRPr="00035BDC">
              <w:rPr>
                <w:rFonts w:asciiTheme="minorHAnsi" w:hAnsiTheme="minorHAnsi" w:cstheme="minorHAnsi"/>
                <w:i/>
                <w:spacing w:val="-8"/>
              </w:rPr>
              <w:t xml:space="preserve"> </w:t>
            </w:r>
            <w:r w:rsidRPr="00035BDC">
              <w:rPr>
                <w:rFonts w:asciiTheme="minorHAnsi" w:hAnsiTheme="minorHAnsi" w:cstheme="minorHAnsi"/>
                <w:i/>
              </w:rPr>
              <w:t>perinatal</w:t>
            </w:r>
            <w:r w:rsidRPr="00035BDC">
              <w:rPr>
                <w:rFonts w:asciiTheme="minorHAnsi" w:hAnsiTheme="minorHAnsi" w:cstheme="minorHAnsi"/>
                <w:i/>
                <w:spacing w:val="-8"/>
              </w:rPr>
              <w:t xml:space="preserve"> </w:t>
            </w:r>
            <w:r w:rsidRPr="00035BDC">
              <w:rPr>
                <w:rFonts w:asciiTheme="minorHAnsi" w:hAnsiTheme="minorHAnsi" w:cstheme="minorHAnsi"/>
                <w:i/>
              </w:rPr>
              <w:t>period:</w:t>
            </w:r>
            <w:r w:rsidRPr="00035BDC">
              <w:rPr>
                <w:rFonts w:asciiTheme="minorHAnsi" w:hAnsiTheme="minorHAnsi" w:cstheme="minorHAnsi"/>
                <w:i/>
                <w:spacing w:val="-8"/>
              </w:rPr>
              <w:t xml:space="preserve"> </w:t>
            </w:r>
            <w:r w:rsidRPr="00035BDC">
              <w:rPr>
                <w:rFonts w:asciiTheme="minorHAnsi" w:hAnsiTheme="minorHAnsi" w:cstheme="minorHAnsi"/>
                <w:i/>
              </w:rPr>
              <w:t>Australian clinical practice guideline.</w:t>
            </w:r>
            <w:r w:rsidRPr="00640161">
              <w:rPr>
                <w:rFonts w:asciiTheme="minorHAnsi" w:hAnsiTheme="minorHAnsi" w:cstheme="minorHAnsi"/>
              </w:rPr>
              <w:t xml:space="preserve"> Melbourne: Centre of Perinatal Excellence.</w:t>
            </w:r>
          </w:p>
        </w:tc>
        <w:tc>
          <w:tcPr>
            <w:tcW w:w="1417" w:type="dxa"/>
          </w:tcPr>
          <w:p w14:paraId="4A2901B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NHMRC</w:t>
            </w:r>
          </w:p>
        </w:tc>
        <w:tc>
          <w:tcPr>
            <w:tcW w:w="1560" w:type="dxa"/>
          </w:tcPr>
          <w:p w14:paraId="2232D8F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Obstetrics</w:t>
            </w:r>
          </w:p>
        </w:tc>
        <w:tc>
          <w:tcPr>
            <w:tcW w:w="2126" w:type="dxa"/>
          </w:tcPr>
          <w:p w14:paraId="13B94FC6"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Gender</w:t>
            </w:r>
            <w:r w:rsidRPr="00640161">
              <w:rPr>
                <w:rFonts w:asciiTheme="minorHAnsi" w:hAnsiTheme="minorHAnsi" w:cstheme="minorHAnsi"/>
                <w:spacing w:val="-10"/>
              </w:rPr>
              <w:t xml:space="preserve"> </w:t>
            </w:r>
            <w:r w:rsidRPr="00640161">
              <w:rPr>
                <w:rFonts w:asciiTheme="minorHAnsi" w:hAnsiTheme="minorHAnsi" w:cstheme="minorHAnsi"/>
              </w:rPr>
              <w:t>used</w:t>
            </w:r>
            <w:r w:rsidRPr="00640161">
              <w:rPr>
                <w:rFonts w:asciiTheme="minorHAnsi" w:hAnsiTheme="minorHAnsi" w:cstheme="minorHAnsi"/>
                <w:spacing w:val="-10"/>
              </w:rPr>
              <w:t xml:space="preserve"> </w:t>
            </w:r>
            <w:r w:rsidRPr="00640161">
              <w:rPr>
                <w:rFonts w:asciiTheme="minorHAnsi" w:hAnsiTheme="minorHAnsi" w:cstheme="minorHAnsi"/>
              </w:rPr>
              <w:t>correctly</w:t>
            </w:r>
            <w:r w:rsidRPr="00640161">
              <w:rPr>
                <w:rFonts w:asciiTheme="minorHAnsi" w:hAnsiTheme="minorHAnsi" w:cstheme="minorHAnsi"/>
                <w:spacing w:val="-10"/>
              </w:rPr>
              <w:t xml:space="preserve"> </w:t>
            </w:r>
            <w:r w:rsidRPr="00640161">
              <w:rPr>
                <w:rFonts w:asciiTheme="minorHAnsi" w:hAnsiTheme="minorHAnsi" w:cstheme="minorHAnsi"/>
              </w:rPr>
              <w:t>but</w:t>
            </w:r>
            <w:r w:rsidRPr="00640161">
              <w:rPr>
                <w:rFonts w:asciiTheme="minorHAnsi" w:hAnsiTheme="minorHAnsi" w:cstheme="minorHAnsi"/>
                <w:spacing w:val="-10"/>
              </w:rPr>
              <w:t xml:space="preserve"> </w:t>
            </w:r>
            <w:r w:rsidRPr="00640161">
              <w:rPr>
                <w:rFonts w:asciiTheme="minorHAnsi" w:hAnsiTheme="minorHAnsi" w:cstheme="minorHAnsi"/>
              </w:rPr>
              <w:t xml:space="preserve">not </w:t>
            </w:r>
            <w:r w:rsidRPr="00640161">
              <w:rPr>
                <w:rFonts w:asciiTheme="minorHAnsi" w:hAnsiTheme="minorHAnsi" w:cstheme="minorHAnsi"/>
                <w:spacing w:val="-2"/>
              </w:rPr>
              <w:t>defined.</w:t>
            </w:r>
          </w:p>
        </w:tc>
        <w:tc>
          <w:tcPr>
            <w:tcW w:w="1984" w:type="dxa"/>
          </w:tcPr>
          <w:p w14:paraId="4736179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Focus</w:t>
            </w:r>
            <w:r w:rsidRPr="00640161">
              <w:rPr>
                <w:rFonts w:asciiTheme="minorHAnsi" w:hAnsiTheme="minorHAnsi" w:cstheme="minorHAnsi"/>
                <w:spacing w:val="-4"/>
              </w:rPr>
              <w:t xml:space="preserve"> </w:t>
            </w:r>
            <w:r w:rsidRPr="00640161">
              <w:rPr>
                <w:rFonts w:asciiTheme="minorHAnsi" w:hAnsiTheme="minorHAnsi" w:cstheme="minorHAnsi"/>
              </w:rPr>
              <w:t>on</w:t>
            </w:r>
            <w:r w:rsidRPr="00640161">
              <w:rPr>
                <w:rFonts w:asciiTheme="minorHAnsi" w:hAnsiTheme="minorHAnsi" w:cstheme="minorHAnsi"/>
                <w:spacing w:val="-3"/>
              </w:rPr>
              <w:t xml:space="preserve"> </w:t>
            </w:r>
            <w:r w:rsidRPr="00640161">
              <w:rPr>
                <w:rFonts w:asciiTheme="minorHAnsi" w:hAnsiTheme="minorHAnsi" w:cstheme="minorHAnsi"/>
                <w:spacing w:val="-2"/>
              </w:rPr>
              <w:t>women.</w:t>
            </w:r>
          </w:p>
          <w:p w14:paraId="01334889"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Consider male partner mental health</w:t>
            </w:r>
            <w:r w:rsidRPr="00640161">
              <w:rPr>
                <w:rFonts w:asciiTheme="minorHAnsi" w:hAnsiTheme="minorHAnsi" w:cstheme="minorHAnsi"/>
                <w:spacing w:val="-13"/>
              </w:rPr>
              <w:t xml:space="preserve"> </w:t>
            </w:r>
            <w:r w:rsidRPr="00640161">
              <w:rPr>
                <w:rFonts w:asciiTheme="minorHAnsi" w:hAnsiTheme="minorHAnsi" w:cstheme="minorHAnsi"/>
              </w:rPr>
              <w:t>assessment</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3"/>
              </w:rPr>
              <w:t xml:space="preserve"> </w:t>
            </w:r>
            <w:r w:rsidRPr="00640161">
              <w:rPr>
                <w:rFonts w:asciiTheme="minorHAnsi" w:hAnsiTheme="minorHAnsi" w:cstheme="minorHAnsi"/>
              </w:rPr>
              <w:t>screening in perinatal period.</w:t>
            </w:r>
          </w:p>
        </w:tc>
        <w:tc>
          <w:tcPr>
            <w:tcW w:w="1843" w:type="dxa"/>
          </w:tcPr>
          <w:p w14:paraId="277252FD"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Gender</w:t>
            </w:r>
            <w:r w:rsidRPr="00640161">
              <w:rPr>
                <w:rFonts w:asciiTheme="minorHAnsi" w:hAnsiTheme="minorHAnsi" w:cstheme="minorHAnsi"/>
                <w:spacing w:val="-6"/>
              </w:rPr>
              <w:t xml:space="preserve"> </w:t>
            </w:r>
            <w:r w:rsidRPr="00640161">
              <w:rPr>
                <w:rFonts w:asciiTheme="minorHAnsi" w:hAnsiTheme="minorHAnsi" w:cstheme="minorHAnsi"/>
              </w:rPr>
              <w:t>inequalities:</w:t>
            </w:r>
            <w:r w:rsidRPr="00640161">
              <w:rPr>
                <w:rFonts w:asciiTheme="minorHAnsi" w:hAnsiTheme="minorHAnsi" w:cstheme="minorHAnsi"/>
                <w:spacing w:val="-6"/>
              </w:rPr>
              <w:t xml:space="preserve"> </w:t>
            </w:r>
            <w:r w:rsidRPr="00640161">
              <w:rPr>
                <w:rFonts w:asciiTheme="minorHAnsi" w:hAnsiTheme="minorHAnsi" w:cstheme="minorHAnsi"/>
              </w:rPr>
              <w:t>woman</w:t>
            </w:r>
            <w:r w:rsidRPr="00640161">
              <w:rPr>
                <w:rFonts w:asciiTheme="minorHAnsi" w:hAnsiTheme="minorHAnsi" w:cstheme="minorHAnsi"/>
                <w:spacing w:val="-6"/>
              </w:rPr>
              <w:t xml:space="preserve"> </w:t>
            </w:r>
            <w:r w:rsidRPr="00640161">
              <w:rPr>
                <w:rFonts w:asciiTheme="minorHAnsi" w:hAnsiTheme="minorHAnsi" w:cstheme="minorHAnsi"/>
              </w:rPr>
              <w:t>as economically</w:t>
            </w:r>
            <w:r w:rsidRPr="00640161">
              <w:rPr>
                <w:rFonts w:asciiTheme="minorHAnsi" w:hAnsiTheme="minorHAnsi" w:cstheme="minorHAnsi"/>
                <w:spacing w:val="-13"/>
              </w:rPr>
              <w:t xml:space="preserve"> </w:t>
            </w:r>
            <w:r w:rsidRPr="00640161">
              <w:rPr>
                <w:rFonts w:asciiTheme="minorHAnsi" w:hAnsiTheme="minorHAnsi" w:cstheme="minorHAnsi"/>
              </w:rPr>
              <w:t>insecure,</w:t>
            </w:r>
            <w:r w:rsidRPr="00640161">
              <w:rPr>
                <w:rFonts w:asciiTheme="minorHAnsi" w:hAnsiTheme="minorHAnsi" w:cstheme="minorHAnsi"/>
                <w:spacing w:val="-12"/>
              </w:rPr>
              <w:t xml:space="preserve"> </w:t>
            </w:r>
            <w:r w:rsidRPr="00640161">
              <w:rPr>
                <w:rFonts w:asciiTheme="minorHAnsi" w:hAnsiTheme="minorHAnsi" w:cstheme="minorHAnsi"/>
              </w:rPr>
              <w:t>primary carer, subject to violence.</w:t>
            </w:r>
          </w:p>
          <w:p w14:paraId="67E6759F" w14:textId="77777777" w:rsidR="00094656" w:rsidRPr="00640161" w:rsidRDefault="00094656" w:rsidP="0067273F">
            <w:pPr>
              <w:pStyle w:val="TableParagraph"/>
              <w:spacing w:before="5"/>
              <w:ind w:left="108" w:right="96"/>
              <w:rPr>
                <w:rFonts w:asciiTheme="minorHAnsi" w:hAnsiTheme="minorHAnsi" w:cstheme="minorHAnsi"/>
              </w:rPr>
            </w:pPr>
            <w:r w:rsidRPr="00640161">
              <w:rPr>
                <w:rFonts w:asciiTheme="minorHAnsi" w:hAnsiTheme="minorHAnsi" w:cstheme="minorHAnsi"/>
              </w:rPr>
              <w:t>Consider</w:t>
            </w:r>
            <w:r w:rsidRPr="00640161">
              <w:rPr>
                <w:rFonts w:asciiTheme="minorHAnsi" w:hAnsiTheme="minorHAnsi" w:cstheme="minorHAnsi"/>
                <w:spacing w:val="-13"/>
              </w:rPr>
              <w:t xml:space="preserve"> </w:t>
            </w:r>
            <w:r w:rsidRPr="00640161">
              <w:rPr>
                <w:rFonts w:asciiTheme="minorHAnsi" w:hAnsiTheme="minorHAnsi" w:cstheme="minorHAnsi"/>
              </w:rPr>
              <w:t>gender</w:t>
            </w:r>
            <w:r w:rsidRPr="00640161">
              <w:rPr>
                <w:rFonts w:asciiTheme="minorHAnsi" w:hAnsiTheme="minorHAnsi" w:cstheme="minorHAnsi"/>
                <w:spacing w:val="-12"/>
              </w:rPr>
              <w:t xml:space="preserve"> </w:t>
            </w:r>
            <w:r w:rsidRPr="00640161">
              <w:rPr>
                <w:rFonts w:asciiTheme="minorHAnsi" w:hAnsiTheme="minorHAnsi" w:cstheme="minorHAnsi"/>
              </w:rPr>
              <w:t>roles</w:t>
            </w:r>
            <w:r w:rsidRPr="00640161">
              <w:rPr>
                <w:rFonts w:asciiTheme="minorHAnsi" w:hAnsiTheme="minorHAnsi" w:cstheme="minorHAnsi"/>
                <w:spacing w:val="-13"/>
              </w:rPr>
              <w:t xml:space="preserve"> </w:t>
            </w:r>
            <w:r w:rsidRPr="00640161">
              <w:rPr>
                <w:rFonts w:asciiTheme="minorHAnsi" w:hAnsiTheme="minorHAnsi" w:cstheme="minorHAnsi"/>
              </w:rPr>
              <w:t xml:space="preserve">in </w:t>
            </w:r>
            <w:r w:rsidRPr="00640161">
              <w:rPr>
                <w:rFonts w:asciiTheme="minorHAnsi" w:hAnsiTheme="minorHAnsi" w:cstheme="minorHAnsi"/>
                <w:spacing w:val="-2"/>
              </w:rPr>
              <w:t>parenting.</w:t>
            </w:r>
          </w:p>
          <w:p w14:paraId="0F3B459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Consider</w:t>
            </w:r>
            <w:r w:rsidRPr="00640161">
              <w:rPr>
                <w:rFonts w:asciiTheme="minorHAnsi" w:hAnsiTheme="minorHAnsi" w:cstheme="minorHAnsi"/>
                <w:spacing w:val="-10"/>
              </w:rPr>
              <w:t xml:space="preserve"> </w:t>
            </w:r>
            <w:r w:rsidRPr="00640161">
              <w:rPr>
                <w:rFonts w:asciiTheme="minorHAnsi" w:hAnsiTheme="minorHAnsi" w:cstheme="minorHAnsi"/>
              </w:rPr>
              <w:t>transgender</w:t>
            </w:r>
            <w:r w:rsidRPr="00640161">
              <w:rPr>
                <w:rFonts w:asciiTheme="minorHAnsi" w:hAnsiTheme="minorHAnsi" w:cstheme="minorHAnsi"/>
                <w:spacing w:val="-9"/>
              </w:rPr>
              <w:t xml:space="preserve"> </w:t>
            </w:r>
            <w:r w:rsidRPr="00640161">
              <w:rPr>
                <w:rFonts w:asciiTheme="minorHAnsi" w:hAnsiTheme="minorHAnsi" w:cstheme="minorHAnsi"/>
                <w:spacing w:val="-2"/>
              </w:rPr>
              <w:t>parents.</w:t>
            </w:r>
          </w:p>
        </w:tc>
        <w:tc>
          <w:tcPr>
            <w:tcW w:w="1276" w:type="dxa"/>
          </w:tcPr>
          <w:p w14:paraId="6FE8A403"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535E9178" w14:textId="77777777" w:rsidTr="0067273F">
        <w:trPr>
          <w:cantSplit/>
        </w:trPr>
        <w:tc>
          <w:tcPr>
            <w:tcW w:w="1575" w:type="dxa"/>
          </w:tcPr>
          <w:p w14:paraId="69ACAFB3" w14:textId="77777777" w:rsidR="00094656" w:rsidRPr="00C376D4" w:rsidRDefault="00094656" w:rsidP="00C376D4">
            <w:pPr>
              <w:ind w:left="158"/>
              <w:rPr>
                <w:b/>
              </w:rPr>
            </w:pPr>
            <w:bookmarkStart w:id="352" w:name="_Toc168390517"/>
            <w:bookmarkStart w:id="353" w:name="_Toc168390885"/>
            <w:bookmarkStart w:id="354" w:name="_Toc168390951"/>
            <w:r w:rsidRPr="00C376D4">
              <w:rPr>
                <w:b/>
              </w:rPr>
              <w:t>Childhood Hearing Australasian Medical Professionals network</w:t>
            </w:r>
            <w:bookmarkEnd w:id="352"/>
            <w:bookmarkEnd w:id="353"/>
            <w:bookmarkEnd w:id="354"/>
          </w:p>
          <w:p w14:paraId="20DD5320" w14:textId="77777777" w:rsidR="00094656" w:rsidRPr="00640161" w:rsidRDefault="00094656" w:rsidP="0067273F">
            <w:pPr>
              <w:pStyle w:val="TableParagraph"/>
              <w:ind w:left="110" w:right="215"/>
              <w:rPr>
                <w:rFonts w:asciiTheme="minorHAnsi" w:hAnsiTheme="minorHAnsi" w:cstheme="minorHAnsi"/>
                <w:b/>
              </w:rPr>
            </w:pPr>
          </w:p>
        </w:tc>
        <w:tc>
          <w:tcPr>
            <w:tcW w:w="3119" w:type="dxa"/>
          </w:tcPr>
          <w:p w14:paraId="65CAB815"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shd w:val="clear" w:color="auto" w:fill="FFFFFF"/>
              </w:rPr>
              <w:t>Consensus guidelines on investigation and clinical management of childhood hearing loss, 2019</w:t>
            </w:r>
          </w:p>
          <w:p w14:paraId="2D04E615" w14:textId="77777777" w:rsidR="00094656" w:rsidRPr="00640161" w:rsidRDefault="00094656" w:rsidP="0067273F">
            <w:pPr>
              <w:pStyle w:val="TableParagraph"/>
              <w:ind w:left="108" w:right="96"/>
              <w:rPr>
                <w:rFonts w:asciiTheme="minorHAnsi" w:hAnsiTheme="minorHAnsi" w:cstheme="minorHAnsi"/>
                <w:highlight w:val="yellow"/>
              </w:rPr>
            </w:pPr>
          </w:p>
          <w:p w14:paraId="2FFB6F0C" w14:textId="77777777" w:rsidR="00094656" w:rsidRPr="00640161" w:rsidRDefault="00094656" w:rsidP="0067273F">
            <w:pPr>
              <w:pStyle w:val="TableParagraph"/>
              <w:ind w:left="108" w:right="96"/>
              <w:rPr>
                <w:rFonts w:asciiTheme="minorHAnsi" w:hAnsiTheme="minorHAnsi" w:cstheme="minorHAnsi"/>
                <w:highlight w:val="yellow"/>
              </w:rPr>
            </w:pPr>
            <w:r w:rsidRPr="00640161">
              <w:rPr>
                <w:rFonts w:asciiTheme="minorHAnsi" w:hAnsiTheme="minorHAnsi" w:cstheme="minorHAnsi"/>
                <w:shd w:val="clear" w:color="auto" w:fill="FFFFFF"/>
              </w:rPr>
              <w:t xml:space="preserve">Sung et al. (2019), Childhood Hearing Australasian Medical Professionals network: Consensus guidelines on investigation and clinical management of childhood hearing loss. </w:t>
            </w:r>
            <w:r w:rsidRPr="00640161">
              <w:rPr>
                <w:rFonts w:asciiTheme="minorHAnsi" w:hAnsiTheme="minorHAnsi" w:cstheme="minorHAnsi"/>
                <w:i/>
                <w:iCs/>
                <w:shd w:val="clear" w:color="auto" w:fill="FFFFFF"/>
              </w:rPr>
              <w:t xml:space="preserve">J </w:t>
            </w:r>
            <w:proofErr w:type="spellStart"/>
            <w:r w:rsidRPr="00640161">
              <w:rPr>
                <w:rFonts w:asciiTheme="minorHAnsi" w:hAnsiTheme="minorHAnsi" w:cstheme="minorHAnsi"/>
                <w:i/>
                <w:iCs/>
                <w:shd w:val="clear" w:color="auto" w:fill="FFFFFF"/>
              </w:rPr>
              <w:t>Paediatr</w:t>
            </w:r>
            <w:proofErr w:type="spellEnd"/>
            <w:r w:rsidRPr="00640161">
              <w:rPr>
                <w:rFonts w:asciiTheme="minorHAnsi" w:hAnsiTheme="minorHAnsi" w:cstheme="minorHAnsi"/>
                <w:i/>
                <w:iCs/>
                <w:shd w:val="clear" w:color="auto" w:fill="FFFFFF"/>
              </w:rPr>
              <w:t xml:space="preserve"> Child Health, 55</w:t>
            </w:r>
            <w:r w:rsidRPr="00640161">
              <w:rPr>
                <w:rFonts w:asciiTheme="minorHAnsi" w:hAnsiTheme="minorHAnsi" w:cstheme="minorHAnsi"/>
                <w:shd w:val="clear" w:color="auto" w:fill="FFFFFF"/>
              </w:rPr>
              <w:t>: 1013-1022. DOI:</w:t>
            </w:r>
            <w:hyperlink r:id="rId30" w:history="1">
              <w:r w:rsidRPr="00640161">
                <w:rPr>
                  <w:rStyle w:val="Hyperlink"/>
                  <w:rFonts w:asciiTheme="minorHAnsi" w:hAnsiTheme="minorHAnsi" w:cstheme="minorHAnsi"/>
                  <w:shd w:val="clear" w:color="auto" w:fill="FFFFFF"/>
                </w:rPr>
                <w:t>10.1111/jpc.14508</w:t>
              </w:r>
            </w:hyperlink>
          </w:p>
        </w:tc>
        <w:tc>
          <w:tcPr>
            <w:tcW w:w="1417" w:type="dxa"/>
          </w:tcPr>
          <w:p w14:paraId="5BDFFAC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t stated</w:t>
            </w:r>
          </w:p>
        </w:tc>
        <w:tc>
          <w:tcPr>
            <w:tcW w:w="1560" w:type="dxa"/>
          </w:tcPr>
          <w:p w14:paraId="3AA4487C" w14:textId="77777777" w:rsidR="00094656" w:rsidRPr="00640161" w:rsidRDefault="00094656" w:rsidP="0067273F">
            <w:pPr>
              <w:pStyle w:val="TableParagraph"/>
              <w:rPr>
                <w:rFonts w:asciiTheme="minorHAnsi" w:hAnsiTheme="minorHAnsi" w:cstheme="minorHAnsi"/>
              </w:rPr>
            </w:pPr>
            <w:r w:rsidRPr="00640161">
              <w:rPr>
                <w:spacing w:val="-2"/>
              </w:rPr>
              <w:t>Paediatrics</w:t>
            </w:r>
          </w:p>
        </w:tc>
        <w:tc>
          <w:tcPr>
            <w:tcW w:w="2126" w:type="dxa"/>
          </w:tcPr>
          <w:p w14:paraId="4B7D8C9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“female”, “male”, “girl”, “boy” not found in text search.</w:t>
            </w:r>
          </w:p>
        </w:tc>
        <w:tc>
          <w:tcPr>
            <w:tcW w:w="1984" w:type="dxa"/>
          </w:tcPr>
          <w:p w14:paraId="2A8885DB"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5283F115"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2AC49A42"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NHMRC levels of evidence; consensus</w:t>
            </w:r>
          </w:p>
        </w:tc>
      </w:tr>
      <w:tr w:rsidR="00094656" w:rsidRPr="00640161" w14:paraId="0D35435D" w14:textId="77777777" w:rsidTr="0067273F">
        <w:trPr>
          <w:cantSplit/>
        </w:trPr>
        <w:tc>
          <w:tcPr>
            <w:tcW w:w="1575" w:type="dxa"/>
          </w:tcPr>
          <w:p w14:paraId="6DFF8AF9"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Children’s</w:t>
            </w:r>
            <w:r w:rsidRPr="00640161">
              <w:rPr>
                <w:rFonts w:asciiTheme="minorHAnsi" w:hAnsiTheme="minorHAnsi" w:cstheme="minorHAnsi"/>
                <w:b/>
                <w:spacing w:val="-13"/>
              </w:rPr>
              <w:t xml:space="preserve"> </w:t>
            </w:r>
            <w:r w:rsidRPr="00640161">
              <w:rPr>
                <w:rFonts w:asciiTheme="minorHAnsi" w:hAnsiTheme="minorHAnsi" w:cstheme="minorHAnsi"/>
                <w:b/>
              </w:rPr>
              <w:t xml:space="preserve">Health </w:t>
            </w:r>
            <w:r w:rsidRPr="00640161">
              <w:rPr>
                <w:rFonts w:asciiTheme="minorHAnsi" w:hAnsiTheme="minorHAnsi" w:cstheme="minorHAnsi"/>
                <w:b/>
                <w:spacing w:val="-2"/>
              </w:rPr>
              <w:t>Queensland. Queensland Government</w:t>
            </w:r>
          </w:p>
        </w:tc>
        <w:tc>
          <w:tcPr>
            <w:tcW w:w="3119" w:type="dxa"/>
          </w:tcPr>
          <w:p w14:paraId="7F835F40"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Diabetic Ketoacidosis (DKA) and Hyperosmolar</w:t>
            </w:r>
            <w:r w:rsidRPr="00640161">
              <w:rPr>
                <w:rFonts w:asciiTheme="minorHAnsi" w:hAnsiTheme="minorHAnsi" w:cstheme="minorHAnsi"/>
                <w:spacing w:val="-13"/>
              </w:rPr>
              <w:t xml:space="preserve"> </w:t>
            </w:r>
            <w:r w:rsidRPr="00640161">
              <w:rPr>
                <w:rFonts w:asciiTheme="minorHAnsi" w:hAnsiTheme="minorHAnsi" w:cstheme="minorHAnsi"/>
              </w:rPr>
              <w:t>Hyperglycaemic</w:t>
            </w:r>
            <w:r w:rsidRPr="00640161">
              <w:rPr>
                <w:rFonts w:asciiTheme="minorHAnsi" w:hAnsiTheme="minorHAnsi" w:cstheme="minorHAnsi"/>
                <w:spacing w:val="-12"/>
              </w:rPr>
              <w:t xml:space="preserve"> </w:t>
            </w:r>
            <w:r w:rsidRPr="00640161">
              <w:rPr>
                <w:rFonts w:asciiTheme="minorHAnsi" w:hAnsiTheme="minorHAnsi" w:cstheme="minorHAnsi"/>
              </w:rPr>
              <w:t>State (HHS) – Emergency management in children, 2024</w:t>
            </w:r>
          </w:p>
          <w:p w14:paraId="6DEA108F" w14:textId="77777777" w:rsidR="00094656" w:rsidRPr="00640161" w:rsidRDefault="00094656" w:rsidP="0067273F">
            <w:pPr>
              <w:pStyle w:val="TableParagraph"/>
              <w:ind w:left="0"/>
              <w:rPr>
                <w:rFonts w:asciiTheme="minorHAnsi" w:hAnsiTheme="minorHAnsi" w:cstheme="minorHAnsi"/>
                <w:b/>
              </w:rPr>
            </w:pPr>
          </w:p>
          <w:p w14:paraId="478A36F5" w14:textId="77777777" w:rsidR="00094656" w:rsidRPr="00640161" w:rsidRDefault="00094656" w:rsidP="0067273F">
            <w:pPr>
              <w:pStyle w:val="TableParagraph"/>
              <w:ind w:right="97"/>
              <w:rPr>
                <w:rFonts w:asciiTheme="minorHAnsi" w:hAnsiTheme="minorHAnsi" w:cstheme="minorHAnsi"/>
                <w:color w:val="000000" w:themeColor="text1"/>
                <w:spacing w:val="-2"/>
              </w:rPr>
            </w:pPr>
            <w:hyperlink r:id="rId31">
              <w:r w:rsidRPr="00640161">
                <w:rPr>
                  <w:rFonts w:asciiTheme="minorHAnsi" w:hAnsiTheme="minorHAnsi" w:cstheme="minorHAnsi"/>
                  <w:color w:val="000000" w:themeColor="text1"/>
                  <w:spacing w:val="-2"/>
                </w:rPr>
                <w:t>https://w</w:t>
              </w:r>
            </w:hyperlink>
            <w:r w:rsidRPr="00640161">
              <w:rPr>
                <w:rFonts w:asciiTheme="minorHAnsi" w:hAnsiTheme="minorHAnsi" w:cstheme="minorHAnsi"/>
                <w:color w:val="000000" w:themeColor="text1"/>
                <w:spacing w:val="-2"/>
              </w:rPr>
              <w:t>ww.chil</w:t>
            </w:r>
            <w:hyperlink r:id="rId32">
              <w:r w:rsidRPr="00640161">
                <w:rPr>
                  <w:rFonts w:asciiTheme="minorHAnsi" w:hAnsiTheme="minorHAnsi" w:cstheme="minorHAnsi"/>
                  <w:color w:val="000000" w:themeColor="text1"/>
                  <w:spacing w:val="-2"/>
                </w:rPr>
                <w:t>drens.health.qld.</w:t>
              </w:r>
            </w:hyperlink>
            <w:r w:rsidRPr="00640161">
              <w:rPr>
                <w:rFonts w:asciiTheme="minorHAnsi" w:hAnsiTheme="minorHAnsi" w:cstheme="minorHAnsi"/>
                <w:color w:val="000000" w:themeColor="text1"/>
                <w:spacing w:val="-2"/>
              </w:rPr>
              <w:t>g</w:t>
            </w:r>
            <w:hyperlink r:id="rId33">
              <w:r w:rsidRPr="00640161">
                <w:rPr>
                  <w:rFonts w:asciiTheme="minorHAnsi" w:hAnsiTheme="minorHAnsi" w:cstheme="minorHAnsi"/>
                  <w:color w:val="000000" w:themeColor="text1"/>
                  <w:spacing w:val="-2"/>
                </w:rPr>
                <w:t>ov.a</w:t>
              </w:r>
            </w:hyperlink>
            <w:r w:rsidRPr="00640161">
              <w:rPr>
                <w:rFonts w:asciiTheme="minorHAnsi" w:hAnsiTheme="minorHAnsi" w:cstheme="minorHAnsi"/>
                <w:color w:val="000000" w:themeColor="text1"/>
                <w:spacing w:val="-2"/>
              </w:rPr>
              <w:t xml:space="preserve"> u/for-health-professionals/queensland-paediatric-emergency-care-qpec/queensland-paediatric-clinical- guidelines/</w:t>
            </w:r>
            <w:proofErr w:type="spellStart"/>
            <w:r w:rsidRPr="00640161">
              <w:rPr>
                <w:rFonts w:asciiTheme="minorHAnsi" w:hAnsiTheme="minorHAnsi" w:cstheme="minorHAnsi"/>
                <w:color w:val="000000" w:themeColor="text1"/>
                <w:spacing w:val="-2"/>
              </w:rPr>
              <w:t>dka</w:t>
            </w:r>
            <w:proofErr w:type="spellEnd"/>
            <w:r w:rsidRPr="00640161">
              <w:rPr>
                <w:rFonts w:asciiTheme="minorHAnsi" w:hAnsiTheme="minorHAnsi" w:cstheme="minorHAnsi"/>
                <w:color w:val="000000" w:themeColor="text1"/>
                <w:spacing w:val="-2"/>
              </w:rPr>
              <w:t>-hyperosmolar-hyperglycaemic-state</w:t>
            </w:r>
          </w:p>
        </w:tc>
        <w:tc>
          <w:tcPr>
            <w:tcW w:w="1417" w:type="dxa"/>
          </w:tcPr>
          <w:p w14:paraId="1C6B3C55" w14:textId="77777777" w:rsidR="00094656" w:rsidRDefault="00094656" w:rsidP="0067273F">
            <w:pPr>
              <w:pStyle w:val="TableParagraph"/>
              <w:rPr>
                <w:rFonts w:asciiTheme="minorHAnsi" w:hAnsiTheme="minorHAnsi" w:cstheme="minorHAnsi"/>
              </w:rPr>
            </w:pPr>
            <w:r w:rsidRPr="00640161">
              <w:rPr>
                <w:rFonts w:asciiTheme="minorHAnsi" w:hAnsiTheme="minorHAnsi" w:cstheme="minorHAnsi"/>
              </w:rPr>
              <w:t>RACGP</w:t>
            </w:r>
          </w:p>
          <w:p w14:paraId="58F64EDC" w14:textId="77777777" w:rsidR="00094656" w:rsidRPr="00640161" w:rsidRDefault="00094656" w:rsidP="0067273F">
            <w:pPr>
              <w:pStyle w:val="TableParagraph"/>
              <w:rPr>
                <w:rFonts w:asciiTheme="minorHAnsi" w:hAnsiTheme="minorHAnsi" w:cstheme="minorHAnsi"/>
              </w:rPr>
            </w:pPr>
          </w:p>
        </w:tc>
        <w:tc>
          <w:tcPr>
            <w:tcW w:w="1560" w:type="dxa"/>
          </w:tcPr>
          <w:p w14:paraId="7C3C40C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Paediatrics</w:t>
            </w:r>
          </w:p>
        </w:tc>
        <w:tc>
          <w:tcPr>
            <w:tcW w:w="2126" w:type="dxa"/>
          </w:tcPr>
          <w:p w14:paraId="2E8E4A5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“female”, “male”, “girl”, “boy” not found in text search.</w:t>
            </w:r>
          </w:p>
        </w:tc>
        <w:tc>
          <w:tcPr>
            <w:tcW w:w="1984" w:type="dxa"/>
          </w:tcPr>
          <w:p w14:paraId="23C5E376"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79B3FE21"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09293725"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w:t>
            </w:r>
            <w:r>
              <w:rPr>
                <w:rFonts w:asciiTheme="minorHAnsi" w:hAnsiTheme="minorHAnsi" w:cstheme="minorHAnsi"/>
              </w:rPr>
              <w:t>o details of method</w:t>
            </w:r>
          </w:p>
        </w:tc>
      </w:tr>
      <w:tr w:rsidR="00094656" w:rsidRPr="00640161" w14:paraId="4B32FC0D" w14:textId="77777777" w:rsidTr="0067273F">
        <w:trPr>
          <w:cantSplit/>
        </w:trPr>
        <w:tc>
          <w:tcPr>
            <w:tcW w:w="1575" w:type="dxa"/>
          </w:tcPr>
          <w:p w14:paraId="4F65EDBF"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Clinical Oncology Society of Australia (COSA)</w:t>
            </w:r>
          </w:p>
        </w:tc>
        <w:tc>
          <w:tcPr>
            <w:tcW w:w="3119" w:type="dxa"/>
          </w:tcPr>
          <w:p w14:paraId="145EA39D" w14:textId="77777777" w:rsidR="00094656" w:rsidRPr="00806C15" w:rsidRDefault="00094656" w:rsidP="00654E94">
            <w:pPr>
              <w:ind w:left="142"/>
              <w:rPr>
                <w:b/>
                <w:bCs/>
              </w:rPr>
            </w:pPr>
            <w:bookmarkStart w:id="355" w:name="_Toc168390518"/>
            <w:bookmarkStart w:id="356" w:name="_Toc168390886"/>
            <w:bookmarkStart w:id="357" w:name="_Toc168390952"/>
            <w:r w:rsidRPr="00806C15">
              <w:t>COSA guidelines for fertility preservation for people with cancer. Updated 2022</w:t>
            </w:r>
            <w:bookmarkEnd w:id="355"/>
            <w:bookmarkEnd w:id="356"/>
            <w:bookmarkEnd w:id="357"/>
          </w:p>
          <w:p w14:paraId="5120250C"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https://www.cancer.org.au/clinical-guidelines/cancer-fertility-preservation</w:t>
            </w:r>
          </w:p>
        </w:tc>
        <w:tc>
          <w:tcPr>
            <w:tcW w:w="1417" w:type="dxa"/>
          </w:tcPr>
          <w:p w14:paraId="593A15C6"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CANTEEN</w:t>
            </w:r>
          </w:p>
          <w:p w14:paraId="246233A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Fertility Society of Australia &amp; New Zealand</w:t>
            </w:r>
          </w:p>
        </w:tc>
        <w:tc>
          <w:tcPr>
            <w:tcW w:w="1560" w:type="dxa"/>
          </w:tcPr>
          <w:p w14:paraId="66648EFE"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Oncology</w:t>
            </w:r>
          </w:p>
        </w:tc>
        <w:tc>
          <w:tcPr>
            <w:tcW w:w="2126" w:type="dxa"/>
          </w:tcPr>
          <w:p w14:paraId="3ACE93B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Terms not defined. Sex used correctly.</w:t>
            </w:r>
          </w:p>
        </w:tc>
        <w:tc>
          <w:tcPr>
            <w:tcW w:w="1984" w:type="dxa"/>
          </w:tcPr>
          <w:p w14:paraId="2206C853"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Detailed information about women, men.</w:t>
            </w:r>
          </w:p>
        </w:tc>
        <w:tc>
          <w:tcPr>
            <w:tcW w:w="1843" w:type="dxa"/>
          </w:tcPr>
          <w:p w14:paraId="793FEBFE"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Psychosocial aspects relevant to women, men.</w:t>
            </w:r>
          </w:p>
        </w:tc>
        <w:tc>
          <w:tcPr>
            <w:tcW w:w="1276" w:type="dxa"/>
          </w:tcPr>
          <w:p w14:paraId="244D794B"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NHMRC evidence hierarchy; consensus</w:t>
            </w:r>
          </w:p>
        </w:tc>
      </w:tr>
      <w:tr w:rsidR="00094656" w:rsidRPr="00640161" w14:paraId="1CBD90A3" w14:textId="77777777" w:rsidTr="0067273F">
        <w:trPr>
          <w:cantSplit/>
        </w:trPr>
        <w:tc>
          <w:tcPr>
            <w:tcW w:w="1575" w:type="dxa"/>
          </w:tcPr>
          <w:p w14:paraId="7DFC5556"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Commonwealth</w:t>
            </w:r>
            <w:r w:rsidRPr="00640161">
              <w:rPr>
                <w:rFonts w:asciiTheme="minorHAnsi" w:hAnsiTheme="minorHAnsi" w:cstheme="minorHAnsi"/>
                <w:b/>
                <w:spacing w:val="-13"/>
              </w:rPr>
              <w:t xml:space="preserve"> </w:t>
            </w:r>
            <w:r w:rsidRPr="00640161">
              <w:rPr>
                <w:rFonts w:asciiTheme="minorHAnsi" w:hAnsiTheme="minorHAnsi" w:cstheme="minorHAnsi"/>
                <w:b/>
              </w:rPr>
              <w:t xml:space="preserve">of </w:t>
            </w:r>
            <w:r w:rsidRPr="00640161">
              <w:rPr>
                <w:rFonts w:asciiTheme="minorHAnsi" w:hAnsiTheme="minorHAnsi" w:cstheme="minorHAnsi"/>
                <w:b/>
                <w:spacing w:val="-2"/>
              </w:rPr>
              <w:t xml:space="preserve">Australia </w:t>
            </w:r>
            <w:r w:rsidRPr="00640161">
              <w:rPr>
                <w:rFonts w:asciiTheme="minorHAnsi" w:hAnsiTheme="minorHAnsi" w:cstheme="minorHAnsi"/>
                <w:b/>
              </w:rPr>
              <w:t xml:space="preserve">Department of Health and Aged </w:t>
            </w:r>
            <w:r w:rsidRPr="00640161">
              <w:rPr>
                <w:rFonts w:asciiTheme="minorHAnsi" w:hAnsiTheme="minorHAnsi" w:cstheme="minorHAnsi"/>
                <w:b/>
                <w:spacing w:val="-4"/>
              </w:rPr>
              <w:t>Care</w:t>
            </w:r>
          </w:p>
        </w:tc>
        <w:tc>
          <w:tcPr>
            <w:tcW w:w="3119" w:type="dxa"/>
          </w:tcPr>
          <w:p w14:paraId="5462C38B"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2023 Australian</w:t>
            </w:r>
            <w:r w:rsidRPr="00640161">
              <w:rPr>
                <w:rFonts w:asciiTheme="minorHAnsi" w:hAnsiTheme="minorHAnsi" w:cstheme="minorHAnsi"/>
                <w:spacing w:val="-9"/>
              </w:rPr>
              <w:t xml:space="preserve"> </w:t>
            </w:r>
            <w:r w:rsidRPr="00640161">
              <w:rPr>
                <w:rFonts w:asciiTheme="minorHAnsi" w:hAnsiTheme="minorHAnsi" w:cstheme="minorHAnsi"/>
              </w:rPr>
              <w:t>Guideline</w:t>
            </w:r>
            <w:r w:rsidRPr="00640161">
              <w:rPr>
                <w:rFonts w:asciiTheme="minorHAnsi" w:hAnsiTheme="minorHAnsi" w:cstheme="minorHAnsi"/>
                <w:spacing w:val="-9"/>
              </w:rPr>
              <w:t xml:space="preserve"> </w:t>
            </w:r>
            <w:r w:rsidRPr="00640161">
              <w:rPr>
                <w:rFonts w:asciiTheme="minorHAnsi" w:hAnsiTheme="minorHAnsi" w:cstheme="minorHAnsi"/>
              </w:rPr>
              <w:t>for</w:t>
            </w:r>
            <w:r w:rsidRPr="00640161">
              <w:rPr>
                <w:rFonts w:asciiTheme="minorHAnsi" w:hAnsiTheme="minorHAnsi" w:cstheme="minorHAnsi"/>
                <w:spacing w:val="-9"/>
              </w:rPr>
              <w:t xml:space="preserve"> </w:t>
            </w:r>
            <w:r w:rsidRPr="00640161">
              <w:rPr>
                <w:rFonts w:asciiTheme="minorHAnsi" w:hAnsiTheme="minorHAnsi" w:cstheme="minorHAnsi"/>
              </w:rPr>
              <w:t>assessing</w:t>
            </w:r>
            <w:r w:rsidRPr="00640161">
              <w:rPr>
                <w:rFonts w:asciiTheme="minorHAnsi" w:hAnsiTheme="minorHAnsi" w:cstheme="minorHAnsi"/>
                <w:spacing w:val="-9"/>
              </w:rPr>
              <w:t xml:space="preserve"> </w:t>
            </w:r>
            <w:r w:rsidRPr="00640161">
              <w:rPr>
                <w:rFonts w:asciiTheme="minorHAnsi" w:hAnsiTheme="minorHAnsi" w:cstheme="minorHAnsi"/>
              </w:rPr>
              <w:t xml:space="preserve">and managing cardiovascular disease risk, </w:t>
            </w:r>
            <w:r w:rsidRPr="00640161">
              <w:rPr>
                <w:rFonts w:asciiTheme="minorHAnsi" w:hAnsiTheme="minorHAnsi" w:cstheme="minorHAnsi"/>
                <w:spacing w:val="-4"/>
              </w:rPr>
              <w:t>2024</w:t>
            </w:r>
          </w:p>
          <w:p w14:paraId="6BF49CB6" w14:textId="77777777" w:rsidR="00094656" w:rsidRPr="00640161" w:rsidRDefault="00094656" w:rsidP="0067273F">
            <w:pPr>
              <w:pStyle w:val="TableParagraph"/>
              <w:spacing w:before="0"/>
              <w:ind w:left="108" w:right="96"/>
              <w:rPr>
                <w:rFonts w:asciiTheme="minorHAnsi" w:hAnsiTheme="minorHAnsi" w:cstheme="minorHAnsi"/>
                <w:b/>
              </w:rPr>
            </w:pPr>
          </w:p>
          <w:p w14:paraId="222CDD91" w14:textId="77777777" w:rsidR="00094656" w:rsidRPr="00640161" w:rsidRDefault="00094656" w:rsidP="0067273F">
            <w:pPr>
              <w:pStyle w:val="TableParagraph"/>
              <w:ind w:left="108" w:right="96"/>
              <w:rPr>
                <w:rFonts w:asciiTheme="minorHAnsi" w:hAnsiTheme="minorHAnsi" w:cstheme="minorHAnsi"/>
                <w:spacing w:val="-2"/>
              </w:rPr>
            </w:pPr>
            <w:r w:rsidRPr="00640161">
              <w:rPr>
                <w:rFonts w:asciiTheme="minorHAnsi" w:hAnsiTheme="minorHAnsi" w:cstheme="minorHAnsi"/>
                <w:shd w:val="clear" w:color="auto" w:fill="FFFFFF"/>
              </w:rPr>
              <w:t xml:space="preserve">Nelson et al. (2024). 2023 Australian guideline for assessing and managing cardiovascular disease risk. </w:t>
            </w:r>
            <w:r w:rsidRPr="00640161">
              <w:rPr>
                <w:rFonts w:asciiTheme="minorHAnsi" w:hAnsiTheme="minorHAnsi" w:cstheme="minorHAnsi"/>
                <w:i/>
                <w:iCs/>
                <w:shd w:val="clear" w:color="auto" w:fill="FFFFFF"/>
              </w:rPr>
              <w:t>Medical Journal of Australia</w:t>
            </w:r>
            <w:r w:rsidRPr="00640161">
              <w:rPr>
                <w:rFonts w:asciiTheme="minorHAnsi" w:hAnsiTheme="minorHAnsi" w:cstheme="minorHAnsi"/>
                <w:shd w:val="clear" w:color="auto" w:fill="FFFFFF"/>
              </w:rPr>
              <w:t>.</w:t>
            </w:r>
            <w:r w:rsidRPr="00640161">
              <w:rPr>
                <w:rFonts w:asciiTheme="minorHAnsi" w:hAnsiTheme="minorHAnsi" w:cstheme="minorHAnsi"/>
                <w:b/>
              </w:rPr>
              <w:t xml:space="preserve"> </w:t>
            </w:r>
            <w:r w:rsidRPr="00640161">
              <w:rPr>
                <w:rFonts w:asciiTheme="minorHAnsi" w:hAnsiTheme="minorHAnsi" w:cstheme="minorHAnsi"/>
                <w:spacing w:val="-2"/>
              </w:rPr>
              <w:t>DOI:10.5694/mja2.52280</w:t>
            </w:r>
          </w:p>
        </w:tc>
        <w:tc>
          <w:tcPr>
            <w:tcW w:w="1417" w:type="dxa"/>
          </w:tcPr>
          <w:p w14:paraId="2E3CC94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RACGP</w:t>
            </w:r>
          </w:p>
        </w:tc>
        <w:tc>
          <w:tcPr>
            <w:tcW w:w="1560" w:type="dxa"/>
          </w:tcPr>
          <w:p w14:paraId="6D02C58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Cardiology</w:t>
            </w:r>
          </w:p>
        </w:tc>
        <w:tc>
          <w:tcPr>
            <w:tcW w:w="2126" w:type="dxa"/>
          </w:tcPr>
          <w:p w14:paraId="1E613F0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w:t>
            </w:r>
            <w:r w:rsidRPr="00640161">
              <w:rPr>
                <w:rFonts w:asciiTheme="minorHAnsi" w:hAnsiTheme="minorHAnsi" w:cstheme="minorHAnsi"/>
                <w:spacing w:val="-10"/>
              </w:rPr>
              <w:t xml:space="preserve"> </w:t>
            </w:r>
            <w:r w:rsidRPr="00640161">
              <w:rPr>
                <w:rFonts w:asciiTheme="minorHAnsi" w:hAnsiTheme="minorHAnsi" w:cstheme="minorHAnsi"/>
              </w:rPr>
              <w:t>used</w:t>
            </w:r>
            <w:r>
              <w:rPr>
                <w:rFonts w:asciiTheme="minorHAnsi" w:hAnsiTheme="minorHAnsi" w:cstheme="minorHAnsi"/>
              </w:rPr>
              <w:t xml:space="preserve"> once</w:t>
            </w:r>
            <w:r w:rsidRPr="00640161">
              <w:rPr>
                <w:rFonts w:asciiTheme="minorHAnsi" w:hAnsiTheme="minorHAnsi" w:cstheme="minorHAnsi"/>
                <w:spacing w:val="-10"/>
              </w:rPr>
              <w:t xml:space="preserve"> </w:t>
            </w:r>
            <w:r w:rsidRPr="00640161">
              <w:rPr>
                <w:rFonts w:asciiTheme="minorHAnsi" w:hAnsiTheme="minorHAnsi" w:cstheme="minorHAnsi"/>
              </w:rPr>
              <w:t>correctly</w:t>
            </w:r>
            <w:r>
              <w:rPr>
                <w:rFonts w:asciiTheme="minorHAnsi" w:hAnsiTheme="minorHAnsi" w:cstheme="minorHAnsi"/>
                <w:spacing w:val="-10"/>
              </w:rPr>
              <w:t>;</w:t>
            </w:r>
            <w:r w:rsidRPr="00640161">
              <w:rPr>
                <w:rFonts w:asciiTheme="minorHAnsi" w:hAnsiTheme="minorHAnsi" w:cstheme="minorHAnsi"/>
                <w:spacing w:val="-10"/>
              </w:rPr>
              <w:t xml:space="preserve"> </w:t>
            </w:r>
            <w:r w:rsidRPr="00640161">
              <w:rPr>
                <w:rFonts w:asciiTheme="minorHAnsi" w:hAnsiTheme="minorHAnsi" w:cstheme="minorHAnsi"/>
              </w:rPr>
              <w:t xml:space="preserve">not </w:t>
            </w:r>
            <w:r w:rsidRPr="00640161">
              <w:rPr>
                <w:rFonts w:asciiTheme="minorHAnsi" w:hAnsiTheme="minorHAnsi" w:cstheme="minorHAnsi"/>
                <w:spacing w:val="-2"/>
              </w:rPr>
              <w:t>defined.</w:t>
            </w:r>
            <w:r>
              <w:rPr>
                <w:rFonts w:asciiTheme="minorHAnsi" w:hAnsiTheme="minorHAnsi" w:cstheme="minorHAnsi"/>
                <w:spacing w:val="-2"/>
              </w:rPr>
              <w:t xml:space="preserve"> Use “women”, “men”.  “Gender” not located.</w:t>
            </w:r>
          </w:p>
        </w:tc>
        <w:tc>
          <w:tcPr>
            <w:tcW w:w="1984" w:type="dxa"/>
          </w:tcPr>
          <w:p w14:paraId="13BC1882"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prevalence,</w:t>
            </w:r>
            <w:r w:rsidRPr="00640161">
              <w:rPr>
                <w:rFonts w:asciiTheme="minorHAnsi" w:hAnsiTheme="minorHAnsi" w:cstheme="minorHAnsi"/>
                <w:spacing w:val="-12"/>
              </w:rPr>
              <w:t xml:space="preserve"> </w:t>
            </w:r>
            <w:r w:rsidRPr="00640161">
              <w:rPr>
                <w:rFonts w:asciiTheme="minorHAnsi" w:hAnsiTheme="minorHAnsi" w:cstheme="minorHAnsi"/>
              </w:rPr>
              <w:t xml:space="preserve">risk factors, diagnostic &amp; </w:t>
            </w:r>
            <w:r w:rsidRPr="00640161">
              <w:rPr>
                <w:rFonts w:asciiTheme="minorHAnsi" w:hAnsiTheme="minorHAnsi" w:cstheme="minorHAnsi"/>
                <w:spacing w:val="-2"/>
              </w:rPr>
              <w:t>management recommendations.</w:t>
            </w:r>
          </w:p>
        </w:tc>
        <w:tc>
          <w:tcPr>
            <w:tcW w:w="1843" w:type="dxa"/>
          </w:tcPr>
          <w:p w14:paraId="3204FDB5"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0485D15D"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1D942AAE" w14:textId="77777777" w:rsidTr="0067273F">
        <w:trPr>
          <w:cantSplit/>
        </w:trPr>
        <w:tc>
          <w:tcPr>
            <w:tcW w:w="1575" w:type="dxa"/>
          </w:tcPr>
          <w:p w14:paraId="2F628B5E"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Endocrine</w:t>
            </w:r>
            <w:r w:rsidRPr="00640161">
              <w:rPr>
                <w:rFonts w:asciiTheme="minorHAnsi" w:hAnsiTheme="minorHAnsi" w:cstheme="minorHAnsi"/>
                <w:b/>
                <w:spacing w:val="-13"/>
              </w:rPr>
              <w:t xml:space="preserve"> </w:t>
            </w:r>
            <w:r>
              <w:rPr>
                <w:rFonts w:asciiTheme="minorHAnsi" w:hAnsiTheme="minorHAnsi" w:cstheme="minorHAnsi"/>
                <w:b/>
              </w:rPr>
              <w:t>S</w:t>
            </w:r>
            <w:r w:rsidRPr="00640161">
              <w:rPr>
                <w:rFonts w:asciiTheme="minorHAnsi" w:hAnsiTheme="minorHAnsi" w:cstheme="minorHAnsi"/>
                <w:b/>
              </w:rPr>
              <w:t>ociety</w:t>
            </w:r>
            <w:r w:rsidRPr="00640161">
              <w:rPr>
                <w:rFonts w:asciiTheme="minorHAnsi" w:hAnsiTheme="minorHAnsi" w:cstheme="minorHAnsi"/>
                <w:b/>
                <w:spacing w:val="-12"/>
              </w:rPr>
              <w:t xml:space="preserve"> </w:t>
            </w:r>
            <w:r w:rsidRPr="00640161">
              <w:rPr>
                <w:rFonts w:asciiTheme="minorHAnsi" w:hAnsiTheme="minorHAnsi" w:cstheme="minorHAnsi"/>
                <w:b/>
              </w:rPr>
              <w:t xml:space="preserve">of </w:t>
            </w:r>
            <w:r w:rsidRPr="00640161">
              <w:rPr>
                <w:rFonts w:asciiTheme="minorHAnsi" w:hAnsiTheme="minorHAnsi" w:cstheme="minorHAnsi"/>
                <w:b/>
                <w:spacing w:val="-2"/>
              </w:rPr>
              <w:t>Australia</w:t>
            </w:r>
          </w:p>
        </w:tc>
        <w:tc>
          <w:tcPr>
            <w:tcW w:w="3119" w:type="dxa"/>
          </w:tcPr>
          <w:p w14:paraId="728959EE" w14:textId="77777777" w:rsidR="00094656" w:rsidRPr="007A2B68" w:rsidRDefault="00094656" w:rsidP="0067273F">
            <w:pPr>
              <w:pStyle w:val="TableParagraph"/>
              <w:ind w:left="108" w:right="96"/>
              <w:rPr>
                <w:rFonts w:asciiTheme="minorHAnsi" w:hAnsiTheme="minorHAnsi" w:cstheme="minorHAnsi"/>
              </w:rPr>
            </w:pPr>
            <w:r w:rsidRPr="007A2B68">
              <w:rPr>
                <w:rFonts w:asciiTheme="minorHAnsi" w:hAnsiTheme="minorHAnsi" w:cstheme="minorHAnsi"/>
              </w:rPr>
              <w:t>Guidelines</w:t>
            </w:r>
            <w:r w:rsidRPr="007A2B68">
              <w:rPr>
                <w:rFonts w:asciiTheme="minorHAnsi" w:hAnsiTheme="minorHAnsi" w:cstheme="minorHAnsi"/>
                <w:spacing w:val="-9"/>
              </w:rPr>
              <w:t xml:space="preserve"> </w:t>
            </w:r>
            <w:r w:rsidRPr="007A2B68">
              <w:rPr>
                <w:rFonts w:asciiTheme="minorHAnsi" w:hAnsiTheme="minorHAnsi" w:cstheme="minorHAnsi"/>
              </w:rPr>
              <w:t>for</w:t>
            </w:r>
            <w:r w:rsidRPr="007A2B68">
              <w:rPr>
                <w:rFonts w:asciiTheme="minorHAnsi" w:hAnsiTheme="minorHAnsi" w:cstheme="minorHAnsi"/>
                <w:spacing w:val="-9"/>
              </w:rPr>
              <w:t xml:space="preserve"> </w:t>
            </w:r>
            <w:r w:rsidRPr="007A2B68">
              <w:rPr>
                <w:rFonts w:asciiTheme="minorHAnsi" w:hAnsiTheme="minorHAnsi" w:cstheme="minorHAnsi"/>
              </w:rPr>
              <w:t>the</w:t>
            </w:r>
            <w:r w:rsidRPr="007A2B68">
              <w:rPr>
                <w:rFonts w:asciiTheme="minorHAnsi" w:hAnsiTheme="minorHAnsi" w:cstheme="minorHAnsi"/>
                <w:spacing w:val="-9"/>
              </w:rPr>
              <w:t xml:space="preserve"> </w:t>
            </w:r>
            <w:r w:rsidRPr="007A2B68">
              <w:rPr>
                <w:rFonts w:asciiTheme="minorHAnsi" w:hAnsiTheme="minorHAnsi" w:cstheme="minorHAnsi"/>
              </w:rPr>
              <w:t>Management</w:t>
            </w:r>
            <w:r w:rsidRPr="007A2B68">
              <w:rPr>
                <w:rFonts w:asciiTheme="minorHAnsi" w:hAnsiTheme="minorHAnsi" w:cstheme="minorHAnsi"/>
                <w:spacing w:val="-9"/>
              </w:rPr>
              <w:t xml:space="preserve"> </w:t>
            </w:r>
            <w:r w:rsidRPr="007A2B68">
              <w:rPr>
                <w:rFonts w:asciiTheme="minorHAnsi" w:hAnsiTheme="minorHAnsi" w:cstheme="minorHAnsi"/>
              </w:rPr>
              <w:t>of Thyroid Cancer, 2014</w:t>
            </w:r>
          </w:p>
          <w:p w14:paraId="1A4BF5ED" w14:textId="77777777" w:rsidR="00094656" w:rsidRPr="007A2B68" w:rsidRDefault="00094656" w:rsidP="0067273F">
            <w:pPr>
              <w:pStyle w:val="TableParagraph"/>
              <w:ind w:left="108" w:right="96"/>
              <w:rPr>
                <w:rFonts w:asciiTheme="minorHAnsi" w:hAnsiTheme="minorHAnsi" w:cstheme="minorHAnsi"/>
              </w:rPr>
            </w:pPr>
            <w:r w:rsidRPr="007A2B68">
              <w:rPr>
                <w:rFonts w:asciiTheme="minorHAnsi" w:hAnsiTheme="minorHAnsi" w:cstheme="minorHAnsi"/>
              </w:rPr>
              <w:t>(British guidelines adopted for Australia)</w:t>
            </w:r>
          </w:p>
          <w:p w14:paraId="6F263F50" w14:textId="77777777" w:rsidR="00094656" w:rsidRPr="007A2B68" w:rsidRDefault="00094656" w:rsidP="0067273F">
            <w:pPr>
              <w:pStyle w:val="TableParagraph"/>
              <w:spacing w:before="3"/>
              <w:ind w:left="108" w:right="96"/>
              <w:rPr>
                <w:rFonts w:asciiTheme="minorHAnsi" w:hAnsiTheme="minorHAnsi" w:cstheme="minorHAnsi"/>
                <w:b/>
              </w:rPr>
            </w:pPr>
          </w:p>
          <w:p w14:paraId="2957E570" w14:textId="77777777" w:rsidR="00094656" w:rsidRPr="00640161" w:rsidRDefault="00094656" w:rsidP="0067273F">
            <w:pPr>
              <w:pStyle w:val="TableParagraph"/>
              <w:spacing w:before="0"/>
              <w:ind w:left="108" w:right="96"/>
              <w:rPr>
                <w:rFonts w:asciiTheme="minorHAnsi" w:hAnsiTheme="minorHAnsi" w:cstheme="minorHAnsi"/>
                <w:spacing w:val="-2"/>
                <w:u w:val="single"/>
              </w:rPr>
            </w:pPr>
            <w:r w:rsidRPr="00640161">
              <w:rPr>
                <w:rFonts w:asciiTheme="minorHAnsi" w:hAnsiTheme="minorHAnsi" w:cstheme="minorHAnsi"/>
              </w:rPr>
              <w:t>Perros</w:t>
            </w:r>
            <w:r w:rsidRPr="00640161">
              <w:rPr>
                <w:rFonts w:asciiTheme="minorHAnsi" w:hAnsiTheme="minorHAnsi" w:cstheme="minorHAnsi"/>
                <w:spacing w:val="-6"/>
              </w:rPr>
              <w:t xml:space="preserve"> </w:t>
            </w:r>
            <w:r w:rsidRPr="00640161">
              <w:rPr>
                <w:rFonts w:asciiTheme="minorHAnsi" w:hAnsiTheme="minorHAnsi" w:cstheme="minorHAnsi"/>
              </w:rPr>
              <w:t>et</w:t>
            </w:r>
            <w:r w:rsidRPr="00640161">
              <w:rPr>
                <w:rFonts w:asciiTheme="minorHAnsi" w:hAnsiTheme="minorHAnsi" w:cstheme="minorHAnsi"/>
                <w:spacing w:val="-7"/>
              </w:rPr>
              <w:t xml:space="preserve"> </w:t>
            </w:r>
            <w:r w:rsidRPr="00640161">
              <w:rPr>
                <w:rFonts w:asciiTheme="minorHAnsi" w:hAnsiTheme="minorHAnsi" w:cstheme="minorHAnsi"/>
              </w:rPr>
              <w:t>al.</w:t>
            </w:r>
            <w:r w:rsidRPr="00640161">
              <w:rPr>
                <w:rFonts w:asciiTheme="minorHAnsi" w:hAnsiTheme="minorHAnsi" w:cstheme="minorHAnsi"/>
                <w:spacing w:val="-7"/>
              </w:rPr>
              <w:t xml:space="preserve"> </w:t>
            </w:r>
            <w:r w:rsidRPr="00640161">
              <w:rPr>
                <w:rFonts w:asciiTheme="minorHAnsi" w:hAnsiTheme="minorHAnsi" w:cstheme="minorHAnsi"/>
              </w:rPr>
              <w:t>(2014).</w:t>
            </w:r>
            <w:r w:rsidRPr="00640161">
              <w:rPr>
                <w:rFonts w:asciiTheme="minorHAnsi" w:hAnsiTheme="minorHAnsi" w:cstheme="minorHAnsi"/>
                <w:spacing w:val="-7"/>
              </w:rPr>
              <w:t xml:space="preserve"> </w:t>
            </w:r>
            <w:r w:rsidRPr="00640161">
              <w:rPr>
                <w:rFonts w:asciiTheme="minorHAnsi" w:hAnsiTheme="minorHAnsi" w:cstheme="minorHAnsi"/>
              </w:rPr>
              <w:t>Guidelines</w:t>
            </w:r>
            <w:r w:rsidRPr="00640161">
              <w:rPr>
                <w:rFonts w:asciiTheme="minorHAnsi" w:hAnsiTheme="minorHAnsi" w:cstheme="minorHAnsi"/>
                <w:spacing w:val="-7"/>
              </w:rPr>
              <w:t xml:space="preserve"> </w:t>
            </w:r>
            <w:r w:rsidRPr="00640161">
              <w:rPr>
                <w:rFonts w:asciiTheme="minorHAnsi" w:hAnsiTheme="minorHAnsi" w:cstheme="minorHAnsi"/>
              </w:rPr>
              <w:t xml:space="preserve">for the management of thyroid cancer. </w:t>
            </w:r>
            <w:r w:rsidRPr="00640161">
              <w:rPr>
                <w:rFonts w:asciiTheme="minorHAnsi" w:hAnsiTheme="minorHAnsi" w:cstheme="minorHAnsi"/>
                <w:i/>
              </w:rPr>
              <w:t>Clinical Endocrinology</w:t>
            </w:r>
            <w:r w:rsidRPr="00640161">
              <w:rPr>
                <w:rFonts w:asciiTheme="minorHAnsi" w:hAnsiTheme="minorHAnsi" w:cstheme="minorHAnsi"/>
              </w:rPr>
              <w:t xml:space="preserve">, </w:t>
            </w:r>
            <w:r w:rsidRPr="00640161">
              <w:rPr>
                <w:rFonts w:asciiTheme="minorHAnsi" w:hAnsiTheme="minorHAnsi" w:cstheme="minorHAnsi"/>
                <w:i/>
              </w:rPr>
              <w:t>81</w:t>
            </w:r>
            <w:r w:rsidRPr="00640161">
              <w:rPr>
                <w:rFonts w:asciiTheme="minorHAnsi" w:hAnsiTheme="minorHAnsi" w:cstheme="minorHAnsi"/>
              </w:rPr>
              <w:t xml:space="preserve">, 1-122. </w:t>
            </w:r>
            <w:r w:rsidRPr="00640161">
              <w:rPr>
                <w:rFonts w:asciiTheme="minorHAnsi" w:hAnsiTheme="minorHAnsi" w:cstheme="minorHAnsi"/>
                <w:spacing w:val="-2"/>
              </w:rPr>
              <w:t>DOI:</w:t>
            </w:r>
            <w:r w:rsidRPr="00640161">
              <w:rPr>
                <w:rFonts w:asciiTheme="minorHAnsi" w:hAnsiTheme="minorHAnsi" w:cstheme="minorHAnsi"/>
                <w:spacing w:val="-2"/>
                <w:u w:val="single"/>
              </w:rPr>
              <w:t>10.1111/cen.12515</w:t>
            </w:r>
          </w:p>
        </w:tc>
        <w:tc>
          <w:tcPr>
            <w:tcW w:w="1417" w:type="dxa"/>
          </w:tcPr>
          <w:p w14:paraId="2C09B974"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Endocrine Society of Australia</w:t>
            </w:r>
          </w:p>
        </w:tc>
        <w:tc>
          <w:tcPr>
            <w:tcW w:w="1560" w:type="dxa"/>
          </w:tcPr>
          <w:p w14:paraId="0C1C60B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Endocrinology </w:t>
            </w:r>
          </w:p>
        </w:tc>
        <w:tc>
          <w:tcPr>
            <w:tcW w:w="2126" w:type="dxa"/>
          </w:tcPr>
          <w:p w14:paraId="37B75AEC"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for “sex”. No definitions.</w:t>
            </w:r>
          </w:p>
        </w:tc>
        <w:tc>
          <w:tcPr>
            <w:tcW w:w="1984" w:type="dxa"/>
          </w:tcPr>
          <w:p w14:paraId="1027CEAD"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S</w:t>
            </w:r>
            <w:r w:rsidRPr="00640161">
              <w:rPr>
                <w:rFonts w:asciiTheme="minorHAnsi" w:hAnsiTheme="minorHAnsi" w:cstheme="minorHAnsi"/>
              </w:rPr>
              <w:t>ex-related</w:t>
            </w:r>
            <w:r w:rsidRPr="00640161">
              <w:rPr>
                <w:rFonts w:asciiTheme="minorHAnsi" w:hAnsiTheme="minorHAnsi" w:cstheme="minorHAnsi"/>
                <w:spacing w:val="-12"/>
              </w:rPr>
              <w:t xml:space="preserve"> </w:t>
            </w:r>
            <w:r>
              <w:rPr>
                <w:rFonts w:asciiTheme="minorHAnsi" w:hAnsiTheme="minorHAnsi" w:cstheme="minorHAnsi"/>
              </w:rPr>
              <w:t>risk factors.</w:t>
            </w:r>
          </w:p>
        </w:tc>
        <w:tc>
          <w:tcPr>
            <w:tcW w:w="1843" w:type="dxa"/>
          </w:tcPr>
          <w:p w14:paraId="62308C80"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7B8AF98A"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SIGN 50.4 grading of evidence; consensus</w:t>
            </w:r>
          </w:p>
        </w:tc>
      </w:tr>
      <w:tr w:rsidR="00094656" w:rsidRPr="00640161" w14:paraId="0C1EEAE2" w14:textId="77777777" w:rsidTr="0067273F">
        <w:trPr>
          <w:cantSplit/>
        </w:trPr>
        <w:tc>
          <w:tcPr>
            <w:tcW w:w="1575" w:type="dxa"/>
          </w:tcPr>
          <w:p w14:paraId="58361F50"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Endocrine</w:t>
            </w:r>
            <w:r w:rsidRPr="00640161">
              <w:rPr>
                <w:rFonts w:asciiTheme="minorHAnsi" w:hAnsiTheme="minorHAnsi" w:cstheme="minorHAnsi"/>
                <w:b/>
                <w:spacing w:val="-13"/>
              </w:rPr>
              <w:t xml:space="preserve"> </w:t>
            </w:r>
            <w:r w:rsidRPr="00640161">
              <w:rPr>
                <w:rFonts w:asciiTheme="minorHAnsi" w:hAnsiTheme="minorHAnsi" w:cstheme="minorHAnsi"/>
                <w:b/>
              </w:rPr>
              <w:t>Society</w:t>
            </w:r>
            <w:r w:rsidRPr="00640161">
              <w:rPr>
                <w:rFonts w:asciiTheme="minorHAnsi" w:hAnsiTheme="minorHAnsi" w:cstheme="minorHAnsi"/>
                <w:b/>
                <w:spacing w:val="-12"/>
              </w:rPr>
              <w:t xml:space="preserve"> </w:t>
            </w:r>
            <w:r w:rsidRPr="00640161">
              <w:rPr>
                <w:rFonts w:asciiTheme="minorHAnsi" w:hAnsiTheme="minorHAnsi" w:cstheme="minorHAnsi"/>
                <w:b/>
              </w:rPr>
              <w:t>of Australia</w:t>
            </w:r>
            <w:r>
              <w:rPr>
                <w:rFonts w:asciiTheme="minorHAnsi" w:hAnsiTheme="minorHAnsi" w:cstheme="minorHAnsi"/>
                <w:b/>
              </w:rPr>
              <w:t>,</w:t>
            </w:r>
            <w:r w:rsidRPr="00640161">
              <w:rPr>
                <w:rFonts w:asciiTheme="minorHAnsi" w:hAnsiTheme="minorHAnsi" w:cstheme="minorHAnsi"/>
                <w:b/>
              </w:rPr>
              <w:t xml:space="preserve"> </w:t>
            </w:r>
            <w:r w:rsidRPr="00640161">
              <w:rPr>
                <w:rFonts w:asciiTheme="minorHAnsi" w:hAnsiTheme="minorHAnsi" w:cstheme="minorHAnsi"/>
                <w:b/>
                <w:spacing w:val="-2"/>
              </w:rPr>
              <w:t xml:space="preserve">Australasian </w:t>
            </w:r>
            <w:r w:rsidRPr="00640161">
              <w:rPr>
                <w:rFonts w:asciiTheme="minorHAnsi" w:hAnsiTheme="minorHAnsi" w:cstheme="minorHAnsi"/>
                <w:b/>
              </w:rPr>
              <w:t>Association of Clinical Biochemists</w:t>
            </w:r>
          </w:p>
        </w:tc>
        <w:tc>
          <w:tcPr>
            <w:tcW w:w="3119" w:type="dxa"/>
          </w:tcPr>
          <w:p w14:paraId="2F5C328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Harmonisation</w:t>
            </w:r>
            <w:r w:rsidRPr="00640161">
              <w:rPr>
                <w:rFonts w:asciiTheme="minorHAnsi" w:hAnsiTheme="minorHAnsi" w:cstheme="minorHAnsi"/>
                <w:spacing w:val="-12"/>
              </w:rPr>
              <w:t xml:space="preserve"> </w:t>
            </w:r>
            <w:r w:rsidRPr="00640161">
              <w:rPr>
                <w:rFonts w:asciiTheme="minorHAnsi" w:hAnsiTheme="minorHAnsi" w:cstheme="minorHAnsi"/>
              </w:rPr>
              <w:t>of</w:t>
            </w:r>
            <w:r w:rsidRPr="00640161">
              <w:rPr>
                <w:rFonts w:asciiTheme="minorHAnsi" w:hAnsiTheme="minorHAnsi" w:cstheme="minorHAnsi"/>
                <w:spacing w:val="-12"/>
              </w:rPr>
              <w:t xml:space="preserve"> </w:t>
            </w:r>
            <w:r w:rsidRPr="00640161">
              <w:rPr>
                <w:rFonts w:asciiTheme="minorHAnsi" w:hAnsiTheme="minorHAnsi" w:cstheme="minorHAnsi"/>
              </w:rPr>
              <w:t>Endocrine</w:t>
            </w:r>
            <w:r w:rsidRPr="00640161">
              <w:rPr>
                <w:rFonts w:asciiTheme="minorHAnsi" w:hAnsiTheme="minorHAnsi" w:cstheme="minorHAnsi"/>
                <w:spacing w:val="-12"/>
              </w:rPr>
              <w:t xml:space="preserve"> </w:t>
            </w:r>
            <w:r w:rsidRPr="00640161">
              <w:rPr>
                <w:rFonts w:asciiTheme="minorHAnsi" w:hAnsiTheme="minorHAnsi" w:cstheme="minorHAnsi"/>
              </w:rPr>
              <w:t>Dynamic Testing–Adult (HEDTA), 2021</w:t>
            </w:r>
          </w:p>
          <w:p w14:paraId="7F0C3A0A" w14:textId="77777777" w:rsidR="00094656" w:rsidRPr="00640161" w:rsidRDefault="00094656" w:rsidP="0067273F">
            <w:pPr>
              <w:pStyle w:val="TableParagraph"/>
              <w:spacing w:before="4"/>
              <w:ind w:left="108" w:right="96"/>
              <w:rPr>
                <w:rFonts w:asciiTheme="minorHAnsi" w:hAnsiTheme="minorHAnsi" w:cstheme="minorHAnsi"/>
                <w:b/>
              </w:rPr>
            </w:pPr>
          </w:p>
          <w:p w14:paraId="131B8447" w14:textId="77777777" w:rsidR="00094656" w:rsidRPr="00640161" w:rsidRDefault="00094656" w:rsidP="0067273F">
            <w:pPr>
              <w:pStyle w:val="TableParagraph"/>
              <w:ind w:left="108" w:right="96"/>
              <w:rPr>
                <w:rFonts w:asciiTheme="minorHAnsi" w:hAnsiTheme="minorHAnsi" w:cstheme="minorHAnsi"/>
              </w:rPr>
            </w:pPr>
            <w:r w:rsidRPr="00D87E50">
              <w:t>https://endocrinesocietry.org.au/guidelinesasp#hedta</w:t>
            </w:r>
          </w:p>
        </w:tc>
        <w:tc>
          <w:tcPr>
            <w:tcW w:w="1417" w:type="dxa"/>
          </w:tcPr>
          <w:p w14:paraId="21AE47D3" w14:textId="77777777" w:rsidR="00094656" w:rsidRPr="008772B0" w:rsidRDefault="00094656" w:rsidP="0067273F">
            <w:pPr>
              <w:pStyle w:val="TableParagraph"/>
              <w:rPr>
                <w:rFonts w:asciiTheme="minorHAnsi" w:hAnsiTheme="minorHAnsi" w:cstheme="minorHAnsi"/>
                <w:bCs/>
              </w:rPr>
            </w:pPr>
            <w:r w:rsidRPr="008772B0">
              <w:rPr>
                <w:rFonts w:asciiTheme="minorHAnsi" w:hAnsiTheme="minorHAnsi" w:cstheme="minorHAnsi"/>
                <w:bCs/>
              </w:rPr>
              <w:t>Endocrine</w:t>
            </w:r>
            <w:r w:rsidRPr="008772B0">
              <w:rPr>
                <w:rFonts w:asciiTheme="minorHAnsi" w:hAnsiTheme="minorHAnsi" w:cstheme="minorHAnsi"/>
                <w:bCs/>
                <w:spacing w:val="-13"/>
              </w:rPr>
              <w:t xml:space="preserve"> </w:t>
            </w:r>
            <w:r w:rsidRPr="008772B0">
              <w:rPr>
                <w:rFonts w:asciiTheme="minorHAnsi" w:hAnsiTheme="minorHAnsi" w:cstheme="minorHAnsi"/>
                <w:bCs/>
              </w:rPr>
              <w:t>Society</w:t>
            </w:r>
            <w:r w:rsidRPr="008772B0">
              <w:rPr>
                <w:rFonts w:asciiTheme="minorHAnsi" w:hAnsiTheme="minorHAnsi" w:cstheme="minorHAnsi"/>
                <w:bCs/>
                <w:spacing w:val="-12"/>
              </w:rPr>
              <w:t xml:space="preserve"> </w:t>
            </w:r>
            <w:r w:rsidRPr="008772B0">
              <w:rPr>
                <w:rFonts w:asciiTheme="minorHAnsi" w:hAnsiTheme="minorHAnsi" w:cstheme="minorHAnsi"/>
                <w:bCs/>
              </w:rPr>
              <w:t>of Australia</w:t>
            </w:r>
          </w:p>
        </w:tc>
        <w:tc>
          <w:tcPr>
            <w:tcW w:w="1560" w:type="dxa"/>
          </w:tcPr>
          <w:p w14:paraId="36062DB0"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Endocrinology</w:t>
            </w:r>
          </w:p>
        </w:tc>
        <w:tc>
          <w:tcPr>
            <w:tcW w:w="2126" w:type="dxa"/>
          </w:tcPr>
          <w:p w14:paraId="2613901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Use</w:t>
            </w:r>
            <w:r w:rsidRPr="00640161">
              <w:rPr>
                <w:rFonts w:asciiTheme="minorHAnsi" w:hAnsiTheme="minorHAnsi" w:cstheme="minorHAnsi"/>
                <w:spacing w:val="-10"/>
              </w:rPr>
              <w:t xml:space="preserve"> </w:t>
            </w:r>
            <w:r w:rsidRPr="00640161">
              <w:rPr>
                <w:rFonts w:asciiTheme="minorHAnsi" w:hAnsiTheme="minorHAnsi" w:cstheme="minorHAnsi"/>
              </w:rPr>
              <w:t>“women”,</w:t>
            </w:r>
            <w:r w:rsidRPr="00640161">
              <w:rPr>
                <w:rFonts w:asciiTheme="minorHAnsi" w:hAnsiTheme="minorHAnsi" w:cstheme="minorHAnsi"/>
                <w:spacing w:val="-10"/>
              </w:rPr>
              <w:t xml:space="preserve"> </w:t>
            </w:r>
            <w:r w:rsidRPr="00640161">
              <w:rPr>
                <w:rFonts w:asciiTheme="minorHAnsi" w:hAnsiTheme="minorHAnsi" w:cstheme="minorHAnsi"/>
              </w:rPr>
              <w:t>not</w:t>
            </w:r>
            <w:r w:rsidRPr="00640161">
              <w:rPr>
                <w:rFonts w:asciiTheme="minorHAnsi" w:hAnsiTheme="minorHAnsi" w:cstheme="minorHAnsi"/>
                <w:spacing w:val="-10"/>
              </w:rPr>
              <w:t xml:space="preserve"> </w:t>
            </w:r>
            <w:r w:rsidRPr="00640161">
              <w:rPr>
                <w:rFonts w:asciiTheme="minorHAnsi" w:hAnsiTheme="minorHAnsi" w:cstheme="minorHAnsi"/>
              </w:rPr>
              <w:t>sex</w:t>
            </w:r>
            <w:r w:rsidRPr="00640161">
              <w:rPr>
                <w:rFonts w:asciiTheme="minorHAnsi" w:hAnsiTheme="minorHAnsi" w:cstheme="minorHAnsi"/>
                <w:spacing w:val="-10"/>
              </w:rPr>
              <w:t xml:space="preserve"> </w:t>
            </w:r>
            <w:r w:rsidRPr="00640161">
              <w:rPr>
                <w:rFonts w:asciiTheme="minorHAnsi" w:hAnsiTheme="minorHAnsi" w:cstheme="minorHAnsi"/>
              </w:rPr>
              <w:t xml:space="preserve">or </w:t>
            </w:r>
            <w:r w:rsidRPr="00640161">
              <w:rPr>
                <w:rFonts w:asciiTheme="minorHAnsi" w:hAnsiTheme="minorHAnsi" w:cstheme="minorHAnsi"/>
                <w:spacing w:val="-2"/>
              </w:rPr>
              <w:t>gender.</w:t>
            </w:r>
          </w:p>
        </w:tc>
        <w:tc>
          <w:tcPr>
            <w:tcW w:w="1984" w:type="dxa"/>
          </w:tcPr>
          <w:p w14:paraId="578B329F"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Test &amp; diagnosis recommendations</w:t>
            </w:r>
            <w:r w:rsidRPr="00640161">
              <w:rPr>
                <w:rFonts w:asciiTheme="minorHAnsi" w:hAnsiTheme="minorHAnsi" w:cstheme="minorHAnsi"/>
                <w:spacing w:val="-13"/>
              </w:rPr>
              <w:t xml:space="preserve"> </w:t>
            </w:r>
            <w:r w:rsidRPr="00640161">
              <w:rPr>
                <w:rFonts w:asciiTheme="minorHAnsi" w:hAnsiTheme="minorHAnsi" w:cstheme="minorHAnsi"/>
              </w:rPr>
              <w:t>for</w:t>
            </w:r>
            <w:r w:rsidRPr="00640161">
              <w:rPr>
                <w:rFonts w:asciiTheme="minorHAnsi" w:hAnsiTheme="minorHAnsi" w:cstheme="minorHAnsi"/>
                <w:spacing w:val="-12"/>
              </w:rPr>
              <w:t xml:space="preserve"> </w:t>
            </w:r>
            <w:r w:rsidRPr="00640161">
              <w:rPr>
                <w:rFonts w:asciiTheme="minorHAnsi" w:hAnsiTheme="minorHAnsi" w:cstheme="minorHAnsi"/>
              </w:rPr>
              <w:t>women.</w:t>
            </w:r>
          </w:p>
        </w:tc>
        <w:tc>
          <w:tcPr>
            <w:tcW w:w="1843" w:type="dxa"/>
          </w:tcPr>
          <w:p w14:paraId="1221D20F"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6844A30"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704E628F" w14:textId="77777777" w:rsidTr="0067273F">
        <w:trPr>
          <w:cantSplit/>
        </w:trPr>
        <w:tc>
          <w:tcPr>
            <w:tcW w:w="1575" w:type="dxa"/>
          </w:tcPr>
          <w:p w14:paraId="1925929B"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spacing w:val="-2"/>
              </w:rPr>
              <w:t xml:space="preserve">Gastroenterological </w:t>
            </w:r>
            <w:r w:rsidRPr="00640161">
              <w:rPr>
                <w:rFonts w:asciiTheme="minorHAnsi" w:hAnsiTheme="minorHAnsi" w:cstheme="minorHAnsi"/>
                <w:b/>
              </w:rPr>
              <w:t>Society</w:t>
            </w:r>
            <w:r w:rsidRPr="00640161">
              <w:rPr>
                <w:rFonts w:asciiTheme="minorHAnsi" w:hAnsiTheme="minorHAnsi" w:cstheme="minorHAnsi"/>
                <w:b/>
                <w:spacing w:val="-5"/>
              </w:rPr>
              <w:t xml:space="preserve"> </w:t>
            </w:r>
            <w:r w:rsidRPr="00640161">
              <w:rPr>
                <w:rFonts w:asciiTheme="minorHAnsi" w:hAnsiTheme="minorHAnsi" w:cstheme="minorHAnsi"/>
                <w:b/>
              </w:rPr>
              <w:t>of</w:t>
            </w:r>
            <w:r w:rsidRPr="00640161">
              <w:rPr>
                <w:rFonts w:asciiTheme="minorHAnsi" w:hAnsiTheme="minorHAnsi" w:cstheme="minorHAnsi"/>
                <w:b/>
                <w:spacing w:val="-4"/>
              </w:rPr>
              <w:t xml:space="preserve"> </w:t>
            </w:r>
            <w:r w:rsidRPr="00640161">
              <w:rPr>
                <w:rFonts w:asciiTheme="minorHAnsi" w:hAnsiTheme="minorHAnsi" w:cstheme="minorHAnsi"/>
                <w:b/>
                <w:spacing w:val="-2"/>
              </w:rPr>
              <w:t>Australia</w:t>
            </w:r>
          </w:p>
        </w:tc>
        <w:tc>
          <w:tcPr>
            <w:tcW w:w="3119" w:type="dxa"/>
          </w:tcPr>
          <w:p w14:paraId="5176081E"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Clinical</w:t>
            </w:r>
            <w:r w:rsidRPr="00640161">
              <w:rPr>
                <w:rFonts w:asciiTheme="minorHAnsi" w:hAnsiTheme="minorHAnsi" w:cstheme="minorHAnsi"/>
                <w:spacing w:val="-10"/>
              </w:rPr>
              <w:t xml:space="preserve"> </w:t>
            </w:r>
            <w:r w:rsidRPr="00640161">
              <w:rPr>
                <w:rFonts w:asciiTheme="minorHAnsi" w:hAnsiTheme="minorHAnsi" w:cstheme="minorHAnsi"/>
              </w:rPr>
              <w:t>Update</w:t>
            </w:r>
            <w:r w:rsidRPr="00640161">
              <w:rPr>
                <w:rFonts w:asciiTheme="minorHAnsi" w:hAnsiTheme="minorHAnsi" w:cstheme="minorHAnsi"/>
                <w:spacing w:val="-10"/>
              </w:rPr>
              <w:t xml:space="preserve"> </w:t>
            </w:r>
            <w:r w:rsidRPr="00640161">
              <w:rPr>
                <w:rFonts w:asciiTheme="minorHAnsi" w:hAnsiTheme="minorHAnsi" w:cstheme="minorHAnsi"/>
              </w:rPr>
              <w:t>for</w:t>
            </w:r>
            <w:r w:rsidRPr="00640161">
              <w:rPr>
                <w:rFonts w:asciiTheme="minorHAnsi" w:hAnsiTheme="minorHAnsi" w:cstheme="minorHAnsi"/>
                <w:spacing w:val="-10"/>
              </w:rPr>
              <w:t xml:space="preserve"> </w:t>
            </w:r>
            <w:r w:rsidRPr="00640161">
              <w:rPr>
                <w:rFonts w:asciiTheme="minorHAnsi" w:hAnsiTheme="minorHAnsi" w:cstheme="minorHAnsi"/>
              </w:rPr>
              <w:t>General</w:t>
            </w:r>
            <w:r w:rsidRPr="00640161">
              <w:rPr>
                <w:rFonts w:asciiTheme="minorHAnsi" w:hAnsiTheme="minorHAnsi" w:cstheme="minorHAnsi"/>
                <w:spacing w:val="-10"/>
              </w:rPr>
              <w:t xml:space="preserve"> </w:t>
            </w:r>
            <w:r w:rsidRPr="00640161">
              <w:rPr>
                <w:rFonts w:asciiTheme="minorHAnsi" w:hAnsiTheme="minorHAnsi" w:cstheme="minorHAnsi"/>
              </w:rPr>
              <w:t>Practitioners and Physicians: Inflammatory Bowel Disease. Updated 2018</w:t>
            </w:r>
            <w:r>
              <w:rPr>
                <w:rFonts w:asciiTheme="minorHAnsi" w:hAnsiTheme="minorHAnsi" w:cstheme="minorHAnsi"/>
              </w:rPr>
              <w:t>; further update in progress.</w:t>
            </w:r>
          </w:p>
          <w:p w14:paraId="38224F80" w14:textId="77777777" w:rsidR="00094656" w:rsidRPr="00640161" w:rsidRDefault="00094656" w:rsidP="0067273F">
            <w:pPr>
              <w:pStyle w:val="TableParagraph"/>
              <w:ind w:left="0"/>
              <w:rPr>
                <w:rFonts w:asciiTheme="minorHAnsi" w:hAnsiTheme="minorHAnsi" w:cstheme="minorHAnsi"/>
                <w:b/>
              </w:rPr>
            </w:pPr>
          </w:p>
          <w:p w14:paraId="1750AADC" w14:textId="77777777" w:rsidR="00094656" w:rsidRPr="00640161" w:rsidRDefault="00094656" w:rsidP="0067273F">
            <w:pPr>
              <w:pStyle w:val="TableParagraph"/>
              <w:ind w:right="316"/>
              <w:rPr>
                <w:rFonts w:asciiTheme="minorHAnsi" w:hAnsiTheme="minorHAnsi" w:cstheme="minorHAnsi"/>
              </w:rPr>
            </w:pPr>
            <w:r w:rsidRPr="00640161">
              <w:rPr>
                <w:rFonts w:asciiTheme="minorHAnsi" w:hAnsiTheme="minorHAnsi" w:cstheme="minorHAnsi"/>
                <w:color w:val="000000" w:themeColor="text1"/>
                <w:spacing w:val="-2"/>
              </w:rPr>
              <w:t>https://nla.gov.au/nla.obj-2712116930/view</w:t>
            </w:r>
            <w:r w:rsidRPr="00640161" w:rsidDel="00FC6AE1">
              <w:rPr>
                <w:rFonts w:asciiTheme="minorHAnsi" w:hAnsiTheme="minorHAnsi" w:cstheme="minorHAnsi"/>
                <w:color w:val="000000" w:themeColor="text1"/>
                <w:spacing w:val="-2"/>
              </w:rPr>
              <w:t xml:space="preserve"> </w:t>
            </w:r>
          </w:p>
        </w:tc>
        <w:tc>
          <w:tcPr>
            <w:tcW w:w="1417" w:type="dxa"/>
          </w:tcPr>
          <w:p w14:paraId="0CB766BC" w14:textId="77777777" w:rsidR="00094656" w:rsidRPr="008772B0" w:rsidRDefault="00094656" w:rsidP="0067273F">
            <w:pPr>
              <w:pStyle w:val="TableParagraph"/>
              <w:rPr>
                <w:rFonts w:asciiTheme="minorHAnsi" w:hAnsiTheme="minorHAnsi" w:cstheme="minorHAnsi"/>
                <w:bCs/>
              </w:rPr>
            </w:pPr>
            <w:r w:rsidRPr="008772B0">
              <w:rPr>
                <w:rFonts w:asciiTheme="minorHAnsi" w:hAnsiTheme="minorHAnsi" w:cstheme="minorHAnsi"/>
                <w:bCs/>
                <w:spacing w:val="-2"/>
              </w:rPr>
              <w:t xml:space="preserve">Gastroenterological </w:t>
            </w:r>
            <w:r w:rsidRPr="008772B0">
              <w:rPr>
                <w:rFonts w:asciiTheme="minorHAnsi" w:hAnsiTheme="minorHAnsi" w:cstheme="minorHAnsi"/>
                <w:bCs/>
              </w:rPr>
              <w:t>Society</w:t>
            </w:r>
            <w:r w:rsidRPr="008772B0">
              <w:rPr>
                <w:rFonts w:asciiTheme="minorHAnsi" w:hAnsiTheme="minorHAnsi" w:cstheme="minorHAnsi"/>
                <w:bCs/>
                <w:spacing w:val="-5"/>
              </w:rPr>
              <w:t xml:space="preserve"> </w:t>
            </w:r>
            <w:r w:rsidRPr="008772B0">
              <w:rPr>
                <w:rFonts w:asciiTheme="minorHAnsi" w:hAnsiTheme="minorHAnsi" w:cstheme="minorHAnsi"/>
                <w:bCs/>
              </w:rPr>
              <w:t>of</w:t>
            </w:r>
            <w:r w:rsidRPr="008772B0">
              <w:rPr>
                <w:rFonts w:asciiTheme="minorHAnsi" w:hAnsiTheme="minorHAnsi" w:cstheme="minorHAnsi"/>
                <w:bCs/>
                <w:spacing w:val="-4"/>
              </w:rPr>
              <w:t xml:space="preserve"> </w:t>
            </w:r>
            <w:r w:rsidRPr="008772B0">
              <w:rPr>
                <w:rFonts w:asciiTheme="minorHAnsi" w:hAnsiTheme="minorHAnsi" w:cstheme="minorHAnsi"/>
                <w:bCs/>
                <w:spacing w:val="-2"/>
              </w:rPr>
              <w:t>Australia</w:t>
            </w:r>
          </w:p>
        </w:tc>
        <w:tc>
          <w:tcPr>
            <w:tcW w:w="1560" w:type="dxa"/>
          </w:tcPr>
          <w:p w14:paraId="72ECDF3C"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043CEFB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Use</w:t>
            </w:r>
            <w:r w:rsidRPr="00640161">
              <w:rPr>
                <w:rFonts w:asciiTheme="minorHAnsi" w:hAnsiTheme="minorHAnsi" w:cstheme="minorHAnsi"/>
                <w:spacing w:val="-10"/>
              </w:rPr>
              <w:t xml:space="preserve"> </w:t>
            </w:r>
            <w:r w:rsidRPr="00640161">
              <w:rPr>
                <w:rFonts w:asciiTheme="minorHAnsi" w:hAnsiTheme="minorHAnsi" w:cstheme="minorHAnsi"/>
              </w:rPr>
              <w:t>“women”,</w:t>
            </w:r>
            <w:r w:rsidRPr="00640161">
              <w:rPr>
                <w:rFonts w:asciiTheme="minorHAnsi" w:hAnsiTheme="minorHAnsi" w:cstheme="minorHAnsi"/>
                <w:spacing w:val="-10"/>
              </w:rPr>
              <w:t xml:space="preserve"> </w:t>
            </w:r>
            <w:r w:rsidRPr="00640161">
              <w:rPr>
                <w:rFonts w:asciiTheme="minorHAnsi" w:hAnsiTheme="minorHAnsi" w:cstheme="minorHAnsi"/>
              </w:rPr>
              <w:t>“men”,</w:t>
            </w:r>
            <w:r w:rsidRPr="00640161">
              <w:rPr>
                <w:rFonts w:asciiTheme="minorHAnsi" w:hAnsiTheme="minorHAnsi" w:cstheme="minorHAnsi"/>
                <w:spacing w:val="-10"/>
              </w:rPr>
              <w:t xml:space="preserve"> </w:t>
            </w:r>
            <w:r w:rsidRPr="00640161">
              <w:rPr>
                <w:rFonts w:asciiTheme="minorHAnsi" w:hAnsiTheme="minorHAnsi" w:cstheme="minorHAnsi"/>
              </w:rPr>
              <w:t>not</w:t>
            </w:r>
            <w:r w:rsidRPr="00640161">
              <w:rPr>
                <w:rFonts w:asciiTheme="minorHAnsi" w:hAnsiTheme="minorHAnsi" w:cstheme="minorHAnsi"/>
                <w:spacing w:val="-10"/>
              </w:rPr>
              <w:t xml:space="preserve"> </w:t>
            </w:r>
            <w:r>
              <w:rPr>
                <w:rFonts w:asciiTheme="minorHAnsi" w:hAnsiTheme="minorHAnsi" w:cstheme="minorHAnsi"/>
                <w:spacing w:val="-10"/>
              </w:rPr>
              <w:t>“</w:t>
            </w:r>
            <w:r w:rsidRPr="00640161">
              <w:rPr>
                <w:rFonts w:asciiTheme="minorHAnsi" w:hAnsiTheme="minorHAnsi" w:cstheme="minorHAnsi"/>
              </w:rPr>
              <w:t>sex</w:t>
            </w:r>
            <w:r>
              <w:rPr>
                <w:rFonts w:asciiTheme="minorHAnsi" w:hAnsiTheme="minorHAnsi" w:cstheme="minorHAnsi"/>
              </w:rPr>
              <w:t>”</w:t>
            </w:r>
            <w:r w:rsidRPr="00640161">
              <w:rPr>
                <w:rFonts w:asciiTheme="minorHAnsi" w:hAnsiTheme="minorHAnsi" w:cstheme="minorHAnsi"/>
              </w:rPr>
              <w:t xml:space="preserve"> or </w:t>
            </w:r>
            <w:r>
              <w:rPr>
                <w:rFonts w:asciiTheme="minorHAnsi" w:hAnsiTheme="minorHAnsi" w:cstheme="minorHAnsi"/>
              </w:rPr>
              <w:t>“</w:t>
            </w:r>
            <w:r w:rsidRPr="00640161">
              <w:rPr>
                <w:rFonts w:asciiTheme="minorHAnsi" w:hAnsiTheme="minorHAnsi" w:cstheme="minorHAnsi"/>
              </w:rPr>
              <w:t>gender</w:t>
            </w:r>
            <w:r>
              <w:rPr>
                <w:rFonts w:asciiTheme="minorHAnsi" w:hAnsiTheme="minorHAnsi" w:cstheme="minorHAnsi"/>
              </w:rPr>
              <w:t>”</w:t>
            </w:r>
            <w:r w:rsidRPr="00640161">
              <w:rPr>
                <w:rFonts w:asciiTheme="minorHAnsi" w:hAnsiTheme="minorHAnsi" w:cstheme="minorHAnsi"/>
              </w:rPr>
              <w:t>.</w:t>
            </w:r>
          </w:p>
        </w:tc>
        <w:tc>
          <w:tcPr>
            <w:tcW w:w="1984" w:type="dxa"/>
          </w:tcPr>
          <w:p w14:paraId="30C42C8C"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diagnosis,</w:t>
            </w:r>
            <w:r w:rsidRPr="00640161">
              <w:rPr>
                <w:rFonts w:asciiTheme="minorHAnsi" w:hAnsiTheme="minorHAnsi" w:cstheme="minorHAnsi"/>
                <w:spacing w:val="-12"/>
              </w:rPr>
              <w:t xml:space="preserve"> </w:t>
            </w:r>
            <w:r w:rsidRPr="00640161">
              <w:rPr>
                <w:rFonts w:asciiTheme="minorHAnsi" w:hAnsiTheme="minorHAnsi" w:cstheme="minorHAnsi"/>
              </w:rPr>
              <w:t>testing, routine follow-up.</w:t>
            </w:r>
          </w:p>
          <w:p w14:paraId="70EDC921" w14:textId="77777777" w:rsidR="00094656" w:rsidRPr="00640161" w:rsidRDefault="00094656" w:rsidP="0067273F">
            <w:pPr>
              <w:pStyle w:val="TableParagraph"/>
              <w:ind w:left="108" w:right="96"/>
              <w:rPr>
                <w:rFonts w:asciiTheme="minorHAnsi" w:hAnsiTheme="minorHAnsi" w:cstheme="minorHAnsi"/>
                <w:spacing w:val="-2"/>
              </w:rPr>
            </w:pPr>
            <w:r w:rsidRPr="00640161">
              <w:rPr>
                <w:rFonts w:asciiTheme="minorHAnsi" w:hAnsiTheme="minorHAnsi" w:cstheme="minorHAnsi"/>
              </w:rPr>
              <w:t>Precautions in relation to pregnancy,</w:t>
            </w:r>
            <w:r w:rsidRPr="00640161">
              <w:rPr>
                <w:rFonts w:asciiTheme="minorHAnsi" w:hAnsiTheme="minorHAnsi" w:cstheme="minorHAnsi"/>
                <w:spacing w:val="-13"/>
              </w:rPr>
              <w:t xml:space="preserve"> </w:t>
            </w:r>
            <w:r w:rsidRPr="00640161">
              <w:rPr>
                <w:rFonts w:asciiTheme="minorHAnsi" w:hAnsiTheme="minorHAnsi" w:cstheme="minorHAnsi"/>
              </w:rPr>
              <w:t>breastfeeding,</w:t>
            </w:r>
            <w:r w:rsidRPr="00640161">
              <w:rPr>
                <w:rFonts w:asciiTheme="minorHAnsi" w:hAnsiTheme="minorHAnsi" w:cstheme="minorHAnsi"/>
                <w:spacing w:val="-12"/>
              </w:rPr>
              <w:t xml:space="preserve"> </w:t>
            </w:r>
            <w:r w:rsidRPr="00640161">
              <w:rPr>
                <w:rFonts w:asciiTheme="minorHAnsi" w:hAnsiTheme="minorHAnsi" w:cstheme="minorHAnsi"/>
              </w:rPr>
              <w:t xml:space="preserve">post- </w:t>
            </w:r>
            <w:r w:rsidRPr="00640161">
              <w:rPr>
                <w:rFonts w:asciiTheme="minorHAnsi" w:hAnsiTheme="minorHAnsi" w:cstheme="minorHAnsi"/>
                <w:spacing w:val="-2"/>
              </w:rPr>
              <w:t>menopause.</w:t>
            </w:r>
          </w:p>
        </w:tc>
        <w:tc>
          <w:tcPr>
            <w:tcW w:w="1843" w:type="dxa"/>
          </w:tcPr>
          <w:p w14:paraId="6D49E1C2"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666C989"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78A5BBC9" w14:textId="77777777" w:rsidTr="0067273F">
        <w:trPr>
          <w:cantSplit/>
        </w:trPr>
        <w:tc>
          <w:tcPr>
            <w:tcW w:w="1575" w:type="dxa"/>
          </w:tcPr>
          <w:p w14:paraId="0A280755"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spacing w:val="-2"/>
              </w:rPr>
              <w:lastRenderedPageBreak/>
              <w:t xml:space="preserve">Gastroenterological </w:t>
            </w:r>
            <w:r w:rsidRPr="00640161">
              <w:rPr>
                <w:rFonts w:asciiTheme="minorHAnsi" w:hAnsiTheme="minorHAnsi" w:cstheme="minorHAnsi"/>
                <w:b/>
              </w:rPr>
              <w:t>Society</w:t>
            </w:r>
            <w:r w:rsidRPr="00640161">
              <w:rPr>
                <w:rFonts w:asciiTheme="minorHAnsi" w:hAnsiTheme="minorHAnsi" w:cstheme="minorHAnsi"/>
                <w:b/>
                <w:spacing w:val="-5"/>
              </w:rPr>
              <w:t xml:space="preserve"> </w:t>
            </w:r>
            <w:r w:rsidRPr="00640161">
              <w:rPr>
                <w:rFonts w:asciiTheme="minorHAnsi" w:hAnsiTheme="minorHAnsi" w:cstheme="minorHAnsi"/>
                <w:b/>
              </w:rPr>
              <w:t>of</w:t>
            </w:r>
            <w:r w:rsidRPr="00640161">
              <w:rPr>
                <w:rFonts w:asciiTheme="minorHAnsi" w:hAnsiTheme="minorHAnsi" w:cstheme="minorHAnsi"/>
                <w:b/>
                <w:spacing w:val="-4"/>
              </w:rPr>
              <w:t xml:space="preserve"> </w:t>
            </w:r>
            <w:r w:rsidRPr="00640161">
              <w:rPr>
                <w:rFonts w:asciiTheme="minorHAnsi" w:hAnsiTheme="minorHAnsi" w:cstheme="minorHAnsi"/>
                <w:b/>
                <w:spacing w:val="-2"/>
              </w:rPr>
              <w:t>Australia</w:t>
            </w:r>
          </w:p>
        </w:tc>
        <w:tc>
          <w:tcPr>
            <w:tcW w:w="3119" w:type="dxa"/>
          </w:tcPr>
          <w:p w14:paraId="3CADF343"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Australian</w:t>
            </w:r>
            <w:r w:rsidRPr="00640161">
              <w:rPr>
                <w:rFonts w:asciiTheme="minorHAnsi" w:hAnsiTheme="minorHAnsi" w:cstheme="minorHAnsi"/>
                <w:spacing w:val="-13"/>
              </w:rPr>
              <w:t xml:space="preserve"> </w:t>
            </w:r>
            <w:r w:rsidRPr="00640161">
              <w:rPr>
                <w:rFonts w:asciiTheme="minorHAnsi" w:hAnsiTheme="minorHAnsi" w:cstheme="minorHAnsi"/>
              </w:rPr>
              <w:t>consensus</w:t>
            </w:r>
            <w:r w:rsidRPr="00640161">
              <w:rPr>
                <w:rFonts w:asciiTheme="minorHAnsi" w:hAnsiTheme="minorHAnsi" w:cstheme="minorHAnsi"/>
                <w:spacing w:val="-12"/>
              </w:rPr>
              <w:t xml:space="preserve"> </w:t>
            </w:r>
            <w:r w:rsidRPr="00640161">
              <w:rPr>
                <w:rFonts w:asciiTheme="minorHAnsi" w:hAnsiTheme="minorHAnsi" w:cstheme="minorHAnsi"/>
              </w:rPr>
              <w:t>recommendations for the management of hepatitis B, 2022</w:t>
            </w:r>
          </w:p>
          <w:p w14:paraId="785A31B2" w14:textId="77777777" w:rsidR="00094656" w:rsidRPr="00640161" w:rsidRDefault="00094656" w:rsidP="0067273F">
            <w:pPr>
              <w:pStyle w:val="TableParagraph"/>
              <w:ind w:left="0"/>
              <w:rPr>
                <w:rFonts w:asciiTheme="minorHAnsi" w:hAnsiTheme="minorHAnsi" w:cstheme="minorHAnsi"/>
              </w:rPr>
            </w:pPr>
          </w:p>
          <w:p w14:paraId="37316A22" w14:textId="77777777" w:rsidR="00094656" w:rsidRPr="00640161" w:rsidRDefault="00094656" w:rsidP="0067273F">
            <w:pPr>
              <w:pStyle w:val="TableParagraph"/>
              <w:ind w:right="316"/>
              <w:rPr>
                <w:rFonts w:asciiTheme="minorHAnsi" w:hAnsiTheme="minorHAnsi" w:cstheme="minorHAnsi"/>
                <w:spacing w:val="-2"/>
              </w:rPr>
            </w:pPr>
            <w:r w:rsidRPr="00640161">
              <w:rPr>
                <w:rFonts w:asciiTheme="minorHAnsi" w:hAnsiTheme="minorHAnsi" w:cstheme="minorHAnsi"/>
                <w:shd w:val="clear" w:color="auto" w:fill="FFFFFF"/>
              </w:rPr>
              <w:t xml:space="preserve">Lubel et al. (2022). Australian consensus recommendations for the management of hepatitis B. </w:t>
            </w:r>
            <w:r w:rsidRPr="00640161">
              <w:rPr>
                <w:rFonts w:asciiTheme="minorHAnsi" w:hAnsiTheme="minorHAnsi" w:cstheme="minorHAnsi"/>
                <w:i/>
                <w:iCs/>
                <w:shd w:val="clear" w:color="auto" w:fill="FFFFFF"/>
              </w:rPr>
              <w:t>Medical Journal of Australia</w:t>
            </w:r>
            <w:r w:rsidRPr="00640161">
              <w:rPr>
                <w:rFonts w:asciiTheme="minorHAnsi" w:hAnsiTheme="minorHAnsi" w:cstheme="minorHAnsi"/>
                <w:shd w:val="clear" w:color="auto" w:fill="FFFFFF"/>
              </w:rPr>
              <w:t xml:space="preserve">, </w:t>
            </w:r>
            <w:r w:rsidRPr="00640161">
              <w:rPr>
                <w:rFonts w:asciiTheme="minorHAnsi" w:hAnsiTheme="minorHAnsi" w:cstheme="minorHAnsi"/>
                <w:i/>
                <w:iCs/>
                <w:shd w:val="clear" w:color="auto" w:fill="FFFFFF"/>
              </w:rPr>
              <w:t>216</w:t>
            </w:r>
            <w:r w:rsidRPr="00640161">
              <w:rPr>
                <w:rFonts w:asciiTheme="minorHAnsi" w:hAnsiTheme="minorHAnsi" w:cstheme="minorHAnsi"/>
                <w:shd w:val="clear" w:color="auto" w:fill="FFFFFF"/>
              </w:rPr>
              <w:t>(9), 478-486.</w:t>
            </w:r>
            <w:r w:rsidRPr="00640161">
              <w:rPr>
                <w:rFonts w:asciiTheme="minorHAnsi" w:hAnsiTheme="minorHAnsi" w:cstheme="minorHAnsi"/>
                <w:spacing w:val="-2"/>
              </w:rPr>
              <w:t xml:space="preserve"> DOI:10.5694/mja2.51430. </w:t>
            </w:r>
          </w:p>
        </w:tc>
        <w:tc>
          <w:tcPr>
            <w:tcW w:w="1417" w:type="dxa"/>
          </w:tcPr>
          <w:p w14:paraId="7DC1668D"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Endorsed</w:t>
            </w:r>
            <w:r w:rsidRPr="00640161">
              <w:rPr>
                <w:rFonts w:asciiTheme="minorHAnsi" w:hAnsiTheme="minorHAnsi" w:cstheme="minorHAnsi"/>
                <w:spacing w:val="-6"/>
              </w:rPr>
              <w:t xml:space="preserve"> </w:t>
            </w:r>
            <w:r w:rsidRPr="00640161">
              <w:rPr>
                <w:rFonts w:asciiTheme="minorHAnsi" w:hAnsiTheme="minorHAnsi" w:cstheme="minorHAnsi"/>
              </w:rPr>
              <w:t>by</w:t>
            </w:r>
            <w:r w:rsidRPr="00640161">
              <w:rPr>
                <w:rFonts w:asciiTheme="minorHAnsi" w:hAnsiTheme="minorHAnsi" w:cstheme="minorHAnsi"/>
                <w:spacing w:val="-6"/>
              </w:rPr>
              <w:t xml:space="preserve"> </w:t>
            </w:r>
            <w:r w:rsidRPr="00640161">
              <w:rPr>
                <w:rFonts w:asciiTheme="minorHAnsi" w:hAnsiTheme="minorHAnsi" w:cstheme="minorHAnsi"/>
              </w:rPr>
              <w:t>Hepatitis</w:t>
            </w:r>
            <w:r w:rsidRPr="00640161">
              <w:rPr>
                <w:rFonts w:asciiTheme="minorHAnsi" w:hAnsiTheme="minorHAnsi" w:cstheme="minorHAnsi"/>
                <w:spacing w:val="-6"/>
              </w:rPr>
              <w:t xml:space="preserve"> </w:t>
            </w:r>
            <w:r w:rsidRPr="00640161">
              <w:rPr>
                <w:rFonts w:asciiTheme="minorHAnsi" w:hAnsiTheme="minorHAnsi" w:cstheme="minorHAnsi"/>
                <w:spacing w:val="-2"/>
              </w:rPr>
              <w:t>Australia</w:t>
            </w:r>
          </w:p>
        </w:tc>
        <w:tc>
          <w:tcPr>
            <w:tcW w:w="1560" w:type="dxa"/>
          </w:tcPr>
          <w:p w14:paraId="7F88250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Infectious diseases</w:t>
            </w:r>
          </w:p>
        </w:tc>
        <w:tc>
          <w:tcPr>
            <w:tcW w:w="2126" w:type="dxa"/>
          </w:tcPr>
          <w:p w14:paraId="2500AC3F" w14:textId="77777777" w:rsidR="00094656" w:rsidRDefault="00094656" w:rsidP="0067273F">
            <w:pPr>
              <w:pStyle w:val="TableParagraph"/>
              <w:rPr>
                <w:rFonts w:asciiTheme="minorHAnsi" w:hAnsiTheme="minorHAnsi" w:cstheme="minorHAnsi"/>
              </w:rPr>
            </w:pPr>
            <w:r w:rsidRPr="00640161">
              <w:rPr>
                <w:rFonts w:asciiTheme="minorHAnsi" w:hAnsiTheme="minorHAnsi" w:cstheme="minorHAnsi"/>
              </w:rPr>
              <w:t>“Sex”</w:t>
            </w:r>
            <w:r>
              <w:rPr>
                <w:rFonts w:asciiTheme="minorHAnsi" w:hAnsiTheme="minorHAnsi" w:cstheme="minorHAnsi"/>
              </w:rPr>
              <w:t xml:space="preserve"> used only for men who have sex with men.</w:t>
            </w:r>
          </w:p>
          <w:p w14:paraId="25DCC3BB"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w:t>
            </w:r>
            <w:r>
              <w:rPr>
                <w:rFonts w:asciiTheme="minorHAnsi" w:hAnsiTheme="minorHAnsi" w:cstheme="minorHAnsi"/>
              </w:rPr>
              <w:t>G</w:t>
            </w:r>
            <w:r w:rsidRPr="00640161">
              <w:rPr>
                <w:rFonts w:asciiTheme="minorHAnsi" w:hAnsiTheme="minorHAnsi" w:cstheme="minorHAnsi"/>
              </w:rPr>
              <w:t>ender</w:t>
            </w:r>
            <w:r>
              <w:rPr>
                <w:rFonts w:asciiTheme="minorHAnsi" w:hAnsiTheme="minorHAnsi" w:cstheme="minorHAnsi"/>
              </w:rPr>
              <w:t>” used once for “sex”. “Women”, “men” used.</w:t>
            </w:r>
          </w:p>
        </w:tc>
        <w:tc>
          <w:tcPr>
            <w:tcW w:w="1984" w:type="dxa"/>
          </w:tcPr>
          <w:p w14:paraId="214DA46B"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 related prevalence, risk factors,</w:t>
            </w:r>
            <w:r w:rsidRPr="00640161">
              <w:rPr>
                <w:rFonts w:asciiTheme="minorHAnsi" w:hAnsiTheme="minorHAnsi" w:cstheme="minorHAnsi"/>
                <w:spacing w:val="-13"/>
              </w:rPr>
              <w:t xml:space="preserve"> </w:t>
            </w:r>
            <w:r w:rsidRPr="00640161">
              <w:rPr>
                <w:rFonts w:asciiTheme="minorHAnsi" w:hAnsiTheme="minorHAnsi" w:cstheme="minorHAnsi"/>
              </w:rPr>
              <w:t>diagnosis,</w:t>
            </w:r>
            <w:r w:rsidRPr="00640161">
              <w:rPr>
                <w:rFonts w:asciiTheme="minorHAnsi" w:hAnsiTheme="minorHAnsi" w:cstheme="minorHAnsi"/>
                <w:spacing w:val="-12"/>
              </w:rPr>
              <w:t xml:space="preserve"> </w:t>
            </w:r>
            <w:r w:rsidRPr="00640161">
              <w:rPr>
                <w:rFonts w:asciiTheme="minorHAnsi" w:hAnsiTheme="minorHAnsi" w:cstheme="minorHAnsi"/>
              </w:rPr>
              <w:t>management.</w:t>
            </w:r>
          </w:p>
        </w:tc>
        <w:tc>
          <w:tcPr>
            <w:tcW w:w="1843" w:type="dxa"/>
          </w:tcPr>
          <w:p w14:paraId="3AA95B49"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No gender considerations.</w:t>
            </w:r>
          </w:p>
        </w:tc>
        <w:tc>
          <w:tcPr>
            <w:tcW w:w="1276" w:type="dxa"/>
          </w:tcPr>
          <w:p w14:paraId="0E1FE520"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18385EE2" w14:textId="77777777" w:rsidTr="0067273F">
        <w:tc>
          <w:tcPr>
            <w:tcW w:w="1575" w:type="dxa"/>
          </w:tcPr>
          <w:p w14:paraId="092212F2"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spacing w:val="-2"/>
              </w:rPr>
              <w:t xml:space="preserve">Gastroenterological </w:t>
            </w:r>
            <w:r w:rsidRPr="00640161">
              <w:rPr>
                <w:rFonts w:asciiTheme="minorHAnsi" w:hAnsiTheme="minorHAnsi" w:cstheme="minorHAnsi"/>
                <w:b/>
              </w:rPr>
              <w:t>Society</w:t>
            </w:r>
            <w:r w:rsidRPr="00640161">
              <w:rPr>
                <w:rFonts w:asciiTheme="minorHAnsi" w:hAnsiTheme="minorHAnsi" w:cstheme="minorHAnsi"/>
                <w:b/>
                <w:spacing w:val="-5"/>
              </w:rPr>
              <w:t xml:space="preserve"> </w:t>
            </w:r>
            <w:r w:rsidRPr="00640161">
              <w:rPr>
                <w:rFonts w:asciiTheme="minorHAnsi" w:hAnsiTheme="minorHAnsi" w:cstheme="minorHAnsi"/>
                <w:b/>
              </w:rPr>
              <w:t>of</w:t>
            </w:r>
            <w:r w:rsidRPr="00640161">
              <w:rPr>
                <w:rFonts w:asciiTheme="minorHAnsi" w:hAnsiTheme="minorHAnsi" w:cstheme="minorHAnsi"/>
                <w:b/>
                <w:spacing w:val="-4"/>
              </w:rPr>
              <w:t xml:space="preserve"> </w:t>
            </w:r>
            <w:r w:rsidRPr="00640161">
              <w:rPr>
                <w:rFonts w:asciiTheme="minorHAnsi" w:hAnsiTheme="minorHAnsi" w:cstheme="minorHAnsi"/>
                <w:b/>
                <w:spacing w:val="-2"/>
              </w:rPr>
              <w:t>Australia</w:t>
            </w:r>
          </w:p>
        </w:tc>
        <w:tc>
          <w:tcPr>
            <w:tcW w:w="3119" w:type="dxa"/>
          </w:tcPr>
          <w:p w14:paraId="7B3D8A3A" w14:textId="77777777" w:rsidR="00094656" w:rsidRPr="00640161" w:rsidRDefault="00094656" w:rsidP="0067273F">
            <w:pPr>
              <w:pStyle w:val="TableParagraph"/>
              <w:keepNext/>
              <w:keepLines/>
              <w:widowControl/>
              <w:ind w:left="108" w:right="96"/>
              <w:rPr>
                <w:rFonts w:asciiTheme="minorHAnsi" w:hAnsiTheme="minorHAnsi" w:cstheme="minorHAnsi"/>
              </w:rPr>
            </w:pPr>
            <w:r w:rsidRPr="00640161">
              <w:rPr>
                <w:rFonts w:asciiTheme="minorHAnsi" w:hAnsiTheme="minorHAnsi" w:cstheme="minorHAnsi"/>
              </w:rPr>
              <w:t>Australian recommendations for the management of hepatitis C virus infection:</w:t>
            </w:r>
            <w:r w:rsidRPr="00640161">
              <w:rPr>
                <w:rFonts w:asciiTheme="minorHAnsi" w:hAnsiTheme="minorHAnsi" w:cstheme="minorHAnsi"/>
                <w:spacing w:val="-9"/>
              </w:rPr>
              <w:t xml:space="preserve"> </w:t>
            </w:r>
            <w:r w:rsidRPr="00640161">
              <w:rPr>
                <w:rFonts w:asciiTheme="minorHAnsi" w:hAnsiTheme="minorHAnsi" w:cstheme="minorHAnsi"/>
              </w:rPr>
              <w:t>a</w:t>
            </w:r>
            <w:r w:rsidRPr="00640161">
              <w:rPr>
                <w:rFonts w:asciiTheme="minorHAnsi" w:hAnsiTheme="minorHAnsi" w:cstheme="minorHAnsi"/>
                <w:spacing w:val="-9"/>
              </w:rPr>
              <w:t xml:space="preserve"> </w:t>
            </w:r>
            <w:r w:rsidRPr="00640161">
              <w:rPr>
                <w:rFonts w:asciiTheme="minorHAnsi" w:hAnsiTheme="minorHAnsi" w:cstheme="minorHAnsi"/>
              </w:rPr>
              <w:t>consensus</w:t>
            </w:r>
            <w:r w:rsidRPr="00640161">
              <w:rPr>
                <w:rFonts w:asciiTheme="minorHAnsi" w:hAnsiTheme="minorHAnsi" w:cstheme="minorHAnsi"/>
                <w:spacing w:val="-9"/>
              </w:rPr>
              <w:t xml:space="preserve"> </w:t>
            </w:r>
            <w:r w:rsidRPr="00640161">
              <w:rPr>
                <w:rFonts w:asciiTheme="minorHAnsi" w:hAnsiTheme="minorHAnsi" w:cstheme="minorHAnsi"/>
              </w:rPr>
              <w:t>statement,</w:t>
            </w:r>
            <w:r w:rsidRPr="00640161">
              <w:rPr>
                <w:rFonts w:asciiTheme="minorHAnsi" w:hAnsiTheme="minorHAnsi" w:cstheme="minorHAnsi"/>
                <w:spacing w:val="-9"/>
              </w:rPr>
              <w:t xml:space="preserve"> </w:t>
            </w:r>
            <w:r w:rsidRPr="00640161">
              <w:rPr>
                <w:rFonts w:asciiTheme="minorHAnsi" w:hAnsiTheme="minorHAnsi" w:cstheme="minorHAnsi"/>
              </w:rPr>
              <w:t xml:space="preserve">2022 </w:t>
            </w:r>
          </w:p>
          <w:p w14:paraId="02ECDBBE" w14:textId="77777777" w:rsidR="00094656" w:rsidRPr="00640161" w:rsidRDefault="00094656" w:rsidP="0067273F">
            <w:pPr>
              <w:pStyle w:val="TableParagraph"/>
              <w:keepNext/>
              <w:keepLines/>
              <w:widowControl/>
              <w:spacing w:before="2"/>
              <w:ind w:left="108" w:right="96"/>
              <w:rPr>
                <w:rFonts w:asciiTheme="minorHAnsi" w:hAnsiTheme="minorHAnsi" w:cstheme="minorHAnsi"/>
                <w:b/>
              </w:rPr>
            </w:pPr>
          </w:p>
          <w:p w14:paraId="53B6C77D" w14:textId="77777777" w:rsidR="00094656" w:rsidRPr="00640161" w:rsidRDefault="00094656" w:rsidP="0067273F">
            <w:pPr>
              <w:pStyle w:val="TableParagraph"/>
              <w:keepNext/>
              <w:keepLines/>
              <w:widowControl/>
              <w:ind w:left="108" w:right="96"/>
              <w:rPr>
                <w:rFonts w:asciiTheme="minorHAnsi" w:hAnsiTheme="minorHAnsi" w:cstheme="minorHAnsi"/>
                <w:color w:val="000000" w:themeColor="text1"/>
                <w:spacing w:val="-2"/>
              </w:rPr>
            </w:pPr>
            <w:r w:rsidRPr="00640161">
              <w:rPr>
                <w:rFonts w:asciiTheme="minorHAnsi" w:hAnsiTheme="minorHAnsi" w:cstheme="minorHAnsi"/>
                <w:color w:val="000000" w:themeColor="text1"/>
                <w:spacing w:val="-2"/>
              </w:rPr>
              <w:t>https://www.hepcguidelines.org.au/wp-content/uploads/2022/11/hepatitis-C-virus-infection-a-consensus-statement-2022.pdf</w:t>
            </w:r>
            <w:r w:rsidRPr="00640161" w:rsidDel="00505A90">
              <w:rPr>
                <w:rFonts w:asciiTheme="minorHAnsi" w:hAnsiTheme="minorHAnsi" w:cstheme="minorHAnsi"/>
                <w:color w:val="000000" w:themeColor="text1"/>
                <w:spacing w:val="-2"/>
              </w:rPr>
              <w:t xml:space="preserve"> </w:t>
            </w:r>
          </w:p>
        </w:tc>
        <w:tc>
          <w:tcPr>
            <w:tcW w:w="1417" w:type="dxa"/>
          </w:tcPr>
          <w:p w14:paraId="260FDA7C"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Endorsed by Australas</w:t>
            </w:r>
            <w:r>
              <w:rPr>
                <w:rFonts w:asciiTheme="minorHAnsi" w:hAnsiTheme="minorHAnsi" w:cstheme="minorHAnsi"/>
              </w:rPr>
              <w:t>ian</w:t>
            </w:r>
            <w:r w:rsidRPr="00640161">
              <w:rPr>
                <w:rFonts w:asciiTheme="minorHAnsi" w:hAnsiTheme="minorHAnsi" w:cstheme="minorHAnsi"/>
              </w:rPr>
              <w:t xml:space="preserve"> Hepat</w:t>
            </w:r>
            <w:r>
              <w:rPr>
                <w:rFonts w:asciiTheme="minorHAnsi" w:hAnsiTheme="minorHAnsi" w:cstheme="minorHAnsi"/>
              </w:rPr>
              <w:t>ology</w:t>
            </w:r>
            <w:r w:rsidRPr="00640161">
              <w:rPr>
                <w:rFonts w:asciiTheme="minorHAnsi" w:hAnsiTheme="minorHAnsi" w:cstheme="minorHAnsi"/>
              </w:rPr>
              <w:t xml:space="preserve"> </w:t>
            </w:r>
            <w:r w:rsidRPr="00640161">
              <w:rPr>
                <w:rFonts w:asciiTheme="minorHAnsi" w:hAnsiTheme="minorHAnsi" w:cstheme="minorHAnsi"/>
                <w:spacing w:val="-2"/>
              </w:rPr>
              <w:t>Association</w:t>
            </w:r>
            <w:r>
              <w:rPr>
                <w:rFonts w:asciiTheme="minorHAnsi" w:hAnsiTheme="minorHAnsi" w:cstheme="minorHAnsi"/>
                <w:spacing w:val="-2"/>
              </w:rPr>
              <w:t>, ASHM, Australasian Society for Infectious Diseases, Hepatitis Australia</w:t>
            </w:r>
          </w:p>
        </w:tc>
        <w:tc>
          <w:tcPr>
            <w:tcW w:w="1560" w:type="dxa"/>
          </w:tcPr>
          <w:p w14:paraId="493D89E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Infectious diseases</w:t>
            </w:r>
          </w:p>
        </w:tc>
        <w:tc>
          <w:tcPr>
            <w:tcW w:w="2126" w:type="dxa"/>
          </w:tcPr>
          <w:p w14:paraId="58DF7DD7"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Pr>
                <w:rFonts w:asciiTheme="minorHAnsi" w:hAnsiTheme="minorHAnsi" w:cstheme="minorHAnsi"/>
              </w:rPr>
              <w:t xml:space="preserve"> used correctly, not defined. “Gender” not located. </w:t>
            </w:r>
          </w:p>
        </w:tc>
        <w:tc>
          <w:tcPr>
            <w:tcW w:w="1984" w:type="dxa"/>
          </w:tcPr>
          <w:p w14:paraId="10EB79AD"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prevalence. Pregnant women.</w:t>
            </w:r>
          </w:p>
        </w:tc>
        <w:tc>
          <w:tcPr>
            <w:tcW w:w="1843" w:type="dxa"/>
          </w:tcPr>
          <w:p w14:paraId="34A789C9"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1A5DB6BE"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702C858B" w14:textId="77777777" w:rsidTr="0067273F">
        <w:trPr>
          <w:cantSplit/>
        </w:trPr>
        <w:tc>
          <w:tcPr>
            <w:tcW w:w="1575" w:type="dxa"/>
          </w:tcPr>
          <w:p w14:paraId="459CBEFF"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lastRenderedPageBreak/>
              <w:t>GP</w:t>
            </w:r>
            <w:r w:rsidRPr="00640161">
              <w:rPr>
                <w:rFonts w:asciiTheme="minorHAnsi" w:hAnsiTheme="minorHAnsi" w:cstheme="minorHAnsi"/>
                <w:b/>
                <w:spacing w:val="-13"/>
              </w:rPr>
              <w:t xml:space="preserve"> </w:t>
            </w:r>
            <w:r w:rsidRPr="00640161">
              <w:rPr>
                <w:rFonts w:asciiTheme="minorHAnsi" w:hAnsiTheme="minorHAnsi" w:cstheme="minorHAnsi"/>
                <w:b/>
              </w:rPr>
              <w:t xml:space="preserve">Supervisor </w:t>
            </w:r>
            <w:r w:rsidRPr="00640161">
              <w:rPr>
                <w:rFonts w:asciiTheme="minorHAnsi" w:hAnsiTheme="minorHAnsi" w:cstheme="minorHAnsi"/>
                <w:b/>
                <w:spacing w:val="-2"/>
              </w:rPr>
              <w:t>Australia</w:t>
            </w:r>
          </w:p>
        </w:tc>
        <w:tc>
          <w:tcPr>
            <w:tcW w:w="3119" w:type="dxa"/>
          </w:tcPr>
          <w:p w14:paraId="29580DA3"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LGBTQIA+ Health and Inclusive Healthcare in General Practice—An Introduction</w:t>
            </w:r>
            <w:r w:rsidRPr="00640161">
              <w:rPr>
                <w:rFonts w:asciiTheme="minorHAnsi" w:hAnsiTheme="minorHAnsi" w:cstheme="minorHAnsi"/>
                <w:spacing w:val="-10"/>
              </w:rPr>
              <w:t xml:space="preserve"> </w:t>
            </w:r>
            <w:r w:rsidRPr="00640161">
              <w:rPr>
                <w:rFonts w:asciiTheme="minorHAnsi" w:hAnsiTheme="minorHAnsi" w:cstheme="minorHAnsi"/>
              </w:rPr>
              <w:t>to</w:t>
            </w:r>
            <w:r w:rsidRPr="00640161">
              <w:rPr>
                <w:rFonts w:asciiTheme="minorHAnsi" w:hAnsiTheme="minorHAnsi" w:cstheme="minorHAnsi"/>
                <w:spacing w:val="-10"/>
              </w:rPr>
              <w:t xml:space="preserve"> </w:t>
            </w:r>
            <w:r w:rsidRPr="00640161">
              <w:rPr>
                <w:rFonts w:asciiTheme="minorHAnsi" w:hAnsiTheme="minorHAnsi" w:cstheme="minorHAnsi"/>
              </w:rPr>
              <w:t>Teaching</w:t>
            </w:r>
            <w:r w:rsidRPr="00640161">
              <w:rPr>
                <w:rFonts w:asciiTheme="minorHAnsi" w:hAnsiTheme="minorHAnsi" w:cstheme="minorHAnsi"/>
                <w:spacing w:val="-10"/>
              </w:rPr>
              <w:t xml:space="preserve"> </w:t>
            </w:r>
            <w:r w:rsidRPr="00640161">
              <w:rPr>
                <w:rFonts w:asciiTheme="minorHAnsi" w:hAnsiTheme="minorHAnsi" w:cstheme="minorHAnsi"/>
              </w:rPr>
              <w:t>and</w:t>
            </w:r>
            <w:r w:rsidRPr="00640161">
              <w:rPr>
                <w:rFonts w:asciiTheme="minorHAnsi" w:hAnsiTheme="minorHAnsi" w:cstheme="minorHAnsi"/>
                <w:spacing w:val="-10"/>
              </w:rPr>
              <w:t xml:space="preserve"> </w:t>
            </w:r>
            <w:r w:rsidRPr="00640161">
              <w:rPr>
                <w:rFonts w:asciiTheme="minorHAnsi" w:hAnsiTheme="minorHAnsi" w:cstheme="minorHAnsi"/>
              </w:rPr>
              <w:t>Learning</w:t>
            </w:r>
            <w:r>
              <w:rPr>
                <w:rFonts w:asciiTheme="minorHAnsi" w:hAnsiTheme="minorHAnsi" w:cstheme="minorHAnsi"/>
              </w:rPr>
              <w:t>,</w:t>
            </w:r>
            <w:r w:rsidRPr="00640161">
              <w:rPr>
                <w:rFonts w:asciiTheme="minorHAnsi" w:hAnsiTheme="minorHAnsi" w:cstheme="minorHAnsi"/>
              </w:rPr>
              <w:t xml:space="preserve"> </w:t>
            </w:r>
            <w:r w:rsidRPr="00640161">
              <w:rPr>
                <w:rFonts w:asciiTheme="minorHAnsi" w:hAnsiTheme="minorHAnsi" w:cstheme="minorHAnsi"/>
                <w:spacing w:val="-4"/>
              </w:rPr>
              <w:t>2021</w:t>
            </w:r>
          </w:p>
          <w:p w14:paraId="320FE741" w14:textId="77777777" w:rsidR="00094656" w:rsidRPr="00640161" w:rsidRDefault="00094656" w:rsidP="0067273F">
            <w:pPr>
              <w:pStyle w:val="TableParagraph"/>
              <w:ind w:left="0"/>
              <w:rPr>
                <w:rFonts w:asciiTheme="minorHAnsi" w:hAnsiTheme="minorHAnsi" w:cstheme="minorHAnsi"/>
                <w:b/>
              </w:rPr>
            </w:pPr>
          </w:p>
          <w:p w14:paraId="27277591" w14:textId="77777777" w:rsidR="00094656" w:rsidRPr="00640161" w:rsidRDefault="00094656" w:rsidP="0067273F">
            <w:pPr>
              <w:pStyle w:val="TableParagraph"/>
              <w:ind w:right="316"/>
              <w:rPr>
                <w:rFonts w:asciiTheme="minorHAnsi" w:hAnsiTheme="minorHAnsi" w:cstheme="minorHAnsi"/>
              </w:rPr>
            </w:pPr>
            <w:r w:rsidRPr="00640161">
              <w:rPr>
                <w:rFonts w:asciiTheme="minorHAnsi" w:hAnsiTheme="minorHAnsi" w:cstheme="minorHAnsi"/>
                <w:spacing w:val="-2"/>
              </w:rPr>
              <w:t>https://gpsa.org.au/lgbtqia-inclusive- healthcare/</w:t>
            </w:r>
          </w:p>
        </w:tc>
        <w:tc>
          <w:tcPr>
            <w:tcW w:w="1417" w:type="dxa"/>
          </w:tcPr>
          <w:p w14:paraId="2FD6040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Not stated</w:t>
            </w:r>
          </w:p>
        </w:tc>
        <w:tc>
          <w:tcPr>
            <w:tcW w:w="1560" w:type="dxa"/>
          </w:tcPr>
          <w:p w14:paraId="406678C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363384FE"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Clearly</w:t>
            </w:r>
            <w:r w:rsidRPr="00640161">
              <w:rPr>
                <w:rFonts w:asciiTheme="minorHAnsi" w:hAnsiTheme="minorHAnsi" w:cstheme="minorHAnsi"/>
                <w:spacing w:val="-1"/>
              </w:rPr>
              <w:t xml:space="preserve"> </w:t>
            </w:r>
            <w:r w:rsidRPr="00640161">
              <w:rPr>
                <w:rFonts w:asciiTheme="minorHAnsi" w:hAnsiTheme="minorHAnsi" w:cstheme="minorHAnsi"/>
              </w:rPr>
              <w:t>define</w:t>
            </w:r>
            <w:r w:rsidRPr="00640161">
              <w:rPr>
                <w:rFonts w:asciiTheme="minorHAnsi" w:hAnsiTheme="minorHAnsi" w:cstheme="minorHAnsi"/>
                <w:spacing w:val="-1"/>
              </w:rPr>
              <w:t xml:space="preserve"> </w:t>
            </w:r>
            <w:r w:rsidRPr="00640161">
              <w:rPr>
                <w:rFonts w:asciiTheme="minorHAnsi" w:hAnsiTheme="minorHAnsi" w:cstheme="minorHAnsi"/>
              </w:rPr>
              <w:t>“sex”,</w:t>
            </w:r>
            <w:r w:rsidRPr="00640161">
              <w:rPr>
                <w:rFonts w:asciiTheme="minorHAnsi" w:hAnsiTheme="minorHAnsi" w:cstheme="minorHAnsi"/>
                <w:spacing w:val="-1"/>
              </w:rPr>
              <w:t xml:space="preserve"> </w:t>
            </w:r>
            <w:r w:rsidRPr="00640161">
              <w:rPr>
                <w:rFonts w:asciiTheme="minorHAnsi" w:hAnsiTheme="minorHAnsi" w:cstheme="minorHAnsi"/>
              </w:rPr>
              <w:t>“gender”, “sexual orientation”, including queer,</w:t>
            </w:r>
            <w:r w:rsidRPr="00640161">
              <w:rPr>
                <w:rFonts w:asciiTheme="minorHAnsi" w:hAnsiTheme="minorHAnsi" w:cstheme="minorHAnsi"/>
                <w:spacing w:val="-13"/>
              </w:rPr>
              <w:t xml:space="preserve"> </w:t>
            </w:r>
            <w:r w:rsidRPr="00640161">
              <w:rPr>
                <w:rFonts w:asciiTheme="minorHAnsi" w:hAnsiTheme="minorHAnsi" w:cstheme="minorHAnsi"/>
              </w:rPr>
              <w:t>lesbian,</w:t>
            </w:r>
            <w:r w:rsidRPr="00640161">
              <w:rPr>
                <w:rFonts w:asciiTheme="minorHAnsi" w:hAnsiTheme="minorHAnsi" w:cstheme="minorHAnsi"/>
                <w:spacing w:val="-12"/>
              </w:rPr>
              <w:t xml:space="preserve"> </w:t>
            </w:r>
            <w:r w:rsidRPr="00640161">
              <w:rPr>
                <w:rFonts w:asciiTheme="minorHAnsi" w:hAnsiTheme="minorHAnsi" w:cstheme="minorHAnsi"/>
              </w:rPr>
              <w:t>gay,</w:t>
            </w:r>
            <w:r w:rsidRPr="00640161">
              <w:rPr>
                <w:rFonts w:asciiTheme="minorHAnsi" w:hAnsiTheme="minorHAnsi" w:cstheme="minorHAnsi"/>
                <w:spacing w:val="-13"/>
              </w:rPr>
              <w:t xml:space="preserve"> </w:t>
            </w:r>
            <w:r w:rsidRPr="00640161">
              <w:rPr>
                <w:rFonts w:asciiTheme="minorHAnsi" w:hAnsiTheme="minorHAnsi" w:cstheme="minorHAnsi"/>
              </w:rPr>
              <w:t>non-binary gender, bisexual, agender, asexual, pansexual.</w:t>
            </w:r>
          </w:p>
        </w:tc>
        <w:tc>
          <w:tcPr>
            <w:tcW w:w="1984" w:type="dxa"/>
          </w:tcPr>
          <w:p w14:paraId="7181C7EE"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Contraception, reproductive health, alcohol, smoking, safe sex,</w:t>
            </w:r>
            <w:r w:rsidRPr="00640161">
              <w:rPr>
                <w:rFonts w:asciiTheme="minorHAnsi" w:hAnsiTheme="minorHAnsi" w:cstheme="minorHAnsi"/>
                <w:spacing w:val="-10"/>
              </w:rPr>
              <w:t xml:space="preserve"> </w:t>
            </w:r>
            <w:r w:rsidRPr="00640161">
              <w:rPr>
                <w:rFonts w:asciiTheme="minorHAnsi" w:hAnsiTheme="minorHAnsi" w:cstheme="minorHAnsi"/>
              </w:rPr>
              <w:t>STIs,</w:t>
            </w:r>
            <w:r w:rsidRPr="00640161">
              <w:rPr>
                <w:rFonts w:asciiTheme="minorHAnsi" w:hAnsiTheme="minorHAnsi" w:cstheme="minorHAnsi"/>
                <w:spacing w:val="-10"/>
              </w:rPr>
              <w:t xml:space="preserve"> </w:t>
            </w:r>
            <w:r w:rsidRPr="00640161">
              <w:rPr>
                <w:rFonts w:asciiTheme="minorHAnsi" w:hAnsiTheme="minorHAnsi" w:cstheme="minorHAnsi"/>
              </w:rPr>
              <w:t>cancer,</w:t>
            </w:r>
            <w:r w:rsidRPr="00640161">
              <w:rPr>
                <w:rFonts w:asciiTheme="minorHAnsi" w:hAnsiTheme="minorHAnsi" w:cstheme="minorHAnsi"/>
                <w:spacing w:val="-10"/>
              </w:rPr>
              <w:t xml:space="preserve"> </w:t>
            </w:r>
            <w:r w:rsidRPr="00640161">
              <w:rPr>
                <w:rFonts w:asciiTheme="minorHAnsi" w:hAnsiTheme="minorHAnsi" w:cstheme="minorHAnsi"/>
              </w:rPr>
              <w:t>mental</w:t>
            </w:r>
            <w:r w:rsidRPr="00640161">
              <w:rPr>
                <w:rFonts w:asciiTheme="minorHAnsi" w:hAnsiTheme="minorHAnsi" w:cstheme="minorHAnsi"/>
                <w:spacing w:val="-10"/>
              </w:rPr>
              <w:t xml:space="preserve"> </w:t>
            </w:r>
            <w:r w:rsidRPr="00640161">
              <w:rPr>
                <w:rFonts w:asciiTheme="minorHAnsi" w:hAnsiTheme="minorHAnsi" w:cstheme="minorHAnsi"/>
              </w:rPr>
              <w:t xml:space="preserve">health, </w:t>
            </w:r>
            <w:r w:rsidRPr="00640161">
              <w:rPr>
                <w:rFonts w:asciiTheme="minorHAnsi" w:hAnsiTheme="minorHAnsi" w:cstheme="minorHAnsi"/>
                <w:spacing w:val="-2"/>
              </w:rPr>
              <w:t>ageing.</w:t>
            </w:r>
          </w:p>
        </w:tc>
        <w:tc>
          <w:tcPr>
            <w:tcW w:w="1843" w:type="dxa"/>
          </w:tcPr>
          <w:p w14:paraId="1ADFF67D" w14:textId="77777777" w:rsidR="00094656" w:rsidRPr="00640161" w:rsidRDefault="00094656" w:rsidP="0067273F">
            <w:pPr>
              <w:pStyle w:val="TableParagraph"/>
              <w:ind w:left="104" w:right="180"/>
              <w:rPr>
                <w:rFonts w:asciiTheme="minorHAnsi" w:hAnsiTheme="minorHAnsi" w:cstheme="minorHAnsi"/>
              </w:rPr>
            </w:pPr>
            <w:r w:rsidRPr="00640161">
              <w:rPr>
                <w:rFonts w:asciiTheme="minorHAnsi" w:hAnsiTheme="minorHAnsi" w:cstheme="minorHAnsi"/>
              </w:rPr>
              <w:t>Health</w:t>
            </w:r>
            <w:r w:rsidRPr="00640161">
              <w:rPr>
                <w:rFonts w:asciiTheme="minorHAnsi" w:hAnsiTheme="minorHAnsi" w:cstheme="minorHAnsi"/>
                <w:spacing w:val="-13"/>
              </w:rPr>
              <w:t xml:space="preserve"> </w:t>
            </w:r>
            <w:r w:rsidRPr="00640161">
              <w:rPr>
                <w:rFonts w:asciiTheme="minorHAnsi" w:hAnsiTheme="minorHAnsi" w:cstheme="minorHAnsi"/>
              </w:rPr>
              <w:t>of</w:t>
            </w:r>
            <w:r w:rsidRPr="00640161">
              <w:rPr>
                <w:rFonts w:asciiTheme="minorHAnsi" w:hAnsiTheme="minorHAnsi" w:cstheme="minorHAnsi"/>
                <w:spacing w:val="-12"/>
              </w:rPr>
              <w:t xml:space="preserve"> </w:t>
            </w:r>
            <w:r w:rsidRPr="00640161">
              <w:rPr>
                <w:rFonts w:asciiTheme="minorHAnsi" w:hAnsiTheme="minorHAnsi" w:cstheme="minorHAnsi"/>
              </w:rPr>
              <w:t>trans,</w:t>
            </w:r>
            <w:r w:rsidRPr="00640161">
              <w:rPr>
                <w:rFonts w:asciiTheme="minorHAnsi" w:hAnsiTheme="minorHAnsi" w:cstheme="minorHAnsi"/>
                <w:spacing w:val="-13"/>
              </w:rPr>
              <w:t xml:space="preserve"> </w:t>
            </w:r>
            <w:r w:rsidRPr="00640161">
              <w:rPr>
                <w:rFonts w:asciiTheme="minorHAnsi" w:hAnsiTheme="minorHAnsi" w:cstheme="minorHAnsi"/>
              </w:rPr>
              <w:t>non-binary, gender diverse people.</w:t>
            </w:r>
          </w:p>
          <w:p w14:paraId="1CFFEB02"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Gender identity &amp; expression. Affirmation,</w:t>
            </w:r>
            <w:r w:rsidRPr="00640161">
              <w:rPr>
                <w:rFonts w:asciiTheme="minorHAnsi" w:hAnsiTheme="minorHAnsi" w:cstheme="minorHAnsi"/>
                <w:spacing w:val="-13"/>
              </w:rPr>
              <w:t xml:space="preserve"> </w:t>
            </w:r>
            <w:r w:rsidRPr="00640161">
              <w:rPr>
                <w:rFonts w:asciiTheme="minorHAnsi" w:hAnsiTheme="minorHAnsi" w:cstheme="minorHAnsi"/>
              </w:rPr>
              <w:t>hormone</w:t>
            </w:r>
            <w:r w:rsidRPr="00640161">
              <w:rPr>
                <w:rFonts w:asciiTheme="minorHAnsi" w:hAnsiTheme="minorHAnsi" w:cstheme="minorHAnsi"/>
                <w:spacing w:val="-12"/>
              </w:rPr>
              <w:t xml:space="preserve"> </w:t>
            </w:r>
            <w:r w:rsidRPr="00640161">
              <w:rPr>
                <w:rFonts w:asciiTheme="minorHAnsi" w:hAnsiTheme="minorHAnsi" w:cstheme="minorHAnsi"/>
              </w:rPr>
              <w:t xml:space="preserve">therapy, </w:t>
            </w:r>
            <w:r w:rsidRPr="00640161">
              <w:rPr>
                <w:rFonts w:asciiTheme="minorHAnsi" w:hAnsiTheme="minorHAnsi" w:cstheme="minorHAnsi"/>
                <w:spacing w:val="-2"/>
              </w:rPr>
              <w:t>surgery.</w:t>
            </w:r>
          </w:p>
          <w:p w14:paraId="20E77E26"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Health disparities arising from discrimination,</w:t>
            </w:r>
            <w:r w:rsidRPr="00640161">
              <w:rPr>
                <w:rFonts w:asciiTheme="minorHAnsi" w:hAnsiTheme="minorHAnsi" w:cstheme="minorHAnsi"/>
                <w:spacing w:val="-13"/>
              </w:rPr>
              <w:t xml:space="preserve"> </w:t>
            </w:r>
            <w:r w:rsidRPr="00640161">
              <w:rPr>
                <w:rFonts w:asciiTheme="minorHAnsi" w:hAnsiTheme="minorHAnsi" w:cstheme="minorHAnsi"/>
              </w:rPr>
              <w:t>marginalisation, abuse, violence, stigma.</w:t>
            </w:r>
          </w:p>
        </w:tc>
        <w:tc>
          <w:tcPr>
            <w:tcW w:w="1276" w:type="dxa"/>
          </w:tcPr>
          <w:p w14:paraId="6BDF4A26"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63E70CF9" w14:textId="77777777" w:rsidTr="00593092">
        <w:trPr>
          <w:cantSplit/>
        </w:trPr>
        <w:tc>
          <w:tcPr>
            <w:tcW w:w="1575" w:type="dxa"/>
          </w:tcPr>
          <w:p w14:paraId="770C1B5B"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spacing w:val="-2"/>
              </w:rPr>
              <w:t>Guideline Adaptation Committee</w:t>
            </w:r>
          </w:p>
        </w:tc>
        <w:tc>
          <w:tcPr>
            <w:tcW w:w="3119" w:type="dxa"/>
          </w:tcPr>
          <w:p w14:paraId="2682679F" w14:textId="77777777" w:rsidR="00094656" w:rsidRPr="00640161" w:rsidRDefault="00094656" w:rsidP="0067273F">
            <w:pPr>
              <w:pStyle w:val="TableParagraph"/>
              <w:keepNext/>
              <w:keepLines/>
              <w:widowControl/>
              <w:ind w:right="97"/>
              <w:rPr>
                <w:rFonts w:asciiTheme="minorHAnsi" w:hAnsiTheme="minorHAnsi" w:cstheme="minorHAnsi"/>
              </w:rPr>
            </w:pPr>
            <w:r w:rsidRPr="00A4437D">
              <w:rPr>
                <w:rFonts w:asciiTheme="minorHAnsi" w:hAnsiTheme="minorHAnsi" w:cstheme="minorHAnsi"/>
              </w:rPr>
              <w:t>Clinical Practice Guidelines and Principles</w:t>
            </w:r>
            <w:r w:rsidRPr="00A4437D">
              <w:rPr>
                <w:rFonts w:asciiTheme="minorHAnsi" w:hAnsiTheme="minorHAnsi" w:cstheme="minorHAnsi"/>
                <w:spacing w:val="-7"/>
              </w:rPr>
              <w:t xml:space="preserve"> </w:t>
            </w:r>
            <w:r w:rsidRPr="00A4437D">
              <w:rPr>
                <w:rFonts w:asciiTheme="minorHAnsi" w:hAnsiTheme="minorHAnsi" w:cstheme="minorHAnsi"/>
              </w:rPr>
              <w:t>of</w:t>
            </w:r>
            <w:r w:rsidRPr="00A4437D">
              <w:rPr>
                <w:rFonts w:asciiTheme="minorHAnsi" w:hAnsiTheme="minorHAnsi" w:cstheme="minorHAnsi"/>
                <w:spacing w:val="-7"/>
              </w:rPr>
              <w:t xml:space="preserve"> </w:t>
            </w:r>
            <w:r w:rsidRPr="00A4437D">
              <w:rPr>
                <w:rFonts w:asciiTheme="minorHAnsi" w:hAnsiTheme="minorHAnsi" w:cstheme="minorHAnsi"/>
              </w:rPr>
              <w:t>Care</w:t>
            </w:r>
            <w:r w:rsidRPr="00A4437D">
              <w:rPr>
                <w:rFonts w:asciiTheme="minorHAnsi" w:hAnsiTheme="minorHAnsi" w:cstheme="minorHAnsi"/>
                <w:spacing w:val="-7"/>
              </w:rPr>
              <w:t xml:space="preserve"> </w:t>
            </w:r>
            <w:r w:rsidRPr="00A4437D">
              <w:rPr>
                <w:rFonts w:asciiTheme="minorHAnsi" w:hAnsiTheme="minorHAnsi" w:cstheme="minorHAnsi"/>
              </w:rPr>
              <w:t>for</w:t>
            </w:r>
            <w:r w:rsidRPr="00A4437D">
              <w:rPr>
                <w:rFonts w:asciiTheme="minorHAnsi" w:hAnsiTheme="minorHAnsi" w:cstheme="minorHAnsi"/>
                <w:spacing w:val="-7"/>
              </w:rPr>
              <w:t xml:space="preserve"> </w:t>
            </w:r>
            <w:r w:rsidRPr="00A4437D">
              <w:rPr>
                <w:rFonts w:asciiTheme="minorHAnsi" w:hAnsiTheme="minorHAnsi" w:cstheme="minorHAnsi"/>
              </w:rPr>
              <w:t>People</w:t>
            </w:r>
            <w:r w:rsidRPr="00A4437D">
              <w:rPr>
                <w:rFonts w:asciiTheme="minorHAnsi" w:hAnsiTheme="minorHAnsi" w:cstheme="minorHAnsi"/>
                <w:spacing w:val="-7"/>
              </w:rPr>
              <w:t xml:space="preserve"> </w:t>
            </w:r>
            <w:r w:rsidRPr="00A4437D">
              <w:rPr>
                <w:rFonts w:asciiTheme="minorHAnsi" w:hAnsiTheme="minorHAnsi" w:cstheme="minorHAnsi"/>
              </w:rPr>
              <w:t>with Dementia, 2016</w:t>
            </w:r>
          </w:p>
          <w:p w14:paraId="73CE1873" w14:textId="77777777" w:rsidR="00094656" w:rsidRPr="00DA469F" w:rsidRDefault="00094656" w:rsidP="0067273F">
            <w:pPr>
              <w:pStyle w:val="TableParagraph"/>
              <w:keepNext/>
              <w:keepLines/>
              <w:widowControl/>
              <w:ind w:left="108" w:right="96"/>
              <w:rPr>
                <w:rFonts w:asciiTheme="minorHAnsi" w:hAnsiTheme="minorHAnsi" w:cstheme="minorHAnsi"/>
                <w:b/>
              </w:rPr>
            </w:pPr>
          </w:p>
          <w:p w14:paraId="448CDDE0" w14:textId="77777777" w:rsidR="00094656" w:rsidRPr="00DA469F" w:rsidRDefault="00094656" w:rsidP="0067273F">
            <w:pPr>
              <w:adjustRightInd w:val="0"/>
              <w:spacing w:before="1"/>
              <w:ind w:left="108" w:right="96"/>
              <w:rPr>
                <w:rFonts w:ascii="Frutiger-Light" w:eastAsia="Frutiger-Light" w:cs="Frutiger-Light"/>
                <w:sz w:val="20"/>
                <w:szCs w:val="20"/>
              </w:rPr>
            </w:pPr>
            <w:r w:rsidRPr="00DA469F">
              <w:rPr>
                <w:rFonts w:eastAsia="Frutiger-Light" w:cstheme="minorHAnsi"/>
              </w:rPr>
              <w:t>Guideline Adaptation Committee.</w:t>
            </w:r>
            <w:r>
              <w:rPr>
                <w:rFonts w:eastAsia="Frutiger-Light" w:cstheme="minorHAnsi"/>
              </w:rPr>
              <w:t xml:space="preserve"> </w:t>
            </w:r>
            <w:r w:rsidRPr="00DA469F">
              <w:rPr>
                <w:rFonts w:eastAsia="Frutiger-Light" w:cstheme="minorHAnsi"/>
              </w:rPr>
              <w:t xml:space="preserve">(2016). Clinical Practice Guidelines and Principles of Care for People with Dementia. Sydney. Guideline Adaptation Committee. </w:t>
            </w:r>
            <w:r w:rsidRPr="00DA469F">
              <w:rPr>
                <w:rFonts w:cstheme="minorHAnsi"/>
                <w:spacing w:val="-2"/>
              </w:rPr>
              <w:t>https://cdpc.sydney.edu.au/wp-content/uploads/2019/06/CDPC-Dementia-Guidelines_WEB.pdf</w:t>
            </w:r>
          </w:p>
        </w:tc>
        <w:tc>
          <w:tcPr>
            <w:tcW w:w="1417" w:type="dxa"/>
          </w:tcPr>
          <w:p w14:paraId="6B28BC01"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Approved</w:t>
            </w:r>
            <w:r w:rsidRPr="00640161">
              <w:rPr>
                <w:rFonts w:asciiTheme="minorHAnsi" w:hAnsiTheme="minorHAnsi" w:cstheme="minorHAnsi"/>
                <w:spacing w:val="-6"/>
              </w:rPr>
              <w:t xml:space="preserve"> </w:t>
            </w:r>
            <w:r w:rsidRPr="00640161">
              <w:rPr>
                <w:rFonts w:asciiTheme="minorHAnsi" w:hAnsiTheme="minorHAnsi" w:cstheme="minorHAnsi"/>
              </w:rPr>
              <w:t>by</w:t>
            </w:r>
            <w:r w:rsidRPr="00640161">
              <w:rPr>
                <w:rFonts w:asciiTheme="minorHAnsi" w:hAnsiTheme="minorHAnsi" w:cstheme="minorHAnsi"/>
                <w:spacing w:val="-5"/>
              </w:rPr>
              <w:t xml:space="preserve"> </w:t>
            </w:r>
            <w:r w:rsidRPr="00640161">
              <w:rPr>
                <w:rFonts w:asciiTheme="minorHAnsi" w:hAnsiTheme="minorHAnsi" w:cstheme="minorHAnsi"/>
                <w:spacing w:val="-2"/>
              </w:rPr>
              <w:t>NHMRC</w:t>
            </w:r>
            <w:r>
              <w:rPr>
                <w:rFonts w:asciiTheme="minorHAnsi" w:hAnsiTheme="minorHAnsi" w:cstheme="minorHAnsi"/>
                <w:spacing w:val="-2"/>
              </w:rPr>
              <w:t>.</w:t>
            </w:r>
          </w:p>
          <w:p w14:paraId="14C1663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Endorsed by 8 organisations </w:t>
            </w:r>
          </w:p>
          <w:p w14:paraId="5A7AABAF" w14:textId="77777777" w:rsidR="00094656" w:rsidRPr="00640161" w:rsidRDefault="00094656" w:rsidP="0067273F">
            <w:pPr>
              <w:pStyle w:val="TableParagraph"/>
              <w:rPr>
                <w:rFonts w:asciiTheme="minorHAnsi" w:hAnsiTheme="minorHAnsi" w:cstheme="minorHAnsi"/>
              </w:rPr>
            </w:pPr>
          </w:p>
        </w:tc>
        <w:tc>
          <w:tcPr>
            <w:tcW w:w="1560" w:type="dxa"/>
          </w:tcPr>
          <w:p w14:paraId="2F194DC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Geriatrics</w:t>
            </w:r>
          </w:p>
        </w:tc>
        <w:tc>
          <w:tcPr>
            <w:tcW w:w="2126" w:type="dxa"/>
          </w:tcPr>
          <w:p w14:paraId="78C90EF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Pr>
                <w:rFonts w:asciiTheme="minorHAnsi" w:hAnsiTheme="minorHAnsi" w:cstheme="minorHAnsi"/>
              </w:rPr>
              <w:t xml:space="preserve"> (n=1)</w:t>
            </w:r>
            <w:r w:rsidRPr="00640161">
              <w:rPr>
                <w:rFonts w:asciiTheme="minorHAnsi" w:hAnsiTheme="minorHAnsi" w:cstheme="minorHAnsi"/>
              </w:rPr>
              <w:t>,</w:t>
            </w:r>
            <w:r w:rsidRPr="00640161">
              <w:rPr>
                <w:rFonts w:asciiTheme="minorHAnsi" w:hAnsiTheme="minorHAnsi" w:cstheme="minorHAnsi"/>
                <w:spacing w:val="-13"/>
              </w:rPr>
              <w:t xml:space="preserve"> </w:t>
            </w:r>
            <w:r w:rsidRPr="00640161">
              <w:rPr>
                <w:rFonts w:asciiTheme="minorHAnsi" w:hAnsiTheme="minorHAnsi" w:cstheme="minorHAnsi"/>
              </w:rPr>
              <w:t>“gender”</w:t>
            </w:r>
            <w:r>
              <w:rPr>
                <w:rFonts w:asciiTheme="minorHAnsi" w:hAnsiTheme="minorHAnsi" w:cstheme="minorHAnsi"/>
              </w:rPr>
              <w:t xml:space="preserve"> (n=2)</w:t>
            </w:r>
            <w:r w:rsidRPr="00640161">
              <w:rPr>
                <w:rFonts w:asciiTheme="minorHAnsi" w:hAnsiTheme="minorHAnsi" w:cstheme="minorHAnsi"/>
                <w:spacing w:val="-12"/>
              </w:rPr>
              <w:t xml:space="preserve"> </w:t>
            </w:r>
            <w:r w:rsidRPr="00640161">
              <w:rPr>
                <w:rFonts w:asciiTheme="minorHAnsi" w:hAnsiTheme="minorHAnsi" w:cstheme="minorHAnsi"/>
              </w:rPr>
              <w:t>not</w:t>
            </w:r>
            <w:r w:rsidRPr="00640161">
              <w:rPr>
                <w:rFonts w:asciiTheme="minorHAnsi" w:hAnsiTheme="minorHAnsi" w:cstheme="minorHAnsi"/>
                <w:spacing w:val="-13"/>
              </w:rPr>
              <w:t xml:space="preserve"> </w:t>
            </w:r>
            <w:r w:rsidRPr="00640161">
              <w:rPr>
                <w:rFonts w:asciiTheme="minorHAnsi" w:hAnsiTheme="minorHAnsi" w:cstheme="minorHAnsi"/>
              </w:rPr>
              <w:t xml:space="preserve">defined; used </w:t>
            </w:r>
            <w:r>
              <w:rPr>
                <w:rFonts w:asciiTheme="minorHAnsi" w:hAnsiTheme="minorHAnsi" w:cstheme="minorHAnsi"/>
              </w:rPr>
              <w:t>to mean sex</w:t>
            </w:r>
            <w:r w:rsidRPr="00640161">
              <w:rPr>
                <w:rFonts w:asciiTheme="minorHAnsi" w:hAnsiTheme="minorHAnsi" w:cstheme="minorHAnsi"/>
              </w:rPr>
              <w:t>.</w:t>
            </w:r>
            <w:r>
              <w:rPr>
                <w:rFonts w:asciiTheme="minorHAnsi" w:hAnsiTheme="minorHAnsi" w:cstheme="minorHAnsi"/>
              </w:rPr>
              <w:t xml:space="preserve"> “Women”, “men” used.</w:t>
            </w:r>
          </w:p>
        </w:tc>
        <w:tc>
          <w:tcPr>
            <w:tcW w:w="1984" w:type="dxa"/>
          </w:tcPr>
          <w:p w14:paraId="54505E31"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1"/>
              </w:rPr>
              <w:t xml:space="preserve"> </w:t>
            </w:r>
            <w:r w:rsidRPr="00640161">
              <w:rPr>
                <w:rFonts w:asciiTheme="minorHAnsi" w:hAnsiTheme="minorHAnsi" w:cstheme="minorHAnsi"/>
                <w:spacing w:val="-2"/>
              </w:rPr>
              <w:t>prevalence.</w:t>
            </w:r>
          </w:p>
        </w:tc>
        <w:tc>
          <w:tcPr>
            <w:tcW w:w="1843" w:type="dxa"/>
          </w:tcPr>
          <w:p w14:paraId="2A3A61AF" w14:textId="77777777" w:rsidR="00094656" w:rsidRDefault="00094656" w:rsidP="0067273F">
            <w:pPr>
              <w:pStyle w:val="TableParagraph"/>
              <w:ind w:left="138" w:right="111"/>
              <w:rPr>
                <w:rFonts w:asciiTheme="minorHAnsi" w:hAnsiTheme="minorHAnsi" w:cstheme="minorHAnsi"/>
                <w:spacing w:val="-2"/>
              </w:rPr>
            </w:pPr>
            <w:r w:rsidRPr="00640161">
              <w:rPr>
                <w:rFonts w:asciiTheme="minorHAnsi" w:hAnsiTheme="minorHAnsi" w:cstheme="minorHAnsi"/>
              </w:rPr>
              <w:t>Should identify needs of people with dementia arising from diversity,</w:t>
            </w:r>
            <w:r w:rsidRPr="00640161">
              <w:rPr>
                <w:rFonts w:asciiTheme="minorHAnsi" w:hAnsiTheme="minorHAnsi" w:cstheme="minorHAnsi"/>
                <w:spacing w:val="-13"/>
              </w:rPr>
              <w:t xml:space="preserve"> </w:t>
            </w:r>
            <w:r w:rsidRPr="00640161">
              <w:rPr>
                <w:rFonts w:asciiTheme="minorHAnsi" w:hAnsiTheme="minorHAnsi" w:cstheme="minorHAnsi"/>
              </w:rPr>
              <w:t>including</w:t>
            </w:r>
            <w:r w:rsidRPr="00640161">
              <w:rPr>
                <w:rFonts w:asciiTheme="minorHAnsi" w:hAnsiTheme="minorHAnsi" w:cstheme="minorHAnsi"/>
                <w:spacing w:val="-12"/>
              </w:rPr>
              <w:t xml:space="preserve"> </w:t>
            </w:r>
            <w:r w:rsidRPr="00640161">
              <w:rPr>
                <w:rFonts w:asciiTheme="minorHAnsi" w:hAnsiTheme="minorHAnsi" w:cstheme="minorHAnsi"/>
              </w:rPr>
              <w:t>gender</w:t>
            </w:r>
            <w:r>
              <w:rPr>
                <w:rFonts w:asciiTheme="minorHAnsi" w:hAnsiTheme="minorHAnsi" w:cstheme="minorHAnsi"/>
              </w:rPr>
              <w:t xml:space="preserve"> (= sex?)</w:t>
            </w:r>
            <w:r w:rsidRPr="00640161">
              <w:rPr>
                <w:rFonts w:asciiTheme="minorHAnsi" w:hAnsiTheme="minorHAnsi" w:cstheme="minorHAnsi"/>
              </w:rPr>
              <w:t>,</w:t>
            </w:r>
            <w:r w:rsidRPr="00640161">
              <w:rPr>
                <w:rFonts w:asciiTheme="minorHAnsi" w:hAnsiTheme="minorHAnsi" w:cstheme="minorHAnsi"/>
                <w:spacing w:val="-13"/>
              </w:rPr>
              <w:t xml:space="preserve"> </w:t>
            </w:r>
            <w:r w:rsidRPr="00640161">
              <w:rPr>
                <w:rFonts w:asciiTheme="minorHAnsi" w:hAnsiTheme="minorHAnsi" w:cstheme="minorHAnsi"/>
              </w:rPr>
              <w:t xml:space="preserve">sexual </w:t>
            </w:r>
            <w:r w:rsidRPr="00640161">
              <w:rPr>
                <w:rFonts w:asciiTheme="minorHAnsi" w:hAnsiTheme="minorHAnsi" w:cstheme="minorHAnsi"/>
                <w:spacing w:val="-2"/>
              </w:rPr>
              <w:t>orientation.</w:t>
            </w:r>
          </w:p>
          <w:p w14:paraId="1CC22EEC"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Demands of being a carer; carers usually female.</w:t>
            </w:r>
          </w:p>
        </w:tc>
        <w:tc>
          <w:tcPr>
            <w:tcW w:w="1276" w:type="dxa"/>
          </w:tcPr>
          <w:p w14:paraId="608EDDFD"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191E9F0E" w14:textId="77777777" w:rsidTr="0067273F">
        <w:tc>
          <w:tcPr>
            <w:tcW w:w="1575" w:type="dxa"/>
          </w:tcPr>
          <w:p w14:paraId="31E99309" w14:textId="77777777" w:rsidR="00094656" w:rsidRPr="00640161" w:rsidRDefault="00094656" w:rsidP="0067273F">
            <w:pPr>
              <w:pStyle w:val="TableParagraph"/>
              <w:ind w:left="110" w:right="215"/>
              <w:rPr>
                <w:rFonts w:asciiTheme="minorHAnsi" w:hAnsiTheme="minorHAnsi" w:cstheme="minorHAnsi"/>
                <w:b/>
                <w:spacing w:val="-2"/>
              </w:rPr>
            </w:pPr>
            <w:r>
              <w:rPr>
                <w:rFonts w:asciiTheme="minorHAnsi" w:hAnsiTheme="minorHAnsi" w:cstheme="minorHAnsi"/>
                <w:b/>
                <w:spacing w:val="-2"/>
              </w:rPr>
              <w:lastRenderedPageBreak/>
              <w:t>International PCOS Network</w:t>
            </w:r>
          </w:p>
        </w:tc>
        <w:tc>
          <w:tcPr>
            <w:tcW w:w="3119" w:type="dxa"/>
          </w:tcPr>
          <w:p w14:paraId="68BA8D4B" w14:textId="77777777" w:rsidR="00094656" w:rsidRDefault="00094656" w:rsidP="0067273F">
            <w:pPr>
              <w:pStyle w:val="TableParagraph"/>
              <w:keepNext/>
              <w:keepLines/>
              <w:widowControl/>
              <w:ind w:right="97"/>
              <w:rPr>
                <w:rFonts w:asciiTheme="minorHAnsi" w:hAnsiTheme="minorHAnsi" w:cstheme="minorHAnsi"/>
                <w:highlight w:val="yellow"/>
              </w:rPr>
            </w:pPr>
            <w:r>
              <w:t>International Evidence-based Guideline for the Assessment and Management of Polycystic Ovary Syndrome, 2023</w:t>
            </w:r>
          </w:p>
          <w:p w14:paraId="57CB6BF5" w14:textId="77777777" w:rsidR="00094656" w:rsidRDefault="00094656" w:rsidP="0067273F">
            <w:pPr>
              <w:pStyle w:val="TableParagraph"/>
              <w:keepNext/>
              <w:keepLines/>
              <w:widowControl/>
              <w:ind w:right="97"/>
              <w:rPr>
                <w:rFonts w:asciiTheme="minorHAnsi" w:hAnsiTheme="minorHAnsi" w:cstheme="minorHAnsi"/>
                <w:highlight w:val="yellow"/>
              </w:rPr>
            </w:pPr>
          </w:p>
          <w:p w14:paraId="31F97D8E" w14:textId="77777777" w:rsidR="00094656" w:rsidRPr="00F65DFA" w:rsidRDefault="00094656" w:rsidP="0067273F">
            <w:pPr>
              <w:pStyle w:val="TableParagraph"/>
              <w:keepNext/>
              <w:keepLines/>
              <w:widowControl/>
              <w:ind w:right="97"/>
              <w:rPr>
                <w:rFonts w:asciiTheme="minorHAnsi" w:hAnsiTheme="minorHAnsi" w:cstheme="minorHAnsi"/>
              </w:rPr>
            </w:pPr>
            <w:proofErr w:type="spellStart"/>
            <w:r>
              <w:t>Teede</w:t>
            </w:r>
            <w:proofErr w:type="spellEnd"/>
            <w:r>
              <w:t xml:space="preserve"> et al. (2023). </w:t>
            </w:r>
            <w:r w:rsidRPr="00806C15">
              <w:rPr>
                <w:i/>
                <w:iCs/>
              </w:rPr>
              <w:t>International Evidence-based Guideline for the Assessment and Management of Polycystic Ovary Syndrome</w:t>
            </w:r>
            <w:r>
              <w:t xml:space="preserve">. Monash University. </w:t>
            </w:r>
            <w:r w:rsidRPr="00F65DFA">
              <w:rPr>
                <w:rFonts w:asciiTheme="minorHAnsi" w:hAnsiTheme="minorHAnsi" w:cstheme="minorHAnsi"/>
              </w:rPr>
              <w:t>https://www.monash.edu/medicine/mchri/pcos/guideline</w:t>
            </w:r>
          </w:p>
        </w:tc>
        <w:tc>
          <w:tcPr>
            <w:tcW w:w="1417" w:type="dxa"/>
          </w:tcPr>
          <w:p w14:paraId="4B528B7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NHMRC</w:t>
            </w:r>
          </w:p>
        </w:tc>
        <w:tc>
          <w:tcPr>
            <w:tcW w:w="1560" w:type="dxa"/>
          </w:tcPr>
          <w:p w14:paraId="38BD877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Gynaecology</w:t>
            </w:r>
          </w:p>
        </w:tc>
        <w:tc>
          <w:tcPr>
            <w:tcW w:w="2126" w:type="dxa"/>
          </w:tcPr>
          <w:p w14:paraId="5A027FED"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Terms not defined. “Gender” used for “sex”. Statement about being inclusive, non-binary, </w:t>
            </w:r>
            <w:proofErr w:type="gramStart"/>
            <w:r>
              <w:rPr>
                <w:rFonts w:asciiTheme="minorHAnsi" w:hAnsiTheme="minorHAnsi" w:cstheme="minorHAnsi"/>
              </w:rPr>
              <w:t>gender-neutral</w:t>
            </w:r>
            <w:proofErr w:type="gramEnd"/>
            <w:r>
              <w:rPr>
                <w:rFonts w:asciiTheme="minorHAnsi" w:hAnsiTheme="minorHAnsi" w:cstheme="minorHAnsi"/>
              </w:rPr>
              <w:t>. Use “female” for “biological sex”. Use “woman/women” to “encompass all genders” affected by PCOS.</w:t>
            </w:r>
          </w:p>
        </w:tc>
        <w:tc>
          <w:tcPr>
            <w:tcW w:w="1984" w:type="dxa"/>
          </w:tcPr>
          <w:p w14:paraId="2CF27A92"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As implied in treatment for PCOS.</w:t>
            </w:r>
          </w:p>
        </w:tc>
        <w:tc>
          <w:tcPr>
            <w:tcW w:w="1843" w:type="dxa"/>
          </w:tcPr>
          <w:p w14:paraId="6D54F3D9"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Impact of PCOS psychosocially &amp; culturally.</w:t>
            </w:r>
          </w:p>
        </w:tc>
        <w:tc>
          <w:tcPr>
            <w:tcW w:w="1276" w:type="dxa"/>
          </w:tcPr>
          <w:p w14:paraId="6F1BD09A"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1E693B5E" w14:textId="77777777" w:rsidTr="0067273F">
        <w:trPr>
          <w:cantSplit/>
        </w:trPr>
        <w:tc>
          <w:tcPr>
            <w:tcW w:w="1575" w:type="dxa"/>
          </w:tcPr>
          <w:p w14:paraId="46C8A058"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Kidney</w:t>
            </w:r>
            <w:r w:rsidRPr="00640161">
              <w:rPr>
                <w:rFonts w:asciiTheme="minorHAnsi" w:hAnsiTheme="minorHAnsi" w:cstheme="minorHAnsi"/>
                <w:b/>
                <w:spacing w:val="-13"/>
              </w:rPr>
              <w:t xml:space="preserve"> </w:t>
            </w:r>
            <w:r w:rsidRPr="00640161">
              <w:rPr>
                <w:rFonts w:asciiTheme="minorHAnsi" w:hAnsiTheme="minorHAnsi" w:cstheme="minorHAnsi"/>
                <w:b/>
              </w:rPr>
              <w:t xml:space="preserve">Health </w:t>
            </w:r>
            <w:r w:rsidRPr="00640161">
              <w:rPr>
                <w:rFonts w:asciiTheme="minorHAnsi" w:hAnsiTheme="minorHAnsi" w:cstheme="minorHAnsi"/>
                <w:b/>
                <w:spacing w:val="-2"/>
              </w:rPr>
              <w:t>Australia</w:t>
            </w:r>
          </w:p>
        </w:tc>
        <w:tc>
          <w:tcPr>
            <w:tcW w:w="3119" w:type="dxa"/>
          </w:tcPr>
          <w:p w14:paraId="19BC3C05"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Chronic Kidney Disease (CKD) Management</w:t>
            </w:r>
            <w:r w:rsidRPr="00640161">
              <w:rPr>
                <w:rFonts w:asciiTheme="minorHAnsi" w:hAnsiTheme="minorHAnsi" w:cstheme="minorHAnsi"/>
                <w:spacing w:val="-9"/>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Primary</w:t>
            </w:r>
            <w:r w:rsidRPr="00640161">
              <w:rPr>
                <w:rFonts w:asciiTheme="minorHAnsi" w:hAnsiTheme="minorHAnsi" w:cstheme="minorHAnsi"/>
                <w:spacing w:val="-9"/>
              </w:rPr>
              <w:t xml:space="preserve"> </w:t>
            </w:r>
            <w:r w:rsidRPr="00640161">
              <w:rPr>
                <w:rFonts w:asciiTheme="minorHAnsi" w:hAnsiTheme="minorHAnsi" w:cstheme="minorHAnsi"/>
              </w:rPr>
              <w:t>Care:</w:t>
            </w:r>
            <w:r w:rsidRPr="00640161">
              <w:rPr>
                <w:rFonts w:asciiTheme="minorHAnsi" w:hAnsiTheme="minorHAnsi" w:cstheme="minorHAnsi"/>
                <w:spacing w:val="-10"/>
              </w:rPr>
              <w:t xml:space="preserve"> </w:t>
            </w:r>
            <w:r w:rsidRPr="00640161">
              <w:rPr>
                <w:rFonts w:asciiTheme="minorHAnsi" w:hAnsiTheme="minorHAnsi" w:cstheme="minorHAnsi"/>
              </w:rPr>
              <w:t xml:space="preserve">Guidance and clinical tips to help detect, manage and refer patients </w:t>
            </w:r>
            <w:r>
              <w:rPr>
                <w:rFonts w:asciiTheme="minorHAnsi" w:hAnsiTheme="minorHAnsi" w:cstheme="minorHAnsi"/>
              </w:rPr>
              <w:t xml:space="preserve">with CKD </w:t>
            </w:r>
            <w:r w:rsidRPr="00640161">
              <w:rPr>
                <w:rFonts w:asciiTheme="minorHAnsi" w:hAnsiTheme="minorHAnsi" w:cstheme="minorHAnsi"/>
              </w:rPr>
              <w:t>in your practice</w:t>
            </w:r>
            <w:r>
              <w:rPr>
                <w:rFonts w:asciiTheme="minorHAnsi" w:hAnsiTheme="minorHAnsi" w:cstheme="minorHAnsi"/>
              </w:rPr>
              <w:t>, 5</w:t>
            </w:r>
            <w:r w:rsidRPr="0054174B">
              <w:rPr>
                <w:rFonts w:asciiTheme="minorHAnsi" w:hAnsiTheme="minorHAnsi" w:cstheme="minorHAnsi"/>
                <w:vertAlign w:val="superscript"/>
              </w:rPr>
              <w:t>th</w:t>
            </w:r>
            <w:r>
              <w:rPr>
                <w:rFonts w:asciiTheme="minorHAnsi" w:hAnsiTheme="minorHAnsi" w:cstheme="minorHAnsi"/>
              </w:rPr>
              <w:t xml:space="preserve"> edition</w:t>
            </w:r>
            <w:r w:rsidRPr="00640161">
              <w:rPr>
                <w:rFonts w:asciiTheme="minorHAnsi" w:hAnsiTheme="minorHAnsi" w:cstheme="minorHAnsi"/>
              </w:rPr>
              <w:t>, 2024</w:t>
            </w:r>
          </w:p>
          <w:p w14:paraId="65573C71" w14:textId="77777777" w:rsidR="00094656" w:rsidRPr="00640161" w:rsidRDefault="00094656" w:rsidP="0067273F">
            <w:pPr>
              <w:pStyle w:val="TableParagraph"/>
              <w:spacing w:before="4"/>
              <w:ind w:left="0"/>
              <w:rPr>
                <w:rFonts w:asciiTheme="minorHAnsi" w:hAnsiTheme="minorHAnsi" w:cstheme="minorHAnsi"/>
                <w:b/>
              </w:rPr>
            </w:pPr>
          </w:p>
          <w:p w14:paraId="5EB6B6D5" w14:textId="77777777" w:rsidR="00094656" w:rsidRPr="00640161" w:rsidRDefault="00094656" w:rsidP="0067273F">
            <w:pPr>
              <w:pStyle w:val="TableParagraph"/>
              <w:ind w:right="316"/>
              <w:rPr>
                <w:rFonts w:asciiTheme="minorHAnsi" w:hAnsiTheme="minorHAnsi" w:cstheme="minorHAnsi"/>
              </w:rPr>
            </w:pPr>
            <w:r w:rsidRPr="00640161">
              <w:rPr>
                <w:rFonts w:asciiTheme="minorHAnsi" w:hAnsiTheme="minorHAnsi" w:cstheme="minorHAnsi"/>
                <w:spacing w:val="-2"/>
              </w:rPr>
              <w:t>https://kidney.org.au/uploads/resource s/Chronic-kidney-disease-management- in-primary-care-5th-edition- handbook.pdf</w:t>
            </w:r>
          </w:p>
        </w:tc>
        <w:tc>
          <w:tcPr>
            <w:tcW w:w="1417" w:type="dxa"/>
          </w:tcPr>
          <w:p w14:paraId="2290E5EB"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Accepted</w:t>
            </w:r>
            <w:r w:rsidRPr="00640161">
              <w:rPr>
                <w:rFonts w:asciiTheme="minorHAnsi" w:hAnsiTheme="minorHAnsi" w:cstheme="minorHAnsi"/>
                <w:spacing w:val="-6"/>
              </w:rPr>
              <w:t xml:space="preserve"> </w:t>
            </w:r>
            <w:r w:rsidRPr="00640161">
              <w:rPr>
                <w:rFonts w:asciiTheme="minorHAnsi" w:hAnsiTheme="minorHAnsi" w:cstheme="minorHAnsi"/>
              </w:rPr>
              <w:t>by</w:t>
            </w:r>
            <w:r w:rsidRPr="00640161">
              <w:rPr>
                <w:rFonts w:asciiTheme="minorHAnsi" w:hAnsiTheme="minorHAnsi" w:cstheme="minorHAnsi"/>
                <w:spacing w:val="-5"/>
              </w:rPr>
              <w:t xml:space="preserve"> </w:t>
            </w:r>
            <w:r w:rsidRPr="00640161">
              <w:rPr>
                <w:rFonts w:asciiTheme="minorHAnsi" w:hAnsiTheme="minorHAnsi" w:cstheme="minorHAnsi"/>
                <w:spacing w:val="-2"/>
              </w:rPr>
              <w:t>RACGP.</w:t>
            </w:r>
          </w:p>
          <w:p w14:paraId="2BD1285D" w14:textId="77777777" w:rsidR="00094656" w:rsidRPr="00640161" w:rsidRDefault="00094656" w:rsidP="0067273F">
            <w:pPr>
              <w:pStyle w:val="TableParagraph"/>
              <w:spacing w:before="0"/>
              <w:ind w:right="97"/>
              <w:rPr>
                <w:rFonts w:asciiTheme="minorHAnsi" w:hAnsiTheme="minorHAnsi" w:cstheme="minorHAnsi"/>
              </w:rPr>
            </w:pPr>
            <w:r w:rsidRPr="00640161">
              <w:rPr>
                <w:rFonts w:asciiTheme="minorHAnsi" w:hAnsiTheme="minorHAnsi" w:cstheme="minorHAnsi"/>
              </w:rPr>
              <w:t>Endorsed</w:t>
            </w:r>
            <w:r w:rsidRPr="00640161">
              <w:rPr>
                <w:rFonts w:asciiTheme="minorHAnsi" w:hAnsiTheme="minorHAnsi" w:cstheme="minorHAnsi"/>
                <w:spacing w:val="-2"/>
              </w:rPr>
              <w:t xml:space="preserve"> </w:t>
            </w:r>
            <w:r w:rsidRPr="00640161">
              <w:rPr>
                <w:rFonts w:asciiTheme="minorHAnsi" w:hAnsiTheme="minorHAnsi" w:cstheme="minorHAnsi"/>
              </w:rPr>
              <w:t>by</w:t>
            </w:r>
            <w:r w:rsidRPr="00640161">
              <w:rPr>
                <w:rFonts w:asciiTheme="minorHAnsi" w:hAnsiTheme="minorHAnsi" w:cstheme="minorHAnsi"/>
                <w:spacing w:val="-2"/>
              </w:rPr>
              <w:t xml:space="preserve"> </w:t>
            </w:r>
            <w:r w:rsidRPr="00640161">
              <w:rPr>
                <w:rFonts w:asciiTheme="minorHAnsi" w:hAnsiTheme="minorHAnsi" w:cstheme="minorHAnsi"/>
              </w:rPr>
              <w:t>ANZ Society</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Nephrology,</w:t>
            </w:r>
            <w:r w:rsidRPr="00640161">
              <w:rPr>
                <w:rFonts w:asciiTheme="minorHAnsi" w:hAnsiTheme="minorHAnsi" w:cstheme="minorHAnsi"/>
                <w:spacing w:val="-9"/>
              </w:rPr>
              <w:t xml:space="preserve"> </w:t>
            </w:r>
            <w:r w:rsidRPr="00640161">
              <w:rPr>
                <w:rFonts w:asciiTheme="minorHAnsi" w:hAnsiTheme="minorHAnsi" w:cstheme="minorHAnsi"/>
              </w:rPr>
              <w:t>Primary Healthcare Nurses Association, Renal Society of Australasia</w:t>
            </w:r>
          </w:p>
        </w:tc>
        <w:tc>
          <w:tcPr>
            <w:tcW w:w="1560" w:type="dxa"/>
          </w:tcPr>
          <w:p w14:paraId="12062FE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General practice</w:t>
            </w:r>
          </w:p>
        </w:tc>
        <w:tc>
          <w:tcPr>
            <w:tcW w:w="2126" w:type="dxa"/>
          </w:tcPr>
          <w:p w14:paraId="1268B2FF" w14:textId="77777777" w:rsidR="00094656" w:rsidRDefault="00094656" w:rsidP="0067273F">
            <w:pPr>
              <w:pStyle w:val="TableParagraph"/>
              <w:rPr>
                <w:rFonts w:asciiTheme="minorHAnsi" w:hAnsiTheme="minorHAnsi" w:cstheme="minorHAnsi"/>
              </w:rPr>
            </w:pPr>
            <w:r>
              <w:rPr>
                <w:rFonts w:asciiTheme="minorHAnsi" w:hAnsiTheme="minorHAnsi" w:cstheme="minorHAnsi"/>
              </w:rPr>
              <w:t xml:space="preserve">“Sex”, “gender”, </w:t>
            </w:r>
            <w:r>
              <w:rPr>
                <w:rFonts w:asciiTheme="minorHAnsi" w:hAnsiTheme="minorHAnsi" w:cstheme="minorHAnsi"/>
                <w:spacing w:val="-2"/>
              </w:rPr>
              <w:t>“men”, “female”, “male”</w:t>
            </w:r>
            <w:r>
              <w:rPr>
                <w:rFonts w:asciiTheme="minorHAnsi" w:hAnsiTheme="minorHAnsi" w:cstheme="minorHAnsi"/>
              </w:rPr>
              <w:t xml:space="preserve"> not found in text search.</w:t>
            </w:r>
          </w:p>
          <w:p w14:paraId="55A7A0B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Use</w:t>
            </w:r>
            <w:r w:rsidRPr="00640161">
              <w:rPr>
                <w:rFonts w:asciiTheme="minorHAnsi" w:hAnsiTheme="minorHAnsi" w:cstheme="minorHAnsi"/>
                <w:spacing w:val="-4"/>
              </w:rPr>
              <w:t xml:space="preserve"> </w:t>
            </w:r>
            <w:r w:rsidRPr="00640161">
              <w:rPr>
                <w:rFonts w:asciiTheme="minorHAnsi" w:hAnsiTheme="minorHAnsi" w:cstheme="minorHAnsi"/>
              </w:rPr>
              <w:t>only</w:t>
            </w:r>
            <w:r w:rsidRPr="00640161">
              <w:rPr>
                <w:rFonts w:asciiTheme="minorHAnsi" w:hAnsiTheme="minorHAnsi" w:cstheme="minorHAnsi"/>
                <w:spacing w:val="-3"/>
              </w:rPr>
              <w:t xml:space="preserve"> </w:t>
            </w:r>
            <w:r w:rsidRPr="00640161">
              <w:rPr>
                <w:rFonts w:asciiTheme="minorHAnsi" w:hAnsiTheme="minorHAnsi" w:cstheme="minorHAnsi"/>
                <w:spacing w:val="-2"/>
              </w:rPr>
              <w:t>“women”.</w:t>
            </w:r>
            <w:r>
              <w:rPr>
                <w:rFonts w:asciiTheme="minorHAnsi" w:hAnsiTheme="minorHAnsi" w:cstheme="minorHAnsi"/>
                <w:spacing w:val="-2"/>
              </w:rPr>
              <w:t xml:space="preserve"> </w:t>
            </w:r>
          </w:p>
        </w:tc>
        <w:tc>
          <w:tcPr>
            <w:tcW w:w="1984" w:type="dxa"/>
          </w:tcPr>
          <w:p w14:paraId="1ACCD87C"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treatment</w:t>
            </w:r>
            <w:r w:rsidRPr="00640161">
              <w:rPr>
                <w:rFonts w:asciiTheme="minorHAnsi" w:hAnsiTheme="minorHAnsi" w:cstheme="minorHAnsi"/>
                <w:spacing w:val="-12"/>
              </w:rPr>
              <w:t xml:space="preserve"> </w:t>
            </w:r>
            <w:r>
              <w:rPr>
                <w:rFonts w:asciiTheme="minorHAnsi" w:hAnsiTheme="minorHAnsi" w:cstheme="minorHAnsi"/>
              </w:rPr>
              <w:t>&amp;</w:t>
            </w:r>
            <w:r w:rsidRPr="00640161">
              <w:rPr>
                <w:rFonts w:asciiTheme="minorHAnsi" w:hAnsiTheme="minorHAnsi" w:cstheme="minorHAnsi"/>
              </w:rPr>
              <w:t xml:space="preserve"> </w:t>
            </w:r>
            <w:r w:rsidRPr="00640161">
              <w:rPr>
                <w:rFonts w:asciiTheme="minorHAnsi" w:hAnsiTheme="minorHAnsi" w:cstheme="minorHAnsi"/>
                <w:spacing w:val="-2"/>
              </w:rPr>
              <w:t>management</w:t>
            </w:r>
            <w:r>
              <w:rPr>
                <w:rFonts w:asciiTheme="minorHAnsi" w:hAnsiTheme="minorHAnsi" w:cstheme="minorHAnsi"/>
                <w:spacing w:val="-2"/>
              </w:rPr>
              <w:t>, including care of “women and people with uteruses”.</w:t>
            </w:r>
          </w:p>
        </w:tc>
        <w:tc>
          <w:tcPr>
            <w:tcW w:w="1843" w:type="dxa"/>
          </w:tcPr>
          <w:p w14:paraId="3F99BE46"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1 reference to impact of CKD on “psychosocial wellbeing”.</w:t>
            </w:r>
          </w:p>
        </w:tc>
        <w:tc>
          <w:tcPr>
            <w:tcW w:w="1276" w:type="dxa"/>
          </w:tcPr>
          <w:p w14:paraId="08256A3C"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625B844E" w14:textId="77777777" w:rsidTr="0067273F">
        <w:trPr>
          <w:cantSplit/>
        </w:trPr>
        <w:tc>
          <w:tcPr>
            <w:tcW w:w="1575" w:type="dxa"/>
          </w:tcPr>
          <w:p w14:paraId="46174822"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Kidney</w:t>
            </w:r>
            <w:r w:rsidRPr="00640161">
              <w:rPr>
                <w:rFonts w:asciiTheme="minorHAnsi" w:hAnsiTheme="minorHAnsi" w:cstheme="minorHAnsi"/>
                <w:b/>
                <w:spacing w:val="-13"/>
              </w:rPr>
              <w:t xml:space="preserve"> </w:t>
            </w:r>
            <w:r w:rsidRPr="00640161">
              <w:rPr>
                <w:rFonts w:asciiTheme="minorHAnsi" w:hAnsiTheme="minorHAnsi" w:cstheme="minorHAnsi"/>
                <w:b/>
              </w:rPr>
              <w:t xml:space="preserve">Health </w:t>
            </w:r>
            <w:r w:rsidRPr="00640161">
              <w:rPr>
                <w:rFonts w:asciiTheme="minorHAnsi" w:hAnsiTheme="minorHAnsi" w:cstheme="minorHAnsi"/>
                <w:b/>
                <w:spacing w:val="-2"/>
              </w:rPr>
              <w:t>Australia</w:t>
            </w:r>
          </w:p>
        </w:tc>
        <w:tc>
          <w:tcPr>
            <w:tcW w:w="3119" w:type="dxa"/>
          </w:tcPr>
          <w:p w14:paraId="06372908" w14:textId="77777777" w:rsidR="00094656" w:rsidRPr="00E928FB" w:rsidRDefault="00094656" w:rsidP="0067273F">
            <w:pPr>
              <w:pStyle w:val="TableParagraph"/>
              <w:ind w:right="97"/>
              <w:rPr>
                <w:rFonts w:asciiTheme="minorHAnsi" w:hAnsiTheme="minorHAnsi" w:cstheme="minorHAnsi"/>
              </w:rPr>
            </w:pPr>
            <w:r w:rsidRPr="00E928FB">
              <w:rPr>
                <w:rFonts w:asciiTheme="minorHAnsi" w:hAnsiTheme="minorHAnsi" w:cstheme="minorHAnsi"/>
                <w:shd w:val="clear" w:color="auto" w:fill="FFFFFF"/>
              </w:rPr>
              <w:t>KHA‐CARI guideline: diagnosis and treatment of urinary tract infection in children, 2015</w:t>
            </w:r>
          </w:p>
          <w:p w14:paraId="0D2DC1DF" w14:textId="77777777" w:rsidR="00094656" w:rsidRPr="00E928FB" w:rsidRDefault="00094656" w:rsidP="0067273F">
            <w:pPr>
              <w:pStyle w:val="TableParagraph"/>
              <w:ind w:right="97"/>
              <w:rPr>
                <w:rFonts w:asciiTheme="minorHAnsi" w:hAnsiTheme="minorHAnsi" w:cstheme="minorHAnsi"/>
                <w:spacing w:val="-2"/>
              </w:rPr>
            </w:pPr>
          </w:p>
          <w:p w14:paraId="2F7330B3" w14:textId="77777777" w:rsidR="00094656" w:rsidRPr="00E928FB" w:rsidRDefault="00094656" w:rsidP="0067273F">
            <w:pPr>
              <w:pStyle w:val="TableParagraph"/>
              <w:ind w:right="97"/>
              <w:rPr>
                <w:rFonts w:asciiTheme="minorHAnsi" w:hAnsiTheme="minorHAnsi" w:cstheme="minorHAnsi"/>
              </w:rPr>
            </w:pPr>
            <w:r w:rsidRPr="00E928FB">
              <w:rPr>
                <w:rFonts w:asciiTheme="minorHAnsi" w:hAnsiTheme="minorHAnsi" w:cstheme="minorHAnsi"/>
                <w:shd w:val="clear" w:color="auto" w:fill="FFFFFF"/>
              </w:rPr>
              <w:t xml:space="preserve">McTaggart et al. (2015). KHA‐CARI guideline: diagnosis and treatment of urinary tract infection in children. </w:t>
            </w:r>
            <w:r w:rsidRPr="00E928FB">
              <w:rPr>
                <w:rFonts w:asciiTheme="minorHAnsi" w:hAnsiTheme="minorHAnsi" w:cstheme="minorHAnsi"/>
                <w:i/>
                <w:iCs/>
                <w:shd w:val="clear" w:color="auto" w:fill="FFFFFF"/>
              </w:rPr>
              <w:t>Nephrology</w:t>
            </w:r>
            <w:r w:rsidRPr="00E928FB">
              <w:rPr>
                <w:rFonts w:asciiTheme="minorHAnsi" w:hAnsiTheme="minorHAnsi" w:cstheme="minorHAnsi"/>
                <w:shd w:val="clear" w:color="auto" w:fill="FFFFFF"/>
              </w:rPr>
              <w:t xml:space="preserve">, </w:t>
            </w:r>
            <w:r w:rsidRPr="00E928FB">
              <w:rPr>
                <w:rFonts w:asciiTheme="minorHAnsi" w:hAnsiTheme="minorHAnsi" w:cstheme="minorHAnsi"/>
                <w:i/>
                <w:iCs/>
                <w:shd w:val="clear" w:color="auto" w:fill="FFFFFF"/>
              </w:rPr>
              <w:t>20</w:t>
            </w:r>
            <w:r w:rsidRPr="00E928FB">
              <w:rPr>
                <w:rFonts w:asciiTheme="minorHAnsi" w:hAnsiTheme="minorHAnsi" w:cstheme="minorHAnsi"/>
                <w:shd w:val="clear" w:color="auto" w:fill="FFFFFF"/>
              </w:rPr>
              <w:t xml:space="preserve">(2), 55-60. </w:t>
            </w:r>
            <w:r w:rsidRPr="00E928FB">
              <w:rPr>
                <w:rFonts w:asciiTheme="minorHAnsi" w:hAnsiTheme="minorHAnsi" w:cstheme="minorHAnsi"/>
              </w:rPr>
              <w:t>DOI:10.1111/nep.12349</w:t>
            </w:r>
          </w:p>
        </w:tc>
        <w:tc>
          <w:tcPr>
            <w:tcW w:w="1417" w:type="dxa"/>
          </w:tcPr>
          <w:p w14:paraId="71200EB4" w14:textId="77777777" w:rsidR="00094656" w:rsidRPr="00343AC9" w:rsidRDefault="00094656" w:rsidP="0067273F">
            <w:pPr>
              <w:pStyle w:val="TableParagraph"/>
              <w:spacing w:before="0"/>
              <w:rPr>
                <w:rFonts w:asciiTheme="minorHAnsi" w:hAnsiTheme="minorHAnsi" w:cstheme="minorHAnsi"/>
              </w:rPr>
            </w:pPr>
            <w:r w:rsidRPr="00343AC9">
              <w:rPr>
                <w:rFonts w:asciiTheme="minorHAnsi" w:hAnsiTheme="minorHAnsi" w:cstheme="minorHAnsi"/>
                <w:shd w:val="clear" w:color="auto" w:fill="FFFFFF"/>
              </w:rPr>
              <w:t>ANZ Society of Nephrology, Kidney Health Australia</w:t>
            </w:r>
            <w:r>
              <w:rPr>
                <w:rFonts w:asciiTheme="minorHAnsi" w:hAnsiTheme="minorHAnsi" w:cstheme="minorHAnsi"/>
                <w:shd w:val="clear" w:color="auto" w:fill="FFFFFF"/>
              </w:rPr>
              <w:t>,</w:t>
            </w:r>
            <w:r w:rsidRPr="00343AC9">
              <w:rPr>
                <w:rFonts w:asciiTheme="minorHAnsi" w:hAnsiTheme="minorHAnsi" w:cstheme="minorHAnsi"/>
                <w:shd w:val="clear" w:color="auto" w:fill="FFFFFF"/>
              </w:rPr>
              <w:t xml:space="preserve"> Australian Living Evidence Consortium</w:t>
            </w:r>
          </w:p>
        </w:tc>
        <w:tc>
          <w:tcPr>
            <w:tcW w:w="1560" w:type="dxa"/>
          </w:tcPr>
          <w:p w14:paraId="75E0FAC3"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Nephrology</w:t>
            </w:r>
          </w:p>
        </w:tc>
        <w:tc>
          <w:tcPr>
            <w:tcW w:w="2126" w:type="dxa"/>
          </w:tcPr>
          <w:p w14:paraId="5300EFE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“female” not found in text search. “Girls” &amp; “male” once each, “boys” 3 times.</w:t>
            </w:r>
          </w:p>
        </w:tc>
        <w:tc>
          <w:tcPr>
            <w:tcW w:w="1984" w:type="dxa"/>
          </w:tcPr>
          <w:p w14:paraId="6600E58F"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 xml:space="preserve">Treatment appropriate to sex. </w:t>
            </w:r>
          </w:p>
        </w:tc>
        <w:tc>
          <w:tcPr>
            <w:tcW w:w="1843" w:type="dxa"/>
          </w:tcPr>
          <w:p w14:paraId="4B737AF6"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28410B4E" w14:textId="77777777" w:rsidR="00094656" w:rsidRPr="00640161" w:rsidRDefault="00094656" w:rsidP="0067273F">
            <w:pPr>
              <w:pStyle w:val="TableParagraph"/>
              <w:ind w:left="102" w:right="96"/>
              <w:rPr>
                <w:rFonts w:asciiTheme="minorHAnsi" w:hAnsiTheme="minorHAnsi" w:cstheme="minorHAnsi"/>
              </w:rPr>
            </w:pPr>
            <w:r>
              <w:rPr>
                <w:rFonts w:asciiTheme="minorHAnsi" w:hAnsiTheme="minorHAnsi" w:cstheme="minorHAnsi"/>
              </w:rPr>
              <w:t>GRADE (details in online version)</w:t>
            </w:r>
          </w:p>
        </w:tc>
      </w:tr>
      <w:tr w:rsidR="00094656" w:rsidRPr="00640161" w14:paraId="49D34042" w14:textId="77777777" w:rsidTr="0067273F">
        <w:trPr>
          <w:cantSplit/>
        </w:trPr>
        <w:tc>
          <w:tcPr>
            <w:tcW w:w="1575" w:type="dxa"/>
          </w:tcPr>
          <w:p w14:paraId="6BEF7D6C"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Living</w:t>
            </w:r>
            <w:r w:rsidRPr="00640161">
              <w:rPr>
                <w:rFonts w:asciiTheme="minorHAnsi" w:hAnsiTheme="minorHAnsi" w:cstheme="minorHAnsi"/>
                <w:b/>
                <w:spacing w:val="-13"/>
              </w:rPr>
              <w:t xml:space="preserve"> </w:t>
            </w:r>
            <w:r w:rsidRPr="00640161">
              <w:rPr>
                <w:rFonts w:asciiTheme="minorHAnsi" w:hAnsiTheme="minorHAnsi" w:cstheme="minorHAnsi"/>
                <w:b/>
              </w:rPr>
              <w:t>Evidence</w:t>
            </w:r>
            <w:r w:rsidRPr="00640161">
              <w:rPr>
                <w:rFonts w:asciiTheme="minorHAnsi" w:hAnsiTheme="minorHAnsi" w:cstheme="minorHAnsi"/>
                <w:b/>
                <w:spacing w:val="-12"/>
              </w:rPr>
              <w:t xml:space="preserve"> </w:t>
            </w:r>
            <w:r w:rsidRPr="00640161">
              <w:rPr>
                <w:rFonts w:asciiTheme="minorHAnsi" w:hAnsiTheme="minorHAnsi" w:cstheme="minorHAnsi"/>
                <w:b/>
              </w:rPr>
              <w:t xml:space="preserve">for </w:t>
            </w:r>
            <w:r w:rsidRPr="00640161">
              <w:rPr>
                <w:rFonts w:asciiTheme="minorHAnsi" w:hAnsiTheme="minorHAnsi" w:cstheme="minorHAnsi"/>
                <w:b/>
                <w:spacing w:val="-2"/>
              </w:rPr>
              <w:t xml:space="preserve">Australian </w:t>
            </w:r>
            <w:r w:rsidRPr="00640161">
              <w:rPr>
                <w:rFonts w:asciiTheme="minorHAnsi" w:hAnsiTheme="minorHAnsi" w:cstheme="minorHAnsi"/>
                <w:b/>
              </w:rPr>
              <w:t xml:space="preserve">Pregnancy and Postnatal Care </w:t>
            </w:r>
            <w:r w:rsidRPr="00640161">
              <w:rPr>
                <w:rFonts w:asciiTheme="minorHAnsi" w:hAnsiTheme="minorHAnsi" w:cstheme="minorHAnsi"/>
                <w:b/>
                <w:spacing w:val="-2"/>
              </w:rPr>
              <w:t>(LEAPP)</w:t>
            </w:r>
          </w:p>
          <w:p w14:paraId="5DAB9750" w14:textId="77777777" w:rsidR="00094656" w:rsidRPr="00640161" w:rsidRDefault="00094656" w:rsidP="0067273F">
            <w:pPr>
              <w:pStyle w:val="TableParagraph"/>
              <w:ind w:left="0" w:right="215"/>
              <w:rPr>
                <w:rFonts w:asciiTheme="minorHAnsi" w:hAnsiTheme="minorHAnsi" w:cstheme="minorHAnsi"/>
                <w:b/>
              </w:rPr>
            </w:pPr>
          </w:p>
        </w:tc>
        <w:tc>
          <w:tcPr>
            <w:tcW w:w="3119" w:type="dxa"/>
          </w:tcPr>
          <w:p w14:paraId="1AD8B44D" w14:textId="77777777" w:rsidR="00094656" w:rsidRPr="00640161" w:rsidRDefault="00094656" w:rsidP="0067273F">
            <w:pPr>
              <w:pStyle w:val="TableParagraph"/>
              <w:keepNext/>
              <w:keepLines/>
              <w:widowControl/>
              <w:ind w:right="97"/>
              <w:rPr>
                <w:rFonts w:asciiTheme="minorHAnsi" w:hAnsiTheme="minorHAnsi" w:cstheme="minorHAnsi"/>
              </w:rPr>
            </w:pPr>
            <w:r>
              <w:rPr>
                <w:rFonts w:asciiTheme="minorHAnsi" w:hAnsiTheme="minorHAnsi" w:cstheme="minorHAnsi"/>
              </w:rPr>
              <w:t xml:space="preserve">Australian Living Evidence Collaboration: </w:t>
            </w:r>
            <w:r w:rsidRPr="00234AEE">
              <w:rPr>
                <w:rFonts w:asciiTheme="minorHAnsi" w:hAnsiTheme="minorHAnsi" w:cstheme="minorHAnsi"/>
              </w:rPr>
              <w:t>Australian</w:t>
            </w:r>
            <w:r w:rsidRPr="00234AEE">
              <w:rPr>
                <w:rFonts w:asciiTheme="minorHAnsi" w:hAnsiTheme="minorHAnsi" w:cstheme="minorHAnsi"/>
                <w:spacing w:val="-12"/>
              </w:rPr>
              <w:t xml:space="preserve"> </w:t>
            </w:r>
            <w:r w:rsidRPr="00234AEE">
              <w:rPr>
                <w:rFonts w:asciiTheme="minorHAnsi" w:hAnsiTheme="minorHAnsi" w:cstheme="minorHAnsi"/>
              </w:rPr>
              <w:t>Pregnancy</w:t>
            </w:r>
            <w:r w:rsidRPr="00234AEE">
              <w:rPr>
                <w:rFonts w:asciiTheme="minorHAnsi" w:hAnsiTheme="minorHAnsi" w:cstheme="minorHAnsi"/>
                <w:spacing w:val="-12"/>
              </w:rPr>
              <w:t xml:space="preserve"> </w:t>
            </w:r>
            <w:r w:rsidRPr="00234AEE">
              <w:rPr>
                <w:rFonts w:asciiTheme="minorHAnsi" w:hAnsiTheme="minorHAnsi" w:cstheme="minorHAnsi"/>
              </w:rPr>
              <w:t>Care</w:t>
            </w:r>
            <w:r w:rsidRPr="00234AEE">
              <w:rPr>
                <w:rFonts w:asciiTheme="minorHAnsi" w:hAnsiTheme="minorHAnsi" w:cstheme="minorHAnsi"/>
                <w:spacing w:val="-12"/>
              </w:rPr>
              <w:t xml:space="preserve"> </w:t>
            </w:r>
            <w:r w:rsidRPr="00234AEE">
              <w:rPr>
                <w:rFonts w:asciiTheme="minorHAnsi" w:hAnsiTheme="minorHAnsi" w:cstheme="minorHAnsi"/>
              </w:rPr>
              <w:t xml:space="preserve">Guidelines, </w:t>
            </w:r>
            <w:r>
              <w:rPr>
                <w:rFonts w:asciiTheme="minorHAnsi" w:hAnsiTheme="minorHAnsi" w:cstheme="minorHAnsi"/>
              </w:rPr>
              <w:t xml:space="preserve">version 2, </w:t>
            </w:r>
            <w:r w:rsidRPr="00234AEE">
              <w:rPr>
                <w:rFonts w:asciiTheme="minorHAnsi" w:hAnsiTheme="minorHAnsi" w:cstheme="minorHAnsi"/>
                <w:spacing w:val="-4"/>
              </w:rPr>
              <w:t>2024</w:t>
            </w:r>
          </w:p>
          <w:p w14:paraId="0689B875" w14:textId="77777777" w:rsidR="00094656" w:rsidRPr="00640161" w:rsidRDefault="00094656" w:rsidP="0067273F">
            <w:pPr>
              <w:pStyle w:val="TableParagraph"/>
              <w:keepNext/>
              <w:keepLines/>
              <w:widowControl/>
              <w:ind w:left="108" w:right="96"/>
              <w:rPr>
                <w:rFonts w:asciiTheme="minorHAnsi" w:hAnsiTheme="minorHAnsi" w:cstheme="minorHAnsi"/>
                <w:b/>
              </w:rPr>
            </w:pPr>
          </w:p>
          <w:p w14:paraId="6C7602BE" w14:textId="77777777" w:rsidR="00094656" w:rsidRPr="004F1DF7" w:rsidRDefault="00094656" w:rsidP="0067273F">
            <w:pPr>
              <w:pStyle w:val="TableParagraph"/>
              <w:keepNext/>
              <w:keepLines/>
              <w:widowControl/>
              <w:ind w:left="108" w:right="96"/>
              <w:rPr>
                <w:rFonts w:asciiTheme="minorHAnsi" w:hAnsiTheme="minorHAnsi" w:cstheme="minorHAnsi"/>
              </w:rPr>
            </w:pPr>
            <w:r w:rsidRPr="004F1DF7">
              <w:rPr>
                <w:rFonts w:asciiTheme="minorHAnsi" w:hAnsiTheme="minorHAnsi" w:cstheme="minorHAnsi"/>
                <w:spacing w:val="-2"/>
              </w:rPr>
              <w:t>https://files.magicapp.org/guideline/3e90d236-01ee-474c-908c-f6f23237552c/published_guideline_8382-2_1.pdf</w:t>
            </w:r>
          </w:p>
        </w:tc>
        <w:tc>
          <w:tcPr>
            <w:tcW w:w="1417" w:type="dxa"/>
          </w:tcPr>
          <w:p w14:paraId="0654339B" w14:textId="77777777" w:rsidR="00094656" w:rsidRDefault="00094656" w:rsidP="0067273F">
            <w:pPr>
              <w:pStyle w:val="TableParagraph"/>
              <w:rPr>
                <w:rFonts w:asciiTheme="minorHAnsi" w:hAnsiTheme="minorHAnsi" w:cstheme="minorHAnsi"/>
              </w:rPr>
            </w:pPr>
            <w:r w:rsidRPr="00640161">
              <w:rPr>
                <w:rFonts w:asciiTheme="minorHAnsi" w:hAnsiTheme="minorHAnsi" w:cstheme="minorHAnsi"/>
              </w:rPr>
              <w:t>NHMRC</w:t>
            </w:r>
          </w:p>
          <w:p w14:paraId="674C6918" w14:textId="77777777" w:rsidR="00094656" w:rsidRDefault="00094656" w:rsidP="0067273F">
            <w:pPr>
              <w:pStyle w:val="TableParagraph"/>
              <w:rPr>
                <w:rFonts w:asciiTheme="minorHAnsi" w:hAnsiTheme="minorHAnsi" w:cstheme="minorHAnsi"/>
              </w:rPr>
            </w:pPr>
          </w:p>
          <w:p w14:paraId="7968A8DD"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Endorsement from 24 listed organisations.</w:t>
            </w:r>
          </w:p>
        </w:tc>
        <w:tc>
          <w:tcPr>
            <w:tcW w:w="1560" w:type="dxa"/>
          </w:tcPr>
          <w:p w14:paraId="3F231CB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Obstetrics</w:t>
            </w:r>
          </w:p>
        </w:tc>
        <w:tc>
          <w:tcPr>
            <w:tcW w:w="2126" w:type="dxa"/>
          </w:tcPr>
          <w:p w14:paraId="4112ABF8"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Pr>
                <w:rFonts w:asciiTheme="minorHAnsi" w:hAnsiTheme="minorHAnsi" w:cstheme="minorHAnsi"/>
                <w:spacing w:val="-10"/>
              </w:rPr>
              <w:t>,</w:t>
            </w:r>
            <w:r w:rsidRPr="00640161">
              <w:rPr>
                <w:rFonts w:asciiTheme="minorHAnsi" w:hAnsiTheme="minorHAnsi" w:cstheme="minorHAnsi"/>
                <w:spacing w:val="-10"/>
              </w:rPr>
              <w:t xml:space="preserve"> </w:t>
            </w:r>
            <w:r w:rsidRPr="00640161">
              <w:rPr>
                <w:rFonts w:asciiTheme="minorHAnsi" w:hAnsiTheme="minorHAnsi" w:cstheme="minorHAnsi"/>
              </w:rPr>
              <w:t>“gender”</w:t>
            </w:r>
            <w:r w:rsidRPr="00640161">
              <w:rPr>
                <w:rFonts w:asciiTheme="minorHAnsi" w:hAnsiTheme="minorHAnsi" w:cstheme="minorHAnsi"/>
                <w:spacing w:val="-10"/>
              </w:rPr>
              <w:t xml:space="preserve"> </w:t>
            </w:r>
            <w:r w:rsidRPr="00640161">
              <w:rPr>
                <w:rFonts w:asciiTheme="minorHAnsi" w:hAnsiTheme="minorHAnsi" w:cstheme="minorHAnsi"/>
              </w:rPr>
              <w:t>not</w:t>
            </w:r>
            <w:r w:rsidRPr="00640161">
              <w:rPr>
                <w:rFonts w:asciiTheme="minorHAnsi" w:hAnsiTheme="minorHAnsi" w:cstheme="minorHAnsi"/>
                <w:spacing w:val="-10"/>
              </w:rPr>
              <w:t xml:space="preserve"> </w:t>
            </w:r>
            <w:r w:rsidRPr="00640161">
              <w:rPr>
                <w:rFonts w:asciiTheme="minorHAnsi" w:hAnsiTheme="minorHAnsi" w:cstheme="minorHAnsi"/>
              </w:rPr>
              <w:t>defined; used correctly.</w:t>
            </w:r>
          </w:p>
        </w:tc>
        <w:tc>
          <w:tcPr>
            <w:tcW w:w="1984" w:type="dxa"/>
          </w:tcPr>
          <w:p w14:paraId="045C281B"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Preparing</w:t>
            </w:r>
            <w:r w:rsidRPr="00640161">
              <w:rPr>
                <w:rFonts w:asciiTheme="minorHAnsi" w:hAnsiTheme="minorHAnsi" w:cstheme="minorHAnsi"/>
                <w:spacing w:val="-13"/>
              </w:rPr>
              <w:t xml:space="preserve"> </w:t>
            </w:r>
            <w:r w:rsidRPr="00640161">
              <w:rPr>
                <w:rFonts w:asciiTheme="minorHAnsi" w:hAnsiTheme="minorHAnsi" w:cstheme="minorHAnsi"/>
              </w:rPr>
              <w:t>women</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their partners for childbirth.</w:t>
            </w:r>
          </w:p>
        </w:tc>
        <w:tc>
          <w:tcPr>
            <w:tcW w:w="1843" w:type="dxa"/>
          </w:tcPr>
          <w:p w14:paraId="5E7B539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Gender inequalities: women’s economic insecurity, primary caregiver, subject to violence.</w:t>
            </w:r>
            <w:r w:rsidRPr="00640161">
              <w:rPr>
                <w:rFonts w:asciiTheme="minorHAnsi" w:hAnsiTheme="minorHAnsi" w:cstheme="minorHAnsi"/>
                <w:spacing w:val="40"/>
              </w:rPr>
              <w:t xml:space="preserve"> </w:t>
            </w:r>
            <w:r w:rsidRPr="00640161">
              <w:rPr>
                <w:rFonts w:asciiTheme="minorHAnsi" w:hAnsiTheme="minorHAnsi" w:cstheme="minorHAnsi"/>
              </w:rPr>
              <w:t>Use preferred pronouns, appropriate gendered language.</w:t>
            </w:r>
            <w:r w:rsidRPr="00640161">
              <w:rPr>
                <w:rFonts w:asciiTheme="minorHAnsi" w:hAnsiTheme="minorHAnsi" w:cstheme="minorHAnsi"/>
                <w:spacing w:val="40"/>
              </w:rPr>
              <w:t xml:space="preserve"> </w:t>
            </w:r>
            <w:r w:rsidRPr="00640161">
              <w:rPr>
                <w:rFonts w:asciiTheme="minorHAnsi" w:hAnsiTheme="minorHAnsi" w:cstheme="minorHAnsi"/>
              </w:rPr>
              <w:t>Consider</w:t>
            </w:r>
            <w:r w:rsidRPr="00640161">
              <w:rPr>
                <w:rFonts w:asciiTheme="minorHAnsi" w:hAnsiTheme="minorHAnsi" w:cstheme="minorHAnsi"/>
                <w:spacing w:val="-10"/>
              </w:rPr>
              <w:t xml:space="preserve"> </w:t>
            </w:r>
            <w:r w:rsidRPr="00640161">
              <w:rPr>
                <w:rFonts w:asciiTheme="minorHAnsi" w:hAnsiTheme="minorHAnsi" w:cstheme="minorHAnsi"/>
              </w:rPr>
              <w:t>female</w:t>
            </w:r>
            <w:r w:rsidRPr="00640161">
              <w:rPr>
                <w:rFonts w:asciiTheme="minorHAnsi" w:hAnsiTheme="minorHAnsi" w:cstheme="minorHAnsi"/>
                <w:spacing w:val="-10"/>
              </w:rPr>
              <w:t xml:space="preserve"> </w:t>
            </w:r>
            <w:r w:rsidRPr="00640161">
              <w:rPr>
                <w:rFonts w:asciiTheme="minorHAnsi" w:hAnsiTheme="minorHAnsi" w:cstheme="minorHAnsi"/>
              </w:rPr>
              <w:t>health professional for CALD women to ensure cultural safety. Presence</w:t>
            </w:r>
            <w:r w:rsidRPr="00640161">
              <w:rPr>
                <w:rFonts w:asciiTheme="minorHAnsi" w:hAnsiTheme="minorHAnsi" w:cstheme="minorHAnsi"/>
                <w:spacing w:val="-2"/>
              </w:rPr>
              <w:t xml:space="preserve"> </w:t>
            </w:r>
            <w:r w:rsidRPr="00640161">
              <w:rPr>
                <w:rFonts w:asciiTheme="minorHAnsi" w:hAnsiTheme="minorHAnsi" w:cstheme="minorHAnsi"/>
              </w:rPr>
              <w:t>of</w:t>
            </w:r>
            <w:r w:rsidRPr="00640161">
              <w:rPr>
                <w:rFonts w:asciiTheme="minorHAnsi" w:hAnsiTheme="minorHAnsi" w:cstheme="minorHAnsi"/>
                <w:spacing w:val="-2"/>
              </w:rPr>
              <w:t xml:space="preserve"> </w:t>
            </w:r>
            <w:r w:rsidRPr="00640161">
              <w:rPr>
                <w:rFonts w:asciiTheme="minorHAnsi" w:hAnsiTheme="minorHAnsi" w:cstheme="minorHAnsi"/>
              </w:rPr>
              <w:t>woman’s</w:t>
            </w:r>
            <w:r w:rsidRPr="00640161">
              <w:rPr>
                <w:rFonts w:asciiTheme="minorHAnsi" w:hAnsiTheme="minorHAnsi" w:cstheme="minorHAnsi"/>
                <w:spacing w:val="-2"/>
              </w:rPr>
              <w:t xml:space="preserve"> </w:t>
            </w:r>
            <w:r w:rsidRPr="00640161">
              <w:rPr>
                <w:rFonts w:asciiTheme="minorHAnsi" w:hAnsiTheme="minorHAnsi" w:cstheme="minorHAnsi"/>
              </w:rPr>
              <w:t>partner</w:t>
            </w:r>
            <w:r w:rsidRPr="00640161">
              <w:rPr>
                <w:rFonts w:asciiTheme="minorHAnsi" w:hAnsiTheme="minorHAnsi" w:cstheme="minorHAnsi"/>
                <w:spacing w:val="-3"/>
              </w:rPr>
              <w:t xml:space="preserve"> </w:t>
            </w:r>
            <w:r w:rsidRPr="00640161">
              <w:rPr>
                <w:rFonts w:asciiTheme="minorHAnsi" w:hAnsiTheme="minorHAnsi" w:cstheme="minorHAnsi"/>
              </w:rPr>
              <w:t>can discourage</w:t>
            </w:r>
            <w:r w:rsidRPr="00640161">
              <w:rPr>
                <w:rFonts w:asciiTheme="minorHAnsi" w:hAnsiTheme="minorHAnsi" w:cstheme="minorHAnsi"/>
                <w:spacing w:val="-13"/>
              </w:rPr>
              <w:t xml:space="preserve"> </w:t>
            </w:r>
            <w:r w:rsidRPr="00640161">
              <w:rPr>
                <w:rFonts w:asciiTheme="minorHAnsi" w:hAnsiTheme="minorHAnsi" w:cstheme="minorHAnsi"/>
              </w:rPr>
              <w:t>disclosure</w:t>
            </w:r>
            <w:r w:rsidRPr="00640161">
              <w:rPr>
                <w:rFonts w:asciiTheme="minorHAnsi" w:hAnsiTheme="minorHAnsi" w:cstheme="minorHAnsi"/>
                <w:spacing w:val="-12"/>
              </w:rPr>
              <w:t xml:space="preserve"> </w:t>
            </w:r>
            <w:r w:rsidRPr="00640161">
              <w:rPr>
                <w:rFonts w:asciiTheme="minorHAnsi" w:hAnsiTheme="minorHAnsi" w:cstheme="minorHAnsi"/>
              </w:rPr>
              <w:t>of</w:t>
            </w:r>
            <w:r w:rsidRPr="00640161">
              <w:rPr>
                <w:rFonts w:asciiTheme="minorHAnsi" w:hAnsiTheme="minorHAnsi" w:cstheme="minorHAnsi"/>
                <w:spacing w:val="-13"/>
              </w:rPr>
              <w:t xml:space="preserve"> </w:t>
            </w:r>
            <w:r w:rsidRPr="00640161">
              <w:rPr>
                <w:rFonts w:asciiTheme="minorHAnsi" w:hAnsiTheme="minorHAnsi" w:cstheme="minorHAnsi"/>
              </w:rPr>
              <w:t xml:space="preserve">domestic </w:t>
            </w:r>
            <w:r w:rsidRPr="00640161">
              <w:rPr>
                <w:rFonts w:asciiTheme="minorHAnsi" w:hAnsiTheme="minorHAnsi" w:cstheme="minorHAnsi"/>
                <w:spacing w:val="-2"/>
              </w:rPr>
              <w:t>violence.</w:t>
            </w:r>
          </w:p>
        </w:tc>
        <w:tc>
          <w:tcPr>
            <w:tcW w:w="1276" w:type="dxa"/>
          </w:tcPr>
          <w:p w14:paraId="3C41F7FC"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GRADE</w:t>
            </w:r>
          </w:p>
        </w:tc>
      </w:tr>
      <w:tr w:rsidR="00094656" w:rsidRPr="00640161" w14:paraId="4C9BD221" w14:textId="77777777" w:rsidTr="0067273F">
        <w:trPr>
          <w:cantSplit/>
        </w:trPr>
        <w:tc>
          <w:tcPr>
            <w:tcW w:w="1575" w:type="dxa"/>
          </w:tcPr>
          <w:p w14:paraId="48550948"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Lung</w:t>
            </w:r>
            <w:r w:rsidRPr="00640161">
              <w:rPr>
                <w:rFonts w:asciiTheme="minorHAnsi" w:hAnsiTheme="minorHAnsi" w:cstheme="minorHAnsi"/>
                <w:b/>
                <w:spacing w:val="-13"/>
              </w:rPr>
              <w:t xml:space="preserve"> </w:t>
            </w:r>
            <w:r w:rsidRPr="00640161">
              <w:rPr>
                <w:rFonts w:asciiTheme="minorHAnsi" w:hAnsiTheme="minorHAnsi" w:cstheme="minorHAnsi"/>
                <w:b/>
              </w:rPr>
              <w:t xml:space="preserve">Foundation </w:t>
            </w:r>
            <w:r w:rsidRPr="00640161">
              <w:rPr>
                <w:rFonts w:asciiTheme="minorHAnsi" w:hAnsiTheme="minorHAnsi" w:cstheme="minorHAnsi"/>
                <w:b/>
                <w:spacing w:val="-2"/>
              </w:rPr>
              <w:t>Australia</w:t>
            </w:r>
          </w:p>
        </w:tc>
        <w:tc>
          <w:tcPr>
            <w:tcW w:w="3119" w:type="dxa"/>
          </w:tcPr>
          <w:p w14:paraId="0151D8D1" w14:textId="77777777" w:rsidR="00094656" w:rsidRDefault="00094656" w:rsidP="00806C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 w:after="0" w:line="240" w:lineRule="auto"/>
              <w:ind w:left="108" w:right="96"/>
              <w:rPr>
                <w:rFonts w:eastAsiaTheme="minorHAnsi" w:cstheme="minorHAnsi"/>
                <w:color w:val="000000"/>
                <w:lang w:val="en-GB"/>
              </w:rPr>
            </w:pPr>
            <w:r w:rsidRPr="00035F61">
              <w:rPr>
                <w:rFonts w:eastAsiaTheme="minorHAnsi" w:cstheme="minorHAnsi"/>
                <w:color w:val="000000"/>
                <w:lang w:val="en-GB"/>
              </w:rPr>
              <w:t>The COPD-X Plan:</w:t>
            </w:r>
            <w:r>
              <w:rPr>
                <w:rFonts w:eastAsiaTheme="minorHAnsi" w:cstheme="minorHAnsi"/>
                <w:color w:val="000000"/>
                <w:lang w:val="en-GB"/>
              </w:rPr>
              <w:t xml:space="preserve"> </w:t>
            </w:r>
            <w:r w:rsidRPr="00035F61">
              <w:rPr>
                <w:rFonts w:eastAsiaTheme="minorHAnsi" w:cstheme="minorHAnsi"/>
                <w:color w:val="000000"/>
                <w:lang w:val="en-GB"/>
              </w:rPr>
              <w:t>Australian and New Zealand Guidelines</w:t>
            </w:r>
            <w:r>
              <w:rPr>
                <w:rFonts w:eastAsiaTheme="minorHAnsi" w:cstheme="minorHAnsi"/>
                <w:color w:val="000000"/>
                <w:lang w:val="en-GB"/>
              </w:rPr>
              <w:t xml:space="preserve"> </w:t>
            </w:r>
            <w:r w:rsidRPr="00035F61">
              <w:rPr>
                <w:rFonts w:eastAsiaTheme="minorHAnsi" w:cstheme="minorHAnsi"/>
                <w:color w:val="000000"/>
                <w:lang w:val="en-GB"/>
              </w:rPr>
              <w:t>for the management of</w:t>
            </w:r>
            <w:r>
              <w:rPr>
                <w:rFonts w:eastAsiaTheme="minorHAnsi" w:cstheme="minorHAnsi"/>
                <w:color w:val="000000"/>
                <w:lang w:val="en-GB"/>
              </w:rPr>
              <w:t xml:space="preserve"> </w:t>
            </w:r>
            <w:r w:rsidRPr="00035F61">
              <w:rPr>
                <w:rFonts w:eastAsiaTheme="minorHAnsi" w:cstheme="minorHAnsi"/>
                <w:color w:val="000000"/>
                <w:lang w:val="en-GB"/>
              </w:rPr>
              <w:t>Chronic Obstructive Pulmonary Disease</w:t>
            </w:r>
            <w:r>
              <w:rPr>
                <w:rFonts w:eastAsiaTheme="minorHAnsi" w:cstheme="minorHAnsi"/>
                <w:color w:val="000000"/>
                <w:lang w:val="en-GB"/>
              </w:rPr>
              <w:t xml:space="preserve">, </w:t>
            </w:r>
            <w:r w:rsidRPr="00035F61">
              <w:rPr>
                <w:rFonts w:eastAsiaTheme="minorHAnsi" w:cstheme="minorHAnsi"/>
                <w:color w:val="000000"/>
                <w:lang w:val="en-GB"/>
              </w:rPr>
              <w:t>2023</w:t>
            </w:r>
          </w:p>
          <w:p w14:paraId="3BF76C3E" w14:textId="77777777" w:rsidR="00094656" w:rsidRPr="00557EF9" w:rsidRDefault="00094656" w:rsidP="00806C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 w:after="0" w:line="240" w:lineRule="auto"/>
              <w:ind w:left="108" w:right="96"/>
              <w:rPr>
                <w:rFonts w:cstheme="minorHAnsi"/>
                <w:b/>
              </w:rPr>
            </w:pPr>
          </w:p>
          <w:p w14:paraId="1E0067B6" w14:textId="77777777" w:rsidR="00094656" w:rsidRPr="00640161" w:rsidRDefault="00094656" w:rsidP="00806C15">
            <w:pPr>
              <w:pStyle w:val="TableParagraph"/>
              <w:ind w:left="108" w:right="96"/>
              <w:rPr>
                <w:rFonts w:asciiTheme="minorHAnsi" w:hAnsiTheme="minorHAnsi" w:cstheme="minorHAnsi"/>
                <w:spacing w:val="-2"/>
              </w:rPr>
            </w:pPr>
            <w:hyperlink r:id="rId34" w:history="1">
              <w:r w:rsidRPr="00557EF9">
                <w:rPr>
                  <w:rStyle w:val="Hyperlink"/>
                  <w:rFonts w:asciiTheme="minorHAnsi" w:hAnsiTheme="minorHAnsi" w:cstheme="minorHAnsi"/>
                  <w:shd w:val="clear" w:color="auto" w:fill="FFFFFF"/>
                </w:rPr>
                <w:t>https://copdx.org.au/</w:t>
              </w:r>
            </w:hyperlink>
          </w:p>
        </w:tc>
        <w:tc>
          <w:tcPr>
            <w:tcW w:w="1417" w:type="dxa"/>
          </w:tcPr>
          <w:p w14:paraId="10976040"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Endorsed by RACGP</w:t>
            </w:r>
          </w:p>
        </w:tc>
        <w:tc>
          <w:tcPr>
            <w:tcW w:w="1560" w:type="dxa"/>
          </w:tcPr>
          <w:p w14:paraId="1A54346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General practice</w:t>
            </w:r>
          </w:p>
        </w:tc>
        <w:tc>
          <w:tcPr>
            <w:tcW w:w="2126" w:type="dxa"/>
          </w:tcPr>
          <w:p w14:paraId="2B6AC290"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&amp; “sex” used for “sex”.</w:t>
            </w:r>
          </w:p>
        </w:tc>
        <w:tc>
          <w:tcPr>
            <w:tcW w:w="1984" w:type="dxa"/>
          </w:tcPr>
          <w:p w14:paraId="39B6C6CF"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S</w:t>
            </w:r>
            <w:r w:rsidRPr="00640161">
              <w:rPr>
                <w:rFonts w:asciiTheme="minorHAnsi" w:hAnsiTheme="minorHAnsi" w:cstheme="minorHAnsi"/>
              </w:rPr>
              <w:t>ex-related</w:t>
            </w:r>
            <w:r w:rsidRPr="00640161">
              <w:rPr>
                <w:rFonts w:asciiTheme="minorHAnsi" w:hAnsiTheme="minorHAnsi" w:cstheme="minorHAnsi"/>
                <w:spacing w:val="-12"/>
              </w:rPr>
              <w:t xml:space="preserve"> </w:t>
            </w:r>
            <w:r>
              <w:rPr>
                <w:rFonts w:asciiTheme="minorHAnsi" w:hAnsiTheme="minorHAnsi" w:cstheme="minorHAnsi"/>
              </w:rPr>
              <w:t>risk factors, comorbidities, treatment effects</w:t>
            </w:r>
            <w:r w:rsidRPr="00640161">
              <w:rPr>
                <w:rFonts w:asciiTheme="minorHAnsi" w:hAnsiTheme="minorHAnsi" w:cstheme="minorHAnsi"/>
                <w:spacing w:val="-2"/>
              </w:rPr>
              <w:t>.</w:t>
            </w:r>
          </w:p>
        </w:tc>
        <w:tc>
          <w:tcPr>
            <w:tcW w:w="1843" w:type="dxa"/>
          </w:tcPr>
          <w:p w14:paraId="33F5CB64"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Psychosocial</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r>
              <w:rPr>
                <w:rFonts w:asciiTheme="minorHAnsi" w:hAnsiTheme="minorHAnsi" w:cstheme="minorHAnsi"/>
                <w:spacing w:val="-2"/>
              </w:rPr>
              <w:t xml:space="preserve"> (not linked to gender)</w:t>
            </w:r>
            <w:r w:rsidRPr="00640161">
              <w:rPr>
                <w:rFonts w:asciiTheme="minorHAnsi" w:hAnsiTheme="minorHAnsi" w:cstheme="minorHAnsi"/>
                <w:spacing w:val="-2"/>
              </w:rPr>
              <w:t>.</w:t>
            </w:r>
          </w:p>
        </w:tc>
        <w:tc>
          <w:tcPr>
            <w:tcW w:w="1276" w:type="dxa"/>
          </w:tcPr>
          <w:p w14:paraId="77888D26"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2E862379" w14:textId="77777777" w:rsidTr="0067273F">
        <w:tc>
          <w:tcPr>
            <w:tcW w:w="1575" w:type="dxa"/>
          </w:tcPr>
          <w:p w14:paraId="10D9286A"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Migrant and Refugee Women’s Health</w:t>
            </w:r>
            <w:r w:rsidRPr="00640161">
              <w:rPr>
                <w:rFonts w:asciiTheme="minorHAnsi" w:hAnsiTheme="minorHAnsi" w:cstheme="minorHAnsi"/>
                <w:b/>
                <w:spacing w:val="-13"/>
              </w:rPr>
              <w:t xml:space="preserve"> </w:t>
            </w:r>
            <w:r w:rsidRPr="00640161">
              <w:rPr>
                <w:rFonts w:asciiTheme="minorHAnsi" w:hAnsiTheme="minorHAnsi" w:cstheme="minorHAnsi"/>
                <w:b/>
              </w:rPr>
              <w:t>Partnership</w:t>
            </w:r>
          </w:p>
        </w:tc>
        <w:tc>
          <w:tcPr>
            <w:tcW w:w="3119" w:type="dxa"/>
          </w:tcPr>
          <w:p w14:paraId="75F0179D" w14:textId="77777777" w:rsidR="00094656" w:rsidRPr="00640161" w:rsidRDefault="00094656" w:rsidP="0067273F">
            <w:pPr>
              <w:pStyle w:val="TableParagraph"/>
              <w:keepNext/>
              <w:keepLines/>
              <w:widowControl/>
              <w:ind w:left="108" w:right="96"/>
              <w:rPr>
                <w:rFonts w:asciiTheme="minorHAnsi" w:hAnsiTheme="minorHAnsi" w:cstheme="minorHAnsi"/>
              </w:rPr>
            </w:pPr>
            <w:r w:rsidRPr="00640161">
              <w:rPr>
                <w:rFonts w:asciiTheme="minorHAnsi" w:hAnsiTheme="minorHAnsi" w:cstheme="minorHAnsi"/>
              </w:rPr>
              <w:t>Guide for Clinicians Working with Interpreters</w:t>
            </w:r>
            <w:r w:rsidRPr="00640161">
              <w:rPr>
                <w:rFonts w:asciiTheme="minorHAnsi" w:hAnsiTheme="minorHAnsi" w:cstheme="minorHAnsi"/>
                <w:spacing w:val="-13"/>
              </w:rPr>
              <w:t xml:space="preserve"> </w:t>
            </w:r>
            <w:r w:rsidRPr="00640161">
              <w:rPr>
                <w:rFonts w:asciiTheme="minorHAnsi" w:hAnsiTheme="minorHAnsi" w:cstheme="minorHAnsi"/>
              </w:rPr>
              <w:t>in</w:t>
            </w:r>
            <w:r w:rsidRPr="00640161">
              <w:rPr>
                <w:rFonts w:asciiTheme="minorHAnsi" w:hAnsiTheme="minorHAnsi" w:cstheme="minorHAnsi"/>
                <w:spacing w:val="-12"/>
              </w:rPr>
              <w:t xml:space="preserve"> </w:t>
            </w:r>
            <w:r w:rsidRPr="00640161">
              <w:rPr>
                <w:rFonts w:asciiTheme="minorHAnsi" w:hAnsiTheme="minorHAnsi" w:cstheme="minorHAnsi"/>
              </w:rPr>
              <w:t>Healthcare</w:t>
            </w:r>
            <w:r w:rsidRPr="00640161">
              <w:rPr>
                <w:rFonts w:asciiTheme="minorHAnsi" w:hAnsiTheme="minorHAnsi" w:cstheme="minorHAnsi"/>
                <w:spacing w:val="-13"/>
              </w:rPr>
              <w:t xml:space="preserve"> </w:t>
            </w:r>
            <w:r w:rsidRPr="00640161">
              <w:rPr>
                <w:rFonts w:asciiTheme="minorHAnsi" w:hAnsiTheme="minorHAnsi" w:cstheme="minorHAnsi"/>
              </w:rPr>
              <w:t xml:space="preserve">Settings, </w:t>
            </w:r>
            <w:r w:rsidRPr="00640161">
              <w:rPr>
                <w:rFonts w:asciiTheme="minorHAnsi" w:hAnsiTheme="minorHAnsi" w:cstheme="minorHAnsi"/>
                <w:spacing w:val="-2"/>
              </w:rPr>
              <w:t>2019.</w:t>
            </w:r>
          </w:p>
          <w:p w14:paraId="16C6C937" w14:textId="77777777" w:rsidR="00094656" w:rsidRPr="00640161" w:rsidRDefault="00094656" w:rsidP="00806C15">
            <w:pPr>
              <w:pStyle w:val="TableParagraph"/>
              <w:keepNext/>
              <w:keepLines/>
              <w:widowControl/>
              <w:spacing w:before="10"/>
              <w:ind w:left="108" w:right="96"/>
              <w:rPr>
                <w:rFonts w:asciiTheme="minorHAnsi" w:hAnsiTheme="minorHAnsi" w:cstheme="minorHAnsi"/>
                <w:b/>
              </w:rPr>
            </w:pPr>
          </w:p>
          <w:p w14:paraId="6321FB1A" w14:textId="77777777" w:rsidR="00094656" w:rsidRPr="00640161" w:rsidRDefault="00094656" w:rsidP="0067273F">
            <w:pPr>
              <w:pStyle w:val="TableParagraph"/>
              <w:keepNext/>
              <w:keepLines/>
              <w:widowControl/>
              <w:ind w:left="108" w:right="96"/>
              <w:rPr>
                <w:rFonts w:asciiTheme="minorHAnsi" w:hAnsiTheme="minorHAnsi" w:cstheme="minorHAnsi"/>
              </w:rPr>
            </w:pPr>
            <w:r w:rsidRPr="00077AB4">
              <w:rPr>
                <w:rFonts w:asciiTheme="minorHAnsi" w:hAnsiTheme="minorHAnsi" w:cstheme="minorHAnsi"/>
                <w:spacing w:val="-2"/>
              </w:rPr>
              <w:t>https://culturaldiversityhealth.org.au/wp-content/uploads/2019/10/Guide-for-clinicians-working-with-interpreters-in-healthcare-settings-Jan2019.pdf</w:t>
            </w:r>
          </w:p>
        </w:tc>
        <w:tc>
          <w:tcPr>
            <w:tcW w:w="1417" w:type="dxa"/>
          </w:tcPr>
          <w:p w14:paraId="29AAF02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Accepted</w:t>
            </w:r>
            <w:r w:rsidRPr="00640161">
              <w:rPr>
                <w:rFonts w:asciiTheme="minorHAnsi" w:hAnsiTheme="minorHAnsi" w:cstheme="minorHAnsi"/>
                <w:spacing w:val="-6"/>
              </w:rPr>
              <w:t xml:space="preserve"> </w:t>
            </w:r>
            <w:r w:rsidRPr="00640161">
              <w:rPr>
                <w:rFonts w:asciiTheme="minorHAnsi" w:hAnsiTheme="minorHAnsi" w:cstheme="minorHAnsi"/>
              </w:rPr>
              <w:t>by</w:t>
            </w:r>
            <w:r w:rsidRPr="00640161">
              <w:rPr>
                <w:rFonts w:asciiTheme="minorHAnsi" w:hAnsiTheme="minorHAnsi" w:cstheme="minorHAnsi"/>
                <w:spacing w:val="-5"/>
              </w:rPr>
              <w:t xml:space="preserve"> </w:t>
            </w:r>
            <w:r w:rsidRPr="00640161">
              <w:rPr>
                <w:rFonts w:asciiTheme="minorHAnsi" w:hAnsiTheme="minorHAnsi" w:cstheme="minorHAnsi"/>
                <w:spacing w:val="-2"/>
              </w:rPr>
              <w:t>RACGP</w:t>
            </w:r>
          </w:p>
          <w:p w14:paraId="1DCC14F6" w14:textId="77777777" w:rsidR="00094656" w:rsidRPr="00640161" w:rsidRDefault="00094656" w:rsidP="0067273F">
            <w:pPr>
              <w:pStyle w:val="TableParagraph"/>
              <w:rPr>
                <w:rFonts w:asciiTheme="minorHAnsi" w:hAnsiTheme="minorHAnsi" w:cstheme="minorHAnsi"/>
              </w:rPr>
            </w:pPr>
          </w:p>
        </w:tc>
        <w:tc>
          <w:tcPr>
            <w:tcW w:w="1560" w:type="dxa"/>
          </w:tcPr>
          <w:p w14:paraId="394CE07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General practice</w:t>
            </w:r>
          </w:p>
        </w:tc>
        <w:tc>
          <w:tcPr>
            <w:tcW w:w="2126" w:type="dxa"/>
          </w:tcPr>
          <w:p w14:paraId="554BC018"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Pr>
                <w:rFonts w:asciiTheme="minorHAnsi" w:hAnsiTheme="minorHAnsi" w:cstheme="minorHAnsi"/>
                <w:spacing w:val="-10"/>
              </w:rPr>
              <w:t xml:space="preserve"> not found in text search. </w:t>
            </w:r>
            <w:r w:rsidRPr="00640161">
              <w:rPr>
                <w:rFonts w:asciiTheme="minorHAnsi" w:hAnsiTheme="minorHAnsi" w:cstheme="minorHAnsi"/>
              </w:rPr>
              <w:t>“</w:t>
            </w:r>
            <w:r>
              <w:rPr>
                <w:rFonts w:asciiTheme="minorHAnsi" w:hAnsiTheme="minorHAnsi" w:cstheme="minorHAnsi"/>
              </w:rPr>
              <w:t>G</w:t>
            </w:r>
            <w:r w:rsidRPr="00640161">
              <w:rPr>
                <w:rFonts w:asciiTheme="minorHAnsi" w:hAnsiTheme="minorHAnsi" w:cstheme="minorHAnsi"/>
              </w:rPr>
              <w:t>ender”</w:t>
            </w:r>
            <w:r w:rsidRPr="00640161">
              <w:rPr>
                <w:rFonts w:asciiTheme="minorHAnsi" w:hAnsiTheme="minorHAnsi" w:cstheme="minorHAnsi"/>
                <w:spacing w:val="-10"/>
              </w:rPr>
              <w:t xml:space="preserve"> </w:t>
            </w:r>
            <w:r w:rsidRPr="00640161">
              <w:rPr>
                <w:rFonts w:asciiTheme="minorHAnsi" w:hAnsiTheme="minorHAnsi" w:cstheme="minorHAnsi"/>
              </w:rPr>
              <w:t>not</w:t>
            </w:r>
            <w:r w:rsidRPr="00640161">
              <w:rPr>
                <w:rFonts w:asciiTheme="minorHAnsi" w:hAnsiTheme="minorHAnsi" w:cstheme="minorHAnsi"/>
                <w:spacing w:val="-10"/>
              </w:rPr>
              <w:t xml:space="preserve"> </w:t>
            </w:r>
            <w:r w:rsidRPr="00640161">
              <w:rPr>
                <w:rFonts w:asciiTheme="minorHAnsi" w:hAnsiTheme="minorHAnsi" w:cstheme="minorHAnsi"/>
              </w:rPr>
              <w:t>defined</w:t>
            </w:r>
            <w:r>
              <w:rPr>
                <w:rFonts w:asciiTheme="minorHAnsi" w:hAnsiTheme="minorHAnsi" w:cstheme="minorHAnsi"/>
              </w:rPr>
              <w:t xml:space="preserve">, </w:t>
            </w:r>
            <w:r w:rsidRPr="00640161">
              <w:rPr>
                <w:rFonts w:asciiTheme="minorHAnsi" w:hAnsiTheme="minorHAnsi" w:cstheme="minorHAnsi"/>
              </w:rPr>
              <w:t xml:space="preserve">used </w:t>
            </w:r>
            <w:r>
              <w:rPr>
                <w:rFonts w:asciiTheme="minorHAnsi" w:hAnsiTheme="minorHAnsi" w:cstheme="minorHAnsi"/>
              </w:rPr>
              <w:t>for “sex”</w:t>
            </w:r>
            <w:r w:rsidRPr="00640161">
              <w:rPr>
                <w:rFonts w:asciiTheme="minorHAnsi" w:hAnsiTheme="minorHAnsi" w:cstheme="minorHAnsi"/>
              </w:rPr>
              <w:t>.</w:t>
            </w:r>
          </w:p>
        </w:tc>
        <w:tc>
          <w:tcPr>
            <w:tcW w:w="1984" w:type="dxa"/>
          </w:tcPr>
          <w:p w14:paraId="56153F85" w14:textId="77777777" w:rsidR="00094656" w:rsidRPr="00640161" w:rsidRDefault="00094656" w:rsidP="0067273F">
            <w:pPr>
              <w:pStyle w:val="TableParagraph"/>
              <w:ind w:right="160"/>
              <w:rPr>
                <w:rFonts w:asciiTheme="minorHAnsi" w:hAnsiTheme="minorHAnsi" w:cstheme="minorHAnsi"/>
              </w:rPr>
            </w:pPr>
            <w:r>
              <w:rPr>
                <w:rFonts w:asciiTheme="minorHAnsi" w:hAnsiTheme="minorHAnsi" w:cstheme="minorHAnsi"/>
              </w:rPr>
              <w:t>“Gender-concordance” (=sex) for interpreter, health carer.</w:t>
            </w:r>
          </w:p>
        </w:tc>
        <w:tc>
          <w:tcPr>
            <w:tcW w:w="1843" w:type="dxa"/>
          </w:tcPr>
          <w:p w14:paraId="0832B340"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 xml:space="preserve">Implicit, not explicit, gender awareness. Consider risks of known person/partner as interpreter. </w:t>
            </w:r>
          </w:p>
        </w:tc>
        <w:tc>
          <w:tcPr>
            <w:tcW w:w="1276" w:type="dxa"/>
          </w:tcPr>
          <w:p w14:paraId="1C13613D"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Limited details of method; “evidence-based”</w:t>
            </w:r>
          </w:p>
        </w:tc>
      </w:tr>
      <w:tr w:rsidR="00094656" w:rsidRPr="00640161" w14:paraId="2DB15B46" w14:textId="77777777" w:rsidTr="0067273F">
        <w:trPr>
          <w:cantSplit/>
        </w:trPr>
        <w:tc>
          <w:tcPr>
            <w:tcW w:w="1575" w:type="dxa"/>
          </w:tcPr>
          <w:p w14:paraId="6B0BA947"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 xml:space="preserve">Monash University </w:t>
            </w:r>
            <w:r w:rsidRPr="00640161">
              <w:rPr>
                <w:rFonts w:asciiTheme="minorHAnsi" w:hAnsiTheme="minorHAnsi" w:cstheme="minorHAnsi"/>
                <w:b/>
                <w:spacing w:val="-2"/>
              </w:rPr>
              <w:t xml:space="preserve">Guideline </w:t>
            </w:r>
            <w:r w:rsidRPr="00640161">
              <w:rPr>
                <w:rFonts w:asciiTheme="minorHAnsi" w:hAnsiTheme="minorHAnsi" w:cstheme="minorHAnsi"/>
                <w:b/>
              </w:rPr>
              <w:t>Development</w:t>
            </w:r>
            <w:r w:rsidRPr="00640161">
              <w:rPr>
                <w:rFonts w:asciiTheme="minorHAnsi" w:hAnsiTheme="minorHAnsi" w:cstheme="minorHAnsi"/>
                <w:b/>
                <w:spacing w:val="-13"/>
              </w:rPr>
              <w:t xml:space="preserve"> </w:t>
            </w:r>
            <w:r w:rsidRPr="00640161">
              <w:rPr>
                <w:rFonts w:asciiTheme="minorHAnsi" w:hAnsiTheme="minorHAnsi" w:cstheme="minorHAnsi"/>
                <w:b/>
              </w:rPr>
              <w:t>Group</w:t>
            </w:r>
          </w:p>
        </w:tc>
        <w:tc>
          <w:tcPr>
            <w:tcW w:w="3119" w:type="dxa"/>
          </w:tcPr>
          <w:p w14:paraId="3969FE35" w14:textId="77777777" w:rsidR="00094656" w:rsidRPr="00640161" w:rsidRDefault="00094656" w:rsidP="0067273F">
            <w:pPr>
              <w:pStyle w:val="TableParagraph"/>
              <w:ind w:right="97"/>
              <w:rPr>
                <w:rFonts w:asciiTheme="minorHAnsi" w:hAnsiTheme="minorHAnsi" w:cstheme="minorHAnsi"/>
              </w:rPr>
            </w:pPr>
            <w:r w:rsidRPr="00262BE5">
              <w:rPr>
                <w:rFonts w:asciiTheme="minorHAnsi" w:hAnsiTheme="minorHAnsi" w:cstheme="minorHAnsi"/>
              </w:rPr>
              <w:t>Clinical</w:t>
            </w:r>
            <w:r w:rsidRPr="00262BE5">
              <w:rPr>
                <w:rFonts w:asciiTheme="minorHAnsi" w:hAnsiTheme="minorHAnsi" w:cstheme="minorHAnsi"/>
                <w:spacing w:val="-8"/>
              </w:rPr>
              <w:t xml:space="preserve"> </w:t>
            </w:r>
            <w:r w:rsidRPr="00262BE5">
              <w:rPr>
                <w:rFonts w:asciiTheme="minorHAnsi" w:hAnsiTheme="minorHAnsi" w:cstheme="minorHAnsi"/>
              </w:rPr>
              <w:t>guideline</w:t>
            </w:r>
            <w:r w:rsidRPr="00262BE5">
              <w:rPr>
                <w:rFonts w:asciiTheme="minorHAnsi" w:hAnsiTheme="minorHAnsi" w:cstheme="minorHAnsi"/>
                <w:spacing w:val="-8"/>
              </w:rPr>
              <w:t xml:space="preserve"> </w:t>
            </w:r>
            <w:r w:rsidRPr="00262BE5">
              <w:rPr>
                <w:rFonts w:asciiTheme="minorHAnsi" w:hAnsiTheme="minorHAnsi" w:cstheme="minorHAnsi"/>
              </w:rPr>
              <w:t>for</w:t>
            </w:r>
            <w:r w:rsidRPr="00262BE5">
              <w:rPr>
                <w:rFonts w:asciiTheme="minorHAnsi" w:hAnsiTheme="minorHAnsi" w:cstheme="minorHAnsi"/>
                <w:spacing w:val="-8"/>
              </w:rPr>
              <w:t xml:space="preserve"> </w:t>
            </w:r>
            <w:r w:rsidRPr="00262BE5">
              <w:rPr>
                <w:rFonts w:asciiTheme="minorHAnsi" w:hAnsiTheme="minorHAnsi" w:cstheme="minorHAnsi"/>
              </w:rPr>
              <w:t>the</w:t>
            </w:r>
            <w:r w:rsidRPr="00262BE5">
              <w:rPr>
                <w:rFonts w:asciiTheme="minorHAnsi" w:hAnsiTheme="minorHAnsi" w:cstheme="minorHAnsi"/>
                <w:spacing w:val="-8"/>
              </w:rPr>
              <w:t xml:space="preserve"> </w:t>
            </w:r>
            <w:r w:rsidRPr="00262BE5">
              <w:rPr>
                <w:rFonts w:asciiTheme="minorHAnsi" w:hAnsiTheme="minorHAnsi" w:cstheme="minorHAnsi"/>
              </w:rPr>
              <w:t>diagnosis</w:t>
            </w:r>
            <w:r w:rsidRPr="00262BE5">
              <w:rPr>
                <w:rFonts w:asciiTheme="minorHAnsi" w:hAnsiTheme="minorHAnsi" w:cstheme="minorHAnsi"/>
                <w:spacing w:val="-8"/>
              </w:rPr>
              <w:t xml:space="preserve"> </w:t>
            </w:r>
            <w:r w:rsidRPr="00262BE5">
              <w:rPr>
                <w:rFonts w:asciiTheme="minorHAnsi" w:hAnsiTheme="minorHAnsi" w:cstheme="minorHAnsi"/>
              </w:rPr>
              <w:t xml:space="preserve">and management of work-related mental health conditions in general practice, </w:t>
            </w:r>
            <w:r w:rsidRPr="00262BE5">
              <w:rPr>
                <w:rFonts w:asciiTheme="minorHAnsi" w:hAnsiTheme="minorHAnsi" w:cstheme="minorHAnsi"/>
                <w:spacing w:val="-4"/>
              </w:rPr>
              <w:t>2019</w:t>
            </w:r>
          </w:p>
          <w:p w14:paraId="324A0302" w14:textId="77777777" w:rsidR="00094656" w:rsidRPr="00640161" w:rsidRDefault="00094656" w:rsidP="0067273F">
            <w:pPr>
              <w:pStyle w:val="TableParagraph"/>
              <w:ind w:left="0"/>
              <w:rPr>
                <w:rFonts w:asciiTheme="minorHAnsi" w:hAnsiTheme="minorHAnsi" w:cstheme="minorHAnsi"/>
                <w:b/>
              </w:rPr>
            </w:pPr>
          </w:p>
          <w:p w14:paraId="5C622FB4" w14:textId="77777777" w:rsidR="00094656" w:rsidRDefault="00094656" w:rsidP="0067273F">
            <w:pPr>
              <w:pStyle w:val="TableParagraph"/>
              <w:spacing w:before="4"/>
              <w:ind w:left="142"/>
            </w:pPr>
            <w:hyperlink r:id="rId35" w:history="1">
              <w:r w:rsidRPr="007B3C36">
                <w:rPr>
                  <w:rStyle w:val="Hyperlink"/>
                </w:rPr>
                <w:t>https://www.racgp.org.au/FSDEDEV/media/documents/Clinical%20Resources/Guidelines/Mental%20health/Work-related-mental-health-conditions-in-general-practice.pdf</w:t>
              </w:r>
            </w:hyperlink>
          </w:p>
          <w:p w14:paraId="3DCCED46" w14:textId="77777777" w:rsidR="00094656" w:rsidRPr="00640161" w:rsidRDefault="00094656" w:rsidP="0067273F">
            <w:pPr>
              <w:pStyle w:val="TableParagraph"/>
              <w:spacing w:before="4"/>
              <w:ind w:left="142"/>
              <w:rPr>
                <w:rFonts w:asciiTheme="minorHAnsi" w:hAnsiTheme="minorHAnsi" w:cstheme="minorHAnsi"/>
              </w:rPr>
            </w:pPr>
          </w:p>
          <w:p w14:paraId="79B76AF2" w14:textId="77777777" w:rsidR="00094656" w:rsidRPr="00640161" w:rsidRDefault="00094656" w:rsidP="0067273F">
            <w:pPr>
              <w:pStyle w:val="TableParagraph"/>
              <w:ind w:right="199"/>
              <w:rPr>
                <w:rFonts w:asciiTheme="minorHAnsi" w:hAnsiTheme="minorHAnsi" w:cstheme="minorHAnsi"/>
                <w:spacing w:val="-2"/>
              </w:rPr>
            </w:pPr>
            <w:r w:rsidRPr="00640161">
              <w:rPr>
                <w:rFonts w:asciiTheme="minorHAnsi" w:hAnsiTheme="minorHAnsi" w:cstheme="minorHAnsi"/>
              </w:rPr>
              <w:t>Mazza</w:t>
            </w:r>
            <w:r w:rsidRPr="00640161">
              <w:rPr>
                <w:rFonts w:asciiTheme="minorHAnsi" w:hAnsiTheme="minorHAnsi" w:cstheme="minorHAnsi"/>
                <w:spacing w:val="-7"/>
              </w:rPr>
              <w:t xml:space="preserve"> </w:t>
            </w:r>
            <w:r w:rsidRPr="00640161">
              <w:rPr>
                <w:rFonts w:asciiTheme="minorHAnsi" w:hAnsiTheme="minorHAnsi" w:cstheme="minorHAnsi"/>
              </w:rPr>
              <w:t>et</w:t>
            </w:r>
            <w:r w:rsidRPr="00640161">
              <w:rPr>
                <w:rFonts w:asciiTheme="minorHAnsi" w:hAnsiTheme="minorHAnsi" w:cstheme="minorHAnsi"/>
                <w:spacing w:val="-7"/>
              </w:rPr>
              <w:t xml:space="preserve"> </w:t>
            </w:r>
            <w:r w:rsidRPr="00640161">
              <w:rPr>
                <w:rFonts w:asciiTheme="minorHAnsi" w:hAnsiTheme="minorHAnsi" w:cstheme="minorHAnsi"/>
              </w:rPr>
              <w:t>al.</w:t>
            </w:r>
            <w:r w:rsidRPr="00640161">
              <w:rPr>
                <w:rFonts w:asciiTheme="minorHAnsi" w:hAnsiTheme="minorHAnsi" w:cstheme="minorHAnsi"/>
                <w:spacing w:val="-7"/>
              </w:rPr>
              <w:t xml:space="preserve"> </w:t>
            </w:r>
            <w:r w:rsidRPr="00640161">
              <w:rPr>
                <w:rFonts w:asciiTheme="minorHAnsi" w:hAnsiTheme="minorHAnsi" w:cstheme="minorHAnsi"/>
              </w:rPr>
              <w:t>(2019).</w:t>
            </w:r>
            <w:r w:rsidRPr="00640161">
              <w:rPr>
                <w:rFonts w:asciiTheme="minorHAnsi" w:hAnsiTheme="minorHAnsi" w:cstheme="minorHAnsi"/>
                <w:spacing w:val="-7"/>
              </w:rPr>
              <w:t xml:space="preserve"> </w:t>
            </w:r>
            <w:r w:rsidRPr="00262BE5">
              <w:rPr>
                <w:rFonts w:asciiTheme="minorHAnsi" w:hAnsiTheme="minorHAnsi" w:cstheme="minorHAnsi"/>
                <w:i/>
                <w:iCs/>
              </w:rPr>
              <w:t>Clinical</w:t>
            </w:r>
            <w:r w:rsidRPr="00262BE5">
              <w:rPr>
                <w:rFonts w:asciiTheme="minorHAnsi" w:hAnsiTheme="minorHAnsi" w:cstheme="minorHAnsi"/>
                <w:i/>
                <w:iCs/>
                <w:spacing w:val="-7"/>
              </w:rPr>
              <w:t xml:space="preserve"> </w:t>
            </w:r>
            <w:r w:rsidRPr="00262BE5">
              <w:rPr>
                <w:rFonts w:asciiTheme="minorHAnsi" w:hAnsiTheme="minorHAnsi" w:cstheme="minorHAnsi"/>
                <w:i/>
                <w:iCs/>
              </w:rPr>
              <w:t>guideline for the diagnosis and management of work-related mental health conditions in</w:t>
            </w:r>
            <w:r w:rsidRPr="00262BE5">
              <w:rPr>
                <w:rFonts w:asciiTheme="minorHAnsi" w:hAnsiTheme="minorHAnsi" w:cstheme="minorHAnsi"/>
                <w:i/>
                <w:iCs/>
                <w:spacing w:val="-7"/>
              </w:rPr>
              <w:t xml:space="preserve"> </w:t>
            </w:r>
            <w:r w:rsidRPr="00262BE5">
              <w:rPr>
                <w:rFonts w:asciiTheme="minorHAnsi" w:hAnsiTheme="minorHAnsi" w:cstheme="minorHAnsi"/>
                <w:i/>
                <w:iCs/>
              </w:rPr>
              <w:t>general</w:t>
            </w:r>
            <w:r w:rsidRPr="00262BE5">
              <w:rPr>
                <w:rFonts w:asciiTheme="minorHAnsi" w:hAnsiTheme="minorHAnsi" w:cstheme="minorHAnsi"/>
                <w:i/>
                <w:iCs/>
                <w:spacing w:val="-7"/>
              </w:rPr>
              <w:t xml:space="preserve"> </w:t>
            </w:r>
            <w:r w:rsidRPr="00262BE5">
              <w:rPr>
                <w:rFonts w:asciiTheme="minorHAnsi" w:hAnsiTheme="minorHAnsi" w:cstheme="minorHAnsi"/>
                <w:i/>
                <w:iCs/>
              </w:rPr>
              <w:t>practice.</w:t>
            </w:r>
            <w:r w:rsidRPr="00640161">
              <w:rPr>
                <w:rFonts w:asciiTheme="minorHAnsi" w:hAnsiTheme="minorHAnsi" w:cstheme="minorHAnsi"/>
                <w:spacing w:val="-7"/>
              </w:rPr>
              <w:t xml:space="preserve"> </w:t>
            </w:r>
            <w:r w:rsidRPr="00640161">
              <w:rPr>
                <w:rFonts w:asciiTheme="minorHAnsi" w:hAnsiTheme="minorHAnsi" w:cstheme="minorHAnsi"/>
              </w:rPr>
              <w:t>Melbourne:</w:t>
            </w:r>
            <w:r w:rsidRPr="00640161">
              <w:rPr>
                <w:rFonts w:asciiTheme="minorHAnsi" w:hAnsiTheme="minorHAnsi" w:cstheme="minorHAnsi"/>
                <w:spacing w:val="-7"/>
              </w:rPr>
              <w:t xml:space="preserve"> </w:t>
            </w:r>
            <w:r w:rsidRPr="00640161">
              <w:rPr>
                <w:rFonts w:asciiTheme="minorHAnsi" w:hAnsiTheme="minorHAnsi" w:cstheme="minorHAnsi"/>
              </w:rPr>
              <w:t xml:space="preserve">Monash </w:t>
            </w:r>
            <w:r w:rsidRPr="00640161">
              <w:rPr>
                <w:rFonts w:asciiTheme="minorHAnsi" w:hAnsiTheme="minorHAnsi" w:cstheme="minorHAnsi"/>
                <w:spacing w:val="-2"/>
              </w:rPr>
              <w:t>University.</w:t>
            </w:r>
          </w:p>
        </w:tc>
        <w:tc>
          <w:tcPr>
            <w:tcW w:w="1417" w:type="dxa"/>
          </w:tcPr>
          <w:p w14:paraId="0C8EC1ED"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Approved by NHMRC</w:t>
            </w:r>
          </w:p>
          <w:p w14:paraId="5BB245E3" w14:textId="77777777" w:rsidR="00094656" w:rsidRDefault="00094656" w:rsidP="0067273F">
            <w:pPr>
              <w:pStyle w:val="TableParagraph"/>
              <w:spacing w:before="0"/>
              <w:rPr>
                <w:rFonts w:asciiTheme="minorHAnsi" w:hAnsiTheme="minorHAnsi" w:cstheme="minorHAnsi"/>
              </w:rPr>
            </w:pPr>
          </w:p>
          <w:p w14:paraId="612FF66C"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Endorsed</w:t>
            </w:r>
            <w:r w:rsidRPr="00640161">
              <w:rPr>
                <w:rFonts w:asciiTheme="minorHAnsi" w:hAnsiTheme="minorHAnsi" w:cstheme="minorHAnsi"/>
                <w:spacing w:val="-6"/>
              </w:rPr>
              <w:t xml:space="preserve"> </w:t>
            </w:r>
            <w:r w:rsidRPr="00640161">
              <w:rPr>
                <w:rFonts w:asciiTheme="minorHAnsi" w:hAnsiTheme="minorHAnsi" w:cstheme="minorHAnsi"/>
              </w:rPr>
              <w:t>by</w:t>
            </w:r>
            <w:r w:rsidRPr="00640161">
              <w:rPr>
                <w:rFonts w:asciiTheme="minorHAnsi" w:hAnsiTheme="minorHAnsi" w:cstheme="minorHAnsi"/>
                <w:spacing w:val="-5"/>
              </w:rPr>
              <w:t xml:space="preserve"> </w:t>
            </w:r>
            <w:r w:rsidRPr="00640161">
              <w:rPr>
                <w:rFonts w:asciiTheme="minorHAnsi" w:hAnsiTheme="minorHAnsi" w:cstheme="minorHAnsi"/>
                <w:spacing w:val="-2"/>
              </w:rPr>
              <w:t>RACGP</w:t>
            </w:r>
          </w:p>
          <w:p w14:paraId="080D68BA" w14:textId="77777777" w:rsidR="00094656" w:rsidRPr="00640161" w:rsidRDefault="00094656" w:rsidP="0067273F">
            <w:pPr>
              <w:pStyle w:val="TableParagraph"/>
              <w:rPr>
                <w:rFonts w:asciiTheme="minorHAnsi" w:hAnsiTheme="minorHAnsi" w:cstheme="minorHAnsi"/>
              </w:rPr>
            </w:pPr>
          </w:p>
        </w:tc>
        <w:tc>
          <w:tcPr>
            <w:tcW w:w="1560" w:type="dxa"/>
          </w:tcPr>
          <w:p w14:paraId="057752BC"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4DAD9B6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Use</w:t>
            </w:r>
            <w:r w:rsidRPr="00640161">
              <w:rPr>
                <w:rFonts w:asciiTheme="minorHAnsi" w:hAnsiTheme="minorHAnsi" w:cstheme="minorHAnsi"/>
                <w:spacing w:val="-10"/>
              </w:rPr>
              <w:t xml:space="preserve"> </w:t>
            </w:r>
            <w:r w:rsidRPr="00640161">
              <w:rPr>
                <w:rFonts w:asciiTheme="minorHAnsi" w:hAnsiTheme="minorHAnsi" w:cstheme="minorHAnsi"/>
              </w:rPr>
              <w:t>“gender,”</w:t>
            </w:r>
            <w:r w:rsidRPr="00640161">
              <w:rPr>
                <w:rFonts w:asciiTheme="minorHAnsi" w:hAnsiTheme="minorHAnsi" w:cstheme="minorHAnsi"/>
                <w:spacing w:val="-10"/>
              </w:rPr>
              <w:t xml:space="preserve"> </w:t>
            </w:r>
            <w:r w:rsidRPr="00640161">
              <w:rPr>
                <w:rFonts w:asciiTheme="minorHAnsi" w:hAnsiTheme="minorHAnsi" w:cstheme="minorHAnsi"/>
              </w:rPr>
              <w:t xml:space="preserve">not </w:t>
            </w:r>
            <w:r w:rsidRPr="00640161">
              <w:rPr>
                <w:rFonts w:asciiTheme="minorHAnsi" w:hAnsiTheme="minorHAnsi" w:cstheme="minorHAnsi"/>
                <w:spacing w:val="-2"/>
              </w:rPr>
              <w:t>defined.</w:t>
            </w:r>
            <w:r>
              <w:rPr>
                <w:rFonts w:asciiTheme="minorHAnsi" w:hAnsiTheme="minorHAnsi" w:cstheme="minorHAnsi"/>
                <w:spacing w:val="-2"/>
              </w:rPr>
              <w:t xml:space="preserve"> “Sex” not found in text search. Use “women”, “men”</w:t>
            </w:r>
          </w:p>
        </w:tc>
        <w:tc>
          <w:tcPr>
            <w:tcW w:w="1984" w:type="dxa"/>
          </w:tcPr>
          <w:p w14:paraId="182EFB6F"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w:t>
            </w:r>
            <w:r w:rsidRPr="00640161">
              <w:rPr>
                <w:rFonts w:asciiTheme="minorHAnsi" w:hAnsiTheme="minorHAnsi" w:cstheme="minorHAnsi"/>
              </w:rPr>
              <w:t>related</w:t>
            </w:r>
            <w:r w:rsidRPr="00640161">
              <w:rPr>
                <w:rFonts w:asciiTheme="minorHAnsi" w:hAnsiTheme="minorHAnsi" w:cstheme="minorHAnsi"/>
                <w:spacing w:val="-12"/>
              </w:rPr>
              <w:t xml:space="preserve"> </w:t>
            </w:r>
            <w:r w:rsidRPr="00640161">
              <w:rPr>
                <w:rFonts w:asciiTheme="minorHAnsi" w:hAnsiTheme="minorHAnsi" w:cstheme="minorHAnsi"/>
              </w:rPr>
              <w:t>prevalence</w:t>
            </w:r>
            <w:r w:rsidRPr="00640161">
              <w:rPr>
                <w:rFonts w:asciiTheme="minorHAnsi" w:hAnsiTheme="minorHAnsi" w:cstheme="minorHAnsi"/>
                <w:spacing w:val="-13"/>
              </w:rPr>
              <w:t xml:space="preserve"> </w:t>
            </w:r>
            <w:r w:rsidRPr="00640161">
              <w:rPr>
                <w:rFonts w:asciiTheme="minorHAnsi" w:hAnsiTheme="minorHAnsi" w:cstheme="minorHAnsi"/>
              </w:rPr>
              <w:t>&amp; diagnostic</w:t>
            </w:r>
            <w:r w:rsidRPr="00640161">
              <w:rPr>
                <w:rFonts w:asciiTheme="minorHAnsi" w:hAnsiTheme="minorHAnsi" w:cstheme="minorHAnsi"/>
                <w:spacing w:val="-11"/>
              </w:rPr>
              <w:t xml:space="preserve"> </w:t>
            </w:r>
            <w:r w:rsidRPr="00640161">
              <w:rPr>
                <w:rFonts w:asciiTheme="minorHAnsi" w:hAnsiTheme="minorHAnsi" w:cstheme="minorHAnsi"/>
              </w:rPr>
              <w:t>management. Sex-related job strain. Sex-attributable depression.</w:t>
            </w:r>
            <w:r>
              <w:rPr>
                <w:rFonts w:asciiTheme="minorHAnsi" w:hAnsiTheme="minorHAnsi" w:cstheme="minorHAnsi"/>
              </w:rPr>
              <w:t xml:space="preserve"> </w:t>
            </w:r>
            <w:r w:rsidRPr="00640161">
              <w:rPr>
                <w:rFonts w:asciiTheme="minorHAnsi" w:hAnsiTheme="minorHAnsi" w:cstheme="minorHAnsi"/>
              </w:rPr>
              <w:t>Sex-related</w:t>
            </w:r>
            <w:r w:rsidRPr="00640161">
              <w:rPr>
                <w:rFonts w:asciiTheme="minorHAnsi" w:hAnsiTheme="minorHAnsi" w:cstheme="minorHAnsi"/>
                <w:spacing w:val="-9"/>
              </w:rPr>
              <w:t xml:space="preserve"> </w:t>
            </w:r>
            <w:r w:rsidRPr="00640161">
              <w:rPr>
                <w:rFonts w:asciiTheme="minorHAnsi" w:hAnsiTheme="minorHAnsi" w:cstheme="minorHAnsi"/>
              </w:rPr>
              <w:t>harmful</w:t>
            </w:r>
            <w:r w:rsidRPr="00640161">
              <w:rPr>
                <w:rFonts w:asciiTheme="minorHAnsi" w:hAnsiTheme="minorHAnsi" w:cstheme="minorHAnsi"/>
                <w:spacing w:val="-9"/>
              </w:rPr>
              <w:t xml:space="preserve"> </w:t>
            </w:r>
            <w:r w:rsidRPr="00640161">
              <w:rPr>
                <w:rFonts w:asciiTheme="minorHAnsi" w:hAnsiTheme="minorHAnsi" w:cstheme="minorHAnsi"/>
                <w:spacing w:val="-2"/>
              </w:rPr>
              <w:t>drinking.</w:t>
            </w:r>
          </w:p>
        </w:tc>
        <w:tc>
          <w:tcPr>
            <w:tcW w:w="1843" w:type="dxa"/>
          </w:tcPr>
          <w:p w14:paraId="5D709C53"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Gender &amp; culture considered. Incorporates</w:t>
            </w:r>
            <w:r w:rsidRPr="00640161">
              <w:rPr>
                <w:rFonts w:asciiTheme="minorHAnsi" w:hAnsiTheme="minorHAnsi" w:cstheme="minorHAnsi"/>
                <w:spacing w:val="-13"/>
              </w:rPr>
              <w:t xml:space="preserve"> </w:t>
            </w:r>
            <w:r w:rsidRPr="00640161">
              <w:rPr>
                <w:rFonts w:asciiTheme="minorHAnsi" w:hAnsiTheme="minorHAnsi" w:cstheme="minorHAnsi"/>
              </w:rPr>
              <w:t>Aboriginal</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3"/>
              </w:rPr>
              <w:t xml:space="preserve"> </w:t>
            </w:r>
            <w:r w:rsidRPr="00640161">
              <w:rPr>
                <w:rFonts w:asciiTheme="minorHAnsi" w:hAnsiTheme="minorHAnsi" w:cstheme="minorHAnsi"/>
              </w:rPr>
              <w:t>Torres Strait Islander communities; culturally &amp; linguistically diverse populations; LGBTQI+ people.</w:t>
            </w:r>
          </w:p>
        </w:tc>
        <w:tc>
          <w:tcPr>
            <w:tcW w:w="1276" w:type="dxa"/>
          </w:tcPr>
          <w:p w14:paraId="442A1589"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GRADE</w:t>
            </w:r>
          </w:p>
          <w:p w14:paraId="1D890C80"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 others</w:t>
            </w:r>
          </w:p>
        </w:tc>
      </w:tr>
      <w:tr w:rsidR="00094656" w:rsidRPr="00640161" w14:paraId="723B357C" w14:textId="77777777" w:rsidTr="0067273F">
        <w:tc>
          <w:tcPr>
            <w:tcW w:w="1575" w:type="dxa"/>
          </w:tcPr>
          <w:p w14:paraId="08075EEE" w14:textId="77777777" w:rsidR="00094656" w:rsidRPr="00640161" w:rsidRDefault="00094656" w:rsidP="0067273F">
            <w:pPr>
              <w:pStyle w:val="TableParagraph"/>
              <w:ind w:left="110" w:right="221"/>
              <w:rPr>
                <w:rFonts w:asciiTheme="minorHAnsi" w:hAnsiTheme="minorHAnsi" w:cstheme="minorHAnsi"/>
                <w:b/>
              </w:rPr>
            </w:pPr>
            <w:r w:rsidRPr="00640161">
              <w:rPr>
                <w:rFonts w:asciiTheme="minorHAnsi" w:hAnsiTheme="minorHAnsi" w:cstheme="minorHAnsi"/>
                <w:b/>
              </w:rPr>
              <w:lastRenderedPageBreak/>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Aboriginal </w:t>
            </w:r>
            <w:r w:rsidRPr="00640161">
              <w:rPr>
                <w:rFonts w:asciiTheme="minorHAnsi" w:hAnsiTheme="minorHAnsi" w:cstheme="minorHAnsi"/>
                <w:b/>
                <w:spacing w:val="-2"/>
              </w:rPr>
              <w:t xml:space="preserve">Community </w:t>
            </w:r>
            <w:r w:rsidRPr="00640161">
              <w:rPr>
                <w:rFonts w:asciiTheme="minorHAnsi" w:hAnsiTheme="minorHAnsi" w:cstheme="minorHAnsi"/>
                <w:b/>
              </w:rPr>
              <w:t xml:space="preserve">Controlled Health </w:t>
            </w:r>
            <w:r w:rsidRPr="00640161">
              <w:rPr>
                <w:rFonts w:asciiTheme="minorHAnsi" w:hAnsiTheme="minorHAnsi" w:cstheme="minorHAnsi"/>
                <w:b/>
                <w:spacing w:val="-2"/>
              </w:rPr>
              <w:t>Organisation,</w:t>
            </w:r>
          </w:p>
          <w:p w14:paraId="1DD1836A"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Royal</w:t>
            </w:r>
            <w:r w:rsidRPr="00640161">
              <w:rPr>
                <w:rFonts w:asciiTheme="minorHAnsi" w:hAnsiTheme="minorHAnsi" w:cstheme="minorHAnsi"/>
                <w:b/>
                <w:spacing w:val="-12"/>
              </w:rPr>
              <w:t xml:space="preserve"> </w:t>
            </w:r>
            <w:r w:rsidRPr="00640161">
              <w:rPr>
                <w:rFonts w:asciiTheme="minorHAnsi" w:hAnsiTheme="minorHAnsi" w:cstheme="minorHAnsi"/>
                <w:b/>
              </w:rPr>
              <w:t xml:space="preserve">Australian College of General </w:t>
            </w:r>
            <w:r w:rsidRPr="00640161">
              <w:rPr>
                <w:rFonts w:asciiTheme="minorHAnsi" w:hAnsiTheme="minorHAnsi" w:cstheme="minorHAnsi"/>
                <w:b/>
                <w:spacing w:val="-2"/>
              </w:rPr>
              <w:t>Practitioners</w:t>
            </w:r>
          </w:p>
        </w:tc>
        <w:tc>
          <w:tcPr>
            <w:tcW w:w="3119" w:type="dxa"/>
          </w:tcPr>
          <w:p w14:paraId="09AB40C5" w14:textId="77777777" w:rsidR="00094656" w:rsidRPr="00640161" w:rsidRDefault="00094656" w:rsidP="0067273F">
            <w:pPr>
              <w:pStyle w:val="TableParagraph"/>
              <w:keepNext/>
              <w:keepLines/>
              <w:widowControl/>
              <w:ind w:right="97"/>
              <w:rPr>
                <w:rFonts w:asciiTheme="minorHAnsi" w:hAnsiTheme="minorHAnsi" w:cstheme="minorHAnsi"/>
              </w:rPr>
            </w:pPr>
            <w:r w:rsidRPr="000A7575">
              <w:rPr>
                <w:rFonts w:asciiTheme="minorHAnsi" w:hAnsiTheme="minorHAnsi" w:cstheme="minorHAnsi"/>
              </w:rPr>
              <w:t>National guide to a preventive health assessment for Aboriginal and Torres Strait</w:t>
            </w:r>
            <w:r w:rsidRPr="000A7575">
              <w:rPr>
                <w:rFonts w:asciiTheme="minorHAnsi" w:hAnsiTheme="minorHAnsi" w:cstheme="minorHAnsi"/>
                <w:spacing w:val="-8"/>
              </w:rPr>
              <w:t xml:space="preserve"> </w:t>
            </w:r>
            <w:r w:rsidRPr="000A7575">
              <w:rPr>
                <w:rFonts w:asciiTheme="minorHAnsi" w:hAnsiTheme="minorHAnsi" w:cstheme="minorHAnsi"/>
              </w:rPr>
              <w:t>Islander</w:t>
            </w:r>
            <w:r w:rsidRPr="000A7575">
              <w:rPr>
                <w:rFonts w:asciiTheme="minorHAnsi" w:hAnsiTheme="minorHAnsi" w:cstheme="minorHAnsi"/>
                <w:spacing w:val="-7"/>
              </w:rPr>
              <w:t xml:space="preserve"> </w:t>
            </w:r>
            <w:r w:rsidRPr="000A7575">
              <w:rPr>
                <w:rFonts w:asciiTheme="minorHAnsi" w:hAnsiTheme="minorHAnsi" w:cstheme="minorHAnsi"/>
              </w:rPr>
              <w:t>people,</w:t>
            </w:r>
            <w:r w:rsidRPr="000A7575">
              <w:rPr>
                <w:rFonts w:asciiTheme="minorHAnsi" w:hAnsiTheme="minorHAnsi" w:cstheme="minorHAnsi"/>
                <w:spacing w:val="-7"/>
              </w:rPr>
              <w:t xml:space="preserve"> </w:t>
            </w:r>
            <w:r w:rsidRPr="000A7575">
              <w:rPr>
                <w:rFonts w:asciiTheme="minorHAnsi" w:hAnsiTheme="minorHAnsi" w:cstheme="minorHAnsi"/>
              </w:rPr>
              <w:t>3</w:t>
            </w:r>
            <w:r w:rsidRPr="000A7575">
              <w:rPr>
                <w:rFonts w:asciiTheme="minorHAnsi" w:hAnsiTheme="minorHAnsi" w:cstheme="minorHAnsi"/>
                <w:vertAlign w:val="superscript"/>
              </w:rPr>
              <w:t>rd</w:t>
            </w:r>
            <w:r w:rsidRPr="000A7575">
              <w:rPr>
                <w:rFonts w:asciiTheme="minorHAnsi" w:hAnsiTheme="minorHAnsi" w:cstheme="minorHAnsi"/>
                <w:spacing w:val="-7"/>
              </w:rPr>
              <w:t xml:space="preserve"> </w:t>
            </w:r>
            <w:r w:rsidRPr="000A7575">
              <w:rPr>
                <w:rFonts w:asciiTheme="minorHAnsi" w:hAnsiTheme="minorHAnsi" w:cstheme="minorHAnsi"/>
              </w:rPr>
              <w:t>edition,</w:t>
            </w:r>
            <w:r w:rsidRPr="000A7575">
              <w:rPr>
                <w:rFonts w:asciiTheme="minorHAnsi" w:hAnsiTheme="minorHAnsi" w:cstheme="minorHAnsi"/>
                <w:spacing w:val="-8"/>
              </w:rPr>
              <w:t xml:space="preserve"> </w:t>
            </w:r>
            <w:r w:rsidRPr="000A7575">
              <w:rPr>
                <w:rFonts w:asciiTheme="minorHAnsi" w:hAnsiTheme="minorHAnsi" w:cstheme="minorHAnsi"/>
              </w:rPr>
              <w:t>2018</w:t>
            </w:r>
          </w:p>
          <w:p w14:paraId="09E06F15" w14:textId="77777777" w:rsidR="00094656" w:rsidRPr="00640161" w:rsidRDefault="00094656" w:rsidP="0067273F">
            <w:pPr>
              <w:pStyle w:val="TableParagraph"/>
              <w:keepNext/>
              <w:keepLines/>
              <w:widowControl/>
              <w:ind w:left="0"/>
              <w:rPr>
                <w:rFonts w:asciiTheme="minorHAnsi" w:hAnsiTheme="minorHAnsi" w:cstheme="minorHAnsi"/>
                <w:b/>
              </w:rPr>
            </w:pPr>
          </w:p>
          <w:p w14:paraId="02121DDF" w14:textId="77777777" w:rsidR="00094656" w:rsidRPr="00640161" w:rsidRDefault="00094656" w:rsidP="0067273F">
            <w:pPr>
              <w:pStyle w:val="TableParagraph"/>
              <w:ind w:right="97"/>
              <w:rPr>
                <w:rFonts w:asciiTheme="minorHAnsi" w:hAnsiTheme="minorHAnsi" w:cstheme="minorHAnsi"/>
                <w:highlight w:val="yellow"/>
              </w:rPr>
            </w:pPr>
            <w:r w:rsidRPr="000A7575">
              <w:t>https://www.racgp.org.au/FSDEDEV/media/documents/Clinical%20Resources/Resources/National-guide-3rd-ed-Sept-2018-web.pdf</w:t>
            </w:r>
          </w:p>
        </w:tc>
        <w:tc>
          <w:tcPr>
            <w:tcW w:w="1417" w:type="dxa"/>
          </w:tcPr>
          <w:p w14:paraId="0C10B20E" w14:textId="77777777" w:rsidR="00094656" w:rsidRPr="009B1B6B" w:rsidRDefault="00094656" w:rsidP="0067273F">
            <w:pPr>
              <w:pStyle w:val="NormalWeb"/>
              <w:spacing w:before="1" w:beforeAutospacing="0" w:after="0" w:afterAutospacing="0"/>
              <w:ind w:left="108" w:right="96"/>
              <w:rPr>
                <w:rFonts w:asciiTheme="minorHAnsi" w:hAnsiTheme="minorHAnsi" w:cstheme="minorHAnsi"/>
                <w:sz w:val="22"/>
                <w:szCs w:val="22"/>
              </w:rPr>
            </w:pPr>
            <w:r w:rsidRPr="00CC6B2B">
              <w:rPr>
                <w:rFonts w:asciiTheme="minorHAnsi" w:hAnsiTheme="minorHAnsi" w:cstheme="minorHAnsi"/>
                <w:sz w:val="22"/>
                <w:szCs w:val="22"/>
              </w:rPr>
              <w:t>Endorsed by NACCHO, RACGP</w:t>
            </w:r>
            <w:r>
              <w:rPr>
                <w:rFonts w:asciiTheme="minorHAnsi" w:hAnsiTheme="minorHAnsi" w:cstheme="minorHAnsi"/>
                <w:sz w:val="22"/>
                <w:szCs w:val="22"/>
              </w:rPr>
              <w:t>.</w:t>
            </w:r>
            <w:r w:rsidRPr="00CC6B2B">
              <w:rPr>
                <w:rFonts w:asciiTheme="minorHAnsi" w:hAnsiTheme="minorHAnsi" w:cstheme="minorHAnsi"/>
                <w:sz w:val="22"/>
                <w:szCs w:val="22"/>
              </w:rPr>
              <w:t xml:space="preserve"> </w:t>
            </w:r>
            <w:r>
              <w:rPr>
                <w:rFonts w:asciiTheme="minorHAnsi" w:hAnsiTheme="minorHAnsi" w:cstheme="minorHAnsi"/>
                <w:sz w:val="22"/>
                <w:szCs w:val="22"/>
              </w:rPr>
              <w:t>S</w:t>
            </w:r>
            <w:r w:rsidRPr="00CC6B2B">
              <w:rPr>
                <w:rFonts w:asciiTheme="minorHAnsi" w:hAnsiTheme="minorHAnsi" w:cstheme="minorHAnsi"/>
                <w:sz w:val="22"/>
                <w:szCs w:val="22"/>
              </w:rPr>
              <w:t>ponsored by Australian Government Department of Health</w:t>
            </w:r>
          </w:p>
        </w:tc>
        <w:tc>
          <w:tcPr>
            <w:tcW w:w="1560" w:type="dxa"/>
          </w:tcPr>
          <w:p w14:paraId="778B85D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 Aboriginal health</w:t>
            </w:r>
          </w:p>
        </w:tc>
        <w:tc>
          <w:tcPr>
            <w:tcW w:w="2126" w:type="dxa"/>
          </w:tcPr>
          <w:p w14:paraId="3E9AC099"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51DB71FE"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 xml:space="preserve">“Gender” used for “sex”. Acknowledge transgender. </w:t>
            </w:r>
          </w:p>
          <w:p w14:paraId="6AB0F0E4" w14:textId="77777777" w:rsidR="00094656" w:rsidRPr="00640161" w:rsidRDefault="00094656" w:rsidP="0067273F">
            <w:pPr>
              <w:pStyle w:val="TableParagraph"/>
              <w:rPr>
                <w:rFonts w:asciiTheme="minorHAnsi" w:hAnsiTheme="minorHAnsi" w:cstheme="minorHAnsi"/>
              </w:rPr>
            </w:pPr>
          </w:p>
        </w:tc>
        <w:tc>
          <w:tcPr>
            <w:tcW w:w="1984" w:type="dxa"/>
          </w:tcPr>
          <w:p w14:paraId="21164FF1" w14:textId="77777777" w:rsidR="00094656" w:rsidRPr="00640161" w:rsidRDefault="00094656" w:rsidP="0067273F">
            <w:pPr>
              <w:pStyle w:val="TableParagraph"/>
              <w:ind w:right="120"/>
              <w:rPr>
                <w:rFonts w:asciiTheme="minorHAnsi" w:hAnsiTheme="minorHAnsi" w:cstheme="minorHAnsi"/>
              </w:rPr>
            </w:pPr>
            <w:r w:rsidRPr="00640161">
              <w:rPr>
                <w:rFonts w:asciiTheme="minorHAnsi" w:hAnsiTheme="minorHAnsi" w:cstheme="minorHAnsi"/>
              </w:rPr>
              <w:t>Sex-related risk factors &amp; management</w:t>
            </w:r>
            <w:r w:rsidRPr="00640161">
              <w:rPr>
                <w:rFonts w:asciiTheme="minorHAnsi" w:hAnsiTheme="minorHAnsi" w:cstheme="minorHAnsi"/>
                <w:spacing w:val="-13"/>
              </w:rPr>
              <w:t xml:space="preserve"> </w:t>
            </w:r>
            <w:r w:rsidRPr="00640161">
              <w:rPr>
                <w:rFonts w:asciiTheme="minorHAnsi" w:hAnsiTheme="minorHAnsi" w:cstheme="minorHAnsi"/>
              </w:rPr>
              <w:t>recommendations for</w:t>
            </w:r>
            <w:r w:rsidRPr="00640161">
              <w:rPr>
                <w:rFonts w:asciiTheme="minorHAnsi" w:hAnsiTheme="minorHAnsi" w:cstheme="minorHAnsi"/>
                <w:spacing w:val="-6"/>
              </w:rPr>
              <w:t xml:space="preserve"> </w:t>
            </w:r>
            <w:r w:rsidRPr="00640161">
              <w:rPr>
                <w:rFonts w:asciiTheme="minorHAnsi" w:hAnsiTheme="minorHAnsi" w:cstheme="minorHAnsi"/>
              </w:rPr>
              <w:t>preventive</w:t>
            </w:r>
            <w:r w:rsidRPr="00640161">
              <w:rPr>
                <w:rFonts w:asciiTheme="minorHAnsi" w:hAnsiTheme="minorHAnsi" w:cstheme="minorHAnsi"/>
                <w:spacing w:val="-6"/>
              </w:rPr>
              <w:t xml:space="preserve"> </w:t>
            </w:r>
            <w:r w:rsidRPr="00640161">
              <w:rPr>
                <w:rFonts w:asciiTheme="minorHAnsi" w:hAnsiTheme="minorHAnsi" w:cstheme="minorHAnsi"/>
              </w:rPr>
              <w:t>health</w:t>
            </w:r>
            <w:r w:rsidRPr="00640161">
              <w:rPr>
                <w:rFonts w:asciiTheme="minorHAnsi" w:hAnsiTheme="minorHAnsi" w:cstheme="minorHAnsi"/>
                <w:spacing w:val="-6"/>
              </w:rPr>
              <w:t xml:space="preserve"> </w:t>
            </w:r>
            <w:r w:rsidRPr="00640161">
              <w:rPr>
                <w:rFonts w:asciiTheme="minorHAnsi" w:hAnsiTheme="minorHAnsi" w:cstheme="minorHAnsi"/>
              </w:rPr>
              <w:t>in</w:t>
            </w:r>
            <w:r w:rsidRPr="00640161">
              <w:rPr>
                <w:rFonts w:asciiTheme="minorHAnsi" w:hAnsiTheme="minorHAnsi" w:cstheme="minorHAnsi"/>
                <w:spacing w:val="-6"/>
              </w:rPr>
              <w:t xml:space="preserve"> </w:t>
            </w:r>
            <w:r w:rsidRPr="00640161">
              <w:rPr>
                <w:rFonts w:asciiTheme="minorHAnsi" w:hAnsiTheme="minorHAnsi" w:cstheme="minorHAnsi"/>
              </w:rPr>
              <w:t xml:space="preserve">obesity, smoking, alcohol use, physical </w:t>
            </w:r>
            <w:r w:rsidRPr="00640161">
              <w:rPr>
                <w:rFonts w:asciiTheme="minorHAnsi" w:hAnsiTheme="minorHAnsi" w:cstheme="minorHAnsi"/>
                <w:spacing w:val="-2"/>
              </w:rPr>
              <w:t>activity.</w:t>
            </w:r>
          </w:p>
          <w:p w14:paraId="7005A6B7"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Precautions in relation to pregnancy,</w:t>
            </w:r>
            <w:r w:rsidRPr="00640161">
              <w:rPr>
                <w:rFonts w:asciiTheme="minorHAnsi" w:hAnsiTheme="minorHAnsi" w:cstheme="minorHAnsi"/>
                <w:spacing w:val="-13"/>
              </w:rPr>
              <w:t xml:space="preserve"> </w:t>
            </w:r>
            <w:r w:rsidRPr="00640161">
              <w:rPr>
                <w:rFonts w:asciiTheme="minorHAnsi" w:hAnsiTheme="minorHAnsi" w:cstheme="minorHAnsi"/>
              </w:rPr>
              <w:t>post-menopause.</w:t>
            </w:r>
          </w:p>
        </w:tc>
        <w:tc>
          <w:tcPr>
            <w:tcW w:w="1843" w:type="dxa"/>
          </w:tcPr>
          <w:p w14:paraId="23D9B657"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Psychosocial assessment for adolescent</w:t>
            </w:r>
            <w:r w:rsidRPr="00640161">
              <w:rPr>
                <w:rFonts w:asciiTheme="minorHAnsi" w:hAnsiTheme="minorHAnsi" w:cstheme="minorHAnsi"/>
                <w:spacing w:val="-8"/>
              </w:rPr>
              <w:t xml:space="preserve"> </w:t>
            </w:r>
            <w:r w:rsidRPr="00640161">
              <w:rPr>
                <w:rFonts w:asciiTheme="minorHAnsi" w:hAnsiTheme="minorHAnsi" w:cstheme="minorHAnsi"/>
              </w:rPr>
              <w:t>girls</w:t>
            </w:r>
            <w:r w:rsidRPr="00640161">
              <w:rPr>
                <w:rFonts w:asciiTheme="minorHAnsi" w:hAnsiTheme="minorHAnsi" w:cstheme="minorHAnsi"/>
                <w:spacing w:val="-8"/>
              </w:rPr>
              <w:t xml:space="preserve"> </w:t>
            </w:r>
            <w:r w:rsidRPr="00640161">
              <w:rPr>
                <w:rFonts w:asciiTheme="minorHAnsi" w:hAnsiTheme="minorHAnsi" w:cstheme="minorHAnsi"/>
              </w:rPr>
              <w:t>&amp;</w:t>
            </w:r>
            <w:r w:rsidRPr="00640161">
              <w:rPr>
                <w:rFonts w:asciiTheme="minorHAnsi" w:hAnsiTheme="minorHAnsi" w:cstheme="minorHAnsi"/>
                <w:spacing w:val="-8"/>
              </w:rPr>
              <w:t xml:space="preserve"> </w:t>
            </w:r>
            <w:r w:rsidRPr="00640161">
              <w:rPr>
                <w:rFonts w:asciiTheme="minorHAnsi" w:hAnsiTheme="minorHAnsi" w:cstheme="minorHAnsi"/>
              </w:rPr>
              <w:t>boys</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7"/>
              </w:rPr>
              <w:t xml:space="preserve"> </w:t>
            </w:r>
            <w:r w:rsidRPr="00640161">
              <w:rPr>
                <w:rFonts w:asciiTheme="minorHAnsi" w:hAnsiTheme="minorHAnsi" w:cstheme="minorHAnsi"/>
              </w:rPr>
              <w:t>home environment, education, nutrition, activities, drugs, sexuality, suicide, depression, safety.</w:t>
            </w:r>
          </w:p>
        </w:tc>
        <w:tc>
          <w:tcPr>
            <w:tcW w:w="1276" w:type="dxa"/>
          </w:tcPr>
          <w:p w14:paraId="7234E4D2"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NHMRC levels of evidence; “evidence-based”.</w:t>
            </w:r>
          </w:p>
        </w:tc>
      </w:tr>
      <w:tr w:rsidR="00094656" w:rsidRPr="00640161" w14:paraId="7F8DB369" w14:textId="77777777" w:rsidTr="0067273F">
        <w:trPr>
          <w:cantSplit/>
        </w:trPr>
        <w:tc>
          <w:tcPr>
            <w:tcW w:w="1575" w:type="dxa"/>
          </w:tcPr>
          <w:p w14:paraId="647FD725"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Asthma </w:t>
            </w:r>
            <w:r w:rsidRPr="00640161">
              <w:rPr>
                <w:rFonts w:asciiTheme="minorHAnsi" w:hAnsiTheme="minorHAnsi" w:cstheme="minorHAnsi"/>
                <w:b/>
                <w:spacing w:val="-2"/>
              </w:rPr>
              <w:t>Council</w:t>
            </w:r>
          </w:p>
        </w:tc>
        <w:tc>
          <w:tcPr>
            <w:tcW w:w="3119" w:type="dxa"/>
          </w:tcPr>
          <w:p w14:paraId="176DA573" w14:textId="77777777" w:rsidR="00094656" w:rsidRPr="00640161" w:rsidRDefault="00094656" w:rsidP="0067273F">
            <w:pPr>
              <w:pStyle w:val="TableParagraph"/>
              <w:ind w:right="97"/>
              <w:rPr>
                <w:rFonts w:asciiTheme="minorHAnsi" w:hAnsiTheme="minorHAnsi" w:cstheme="minorHAnsi"/>
              </w:rPr>
            </w:pPr>
            <w:r w:rsidRPr="00B6727A">
              <w:rPr>
                <w:rFonts w:asciiTheme="minorHAnsi" w:hAnsiTheme="minorHAnsi" w:cstheme="minorHAnsi"/>
              </w:rPr>
              <w:t>Australian</w:t>
            </w:r>
            <w:r w:rsidRPr="00B6727A">
              <w:rPr>
                <w:rFonts w:asciiTheme="minorHAnsi" w:hAnsiTheme="minorHAnsi" w:cstheme="minorHAnsi"/>
                <w:spacing w:val="-12"/>
              </w:rPr>
              <w:t xml:space="preserve"> </w:t>
            </w:r>
            <w:r w:rsidRPr="00B6727A">
              <w:rPr>
                <w:rFonts w:asciiTheme="minorHAnsi" w:hAnsiTheme="minorHAnsi" w:cstheme="minorHAnsi"/>
              </w:rPr>
              <w:t>Asthma</w:t>
            </w:r>
            <w:r w:rsidRPr="00B6727A">
              <w:rPr>
                <w:rFonts w:asciiTheme="minorHAnsi" w:hAnsiTheme="minorHAnsi" w:cstheme="minorHAnsi"/>
                <w:spacing w:val="-12"/>
              </w:rPr>
              <w:t xml:space="preserve"> </w:t>
            </w:r>
            <w:r w:rsidRPr="00B6727A">
              <w:rPr>
                <w:rFonts w:asciiTheme="minorHAnsi" w:hAnsiTheme="minorHAnsi" w:cstheme="minorHAnsi"/>
              </w:rPr>
              <w:t>Handbook,</w:t>
            </w:r>
            <w:r w:rsidRPr="00B6727A">
              <w:rPr>
                <w:rFonts w:asciiTheme="minorHAnsi" w:hAnsiTheme="minorHAnsi" w:cstheme="minorHAnsi"/>
                <w:spacing w:val="-12"/>
              </w:rPr>
              <w:t xml:space="preserve"> </w:t>
            </w:r>
            <w:r w:rsidRPr="00B6727A">
              <w:rPr>
                <w:rFonts w:asciiTheme="minorHAnsi" w:hAnsiTheme="minorHAnsi" w:cstheme="minorHAnsi"/>
              </w:rPr>
              <w:t>2022</w:t>
            </w:r>
          </w:p>
          <w:p w14:paraId="6470DBAE" w14:textId="77777777" w:rsidR="00094656" w:rsidRPr="00FF3A90" w:rsidRDefault="00094656" w:rsidP="0067273F">
            <w:pPr>
              <w:pStyle w:val="TableParagraph"/>
              <w:spacing w:before="8"/>
              <w:ind w:left="0"/>
              <w:rPr>
                <w:rFonts w:asciiTheme="minorHAnsi" w:hAnsiTheme="minorHAnsi" w:cstheme="minorHAnsi"/>
                <w:b/>
              </w:rPr>
            </w:pPr>
          </w:p>
          <w:p w14:paraId="58A8972C" w14:textId="77777777" w:rsidR="00094656" w:rsidRPr="00640161" w:rsidRDefault="00094656" w:rsidP="0067273F">
            <w:pPr>
              <w:pStyle w:val="TableParagraph"/>
              <w:ind w:right="97"/>
              <w:rPr>
                <w:rFonts w:asciiTheme="minorHAnsi" w:hAnsiTheme="minorHAnsi" w:cstheme="minorHAnsi"/>
                <w:color w:val="0563C1"/>
                <w:spacing w:val="-2"/>
                <w:u w:val="single" w:color="0563C1"/>
              </w:rPr>
            </w:pPr>
            <w:r w:rsidRPr="00FF3A90">
              <w:rPr>
                <w:rFonts w:asciiTheme="minorHAnsi" w:hAnsiTheme="minorHAnsi" w:cstheme="minorHAnsi"/>
                <w:spacing w:val="-2"/>
              </w:rPr>
              <w:t>https://www.asthm</w:t>
            </w:r>
            <w:hyperlink r:id="rId36">
              <w:r w:rsidRPr="00FF3A90">
                <w:rPr>
                  <w:rFonts w:asciiTheme="minorHAnsi" w:hAnsiTheme="minorHAnsi" w:cstheme="minorHAnsi"/>
                  <w:spacing w:val="-2"/>
                </w:rPr>
                <w:t>ahandbook.org.au/</w:t>
              </w:r>
            </w:hyperlink>
          </w:p>
        </w:tc>
        <w:tc>
          <w:tcPr>
            <w:tcW w:w="1417" w:type="dxa"/>
          </w:tcPr>
          <w:p w14:paraId="56BC6194"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Endorsed by RACGP</w:t>
            </w:r>
            <w:r>
              <w:rPr>
                <w:rFonts w:asciiTheme="minorHAnsi" w:hAnsiTheme="minorHAnsi" w:cstheme="minorHAnsi"/>
              </w:rPr>
              <w:t xml:space="preserve"> &amp; others</w:t>
            </w:r>
          </w:p>
        </w:tc>
        <w:tc>
          <w:tcPr>
            <w:tcW w:w="1560" w:type="dxa"/>
          </w:tcPr>
          <w:p w14:paraId="13F8488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General practice</w:t>
            </w:r>
          </w:p>
        </w:tc>
        <w:tc>
          <w:tcPr>
            <w:tcW w:w="2126" w:type="dxa"/>
          </w:tcPr>
          <w:p w14:paraId="3702394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6B5B5BE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Adolescent</w:t>
            </w:r>
            <w:r w:rsidRPr="00640161">
              <w:rPr>
                <w:rFonts w:asciiTheme="minorHAnsi" w:hAnsiTheme="minorHAnsi" w:cstheme="minorHAnsi"/>
                <w:spacing w:val="-13"/>
              </w:rPr>
              <w:t xml:space="preserve"> </w:t>
            </w:r>
            <w:r w:rsidRPr="00640161">
              <w:rPr>
                <w:rFonts w:asciiTheme="minorHAnsi" w:hAnsiTheme="minorHAnsi" w:cstheme="minorHAnsi"/>
              </w:rPr>
              <w:t>“girls”</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3"/>
              </w:rPr>
              <w:t xml:space="preserve"> </w:t>
            </w:r>
            <w:r w:rsidRPr="00640161">
              <w:rPr>
                <w:rFonts w:asciiTheme="minorHAnsi" w:hAnsiTheme="minorHAnsi" w:cstheme="minorHAnsi"/>
              </w:rPr>
              <w:t xml:space="preserve">“boys” </w:t>
            </w:r>
            <w:r w:rsidRPr="00640161">
              <w:rPr>
                <w:rFonts w:asciiTheme="minorHAnsi" w:hAnsiTheme="minorHAnsi" w:cstheme="minorHAnsi"/>
                <w:spacing w:val="-2"/>
              </w:rPr>
              <w:t>used.</w:t>
            </w:r>
          </w:p>
        </w:tc>
        <w:tc>
          <w:tcPr>
            <w:tcW w:w="1984" w:type="dxa"/>
          </w:tcPr>
          <w:p w14:paraId="2AE0F52C"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risk</w:t>
            </w:r>
            <w:r w:rsidRPr="00640161">
              <w:rPr>
                <w:rFonts w:asciiTheme="minorHAnsi" w:hAnsiTheme="minorHAnsi" w:cstheme="minorHAnsi"/>
                <w:spacing w:val="-12"/>
              </w:rPr>
              <w:t xml:space="preserve"> </w:t>
            </w:r>
            <w:r w:rsidRPr="00640161">
              <w:rPr>
                <w:rFonts w:asciiTheme="minorHAnsi" w:hAnsiTheme="minorHAnsi" w:cstheme="minorHAnsi"/>
              </w:rPr>
              <w:t>factors</w:t>
            </w:r>
            <w:r w:rsidRPr="00640161">
              <w:rPr>
                <w:rFonts w:asciiTheme="minorHAnsi" w:hAnsiTheme="minorHAnsi" w:cstheme="minorHAnsi"/>
                <w:spacing w:val="-13"/>
              </w:rPr>
              <w:t xml:space="preserve"> </w:t>
            </w:r>
            <w:r w:rsidRPr="00640161">
              <w:rPr>
                <w:rFonts w:asciiTheme="minorHAnsi" w:hAnsiTheme="minorHAnsi" w:cstheme="minorHAnsi"/>
              </w:rPr>
              <w:t xml:space="preserve">in </w:t>
            </w:r>
            <w:r w:rsidRPr="00640161">
              <w:rPr>
                <w:rFonts w:asciiTheme="minorHAnsi" w:hAnsiTheme="minorHAnsi" w:cstheme="minorHAnsi"/>
                <w:spacing w:val="-2"/>
              </w:rPr>
              <w:t>adolescents.</w:t>
            </w:r>
          </w:p>
        </w:tc>
        <w:tc>
          <w:tcPr>
            <w:tcW w:w="1843" w:type="dxa"/>
          </w:tcPr>
          <w:p w14:paraId="132A6D6E"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“Psychosocial factors” considered.</w:t>
            </w:r>
          </w:p>
        </w:tc>
        <w:tc>
          <w:tcPr>
            <w:tcW w:w="1276" w:type="dxa"/>
          </w:tcPr>
          <w:p w14:paraId="5DB4E3A2"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7F6F0A1A" w14:textId="77777777" w:rsidTr="0067273F">
        <w:tc>
          <w:tcPr>
            <w:tcW w:w="1575" w:type="dxa"/>
          </w:tcPr>
          <w:p w14:paraId="7A28C31E"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bCs/>
              </w:rPr>
              <w:t>National COVID-19 Clinical Evidence Taskforce</w:t>
            </w:r>
          </w:p>
        </w:tc>
        <w:tc>
          <w:tcPr>
            <w:tcW w:w="3119" w:type="dxa"/>
          </w:tcPr>
          <w:p w14:paraId="08D25F65" w14:textId="77777777" w:rsidR="00094656" w:rsidRPr="00640161" w:rsidRDefault="00094656" w:rsidP="0067273F">
            <w:pPr>
              <w:pStyle w:val="TableParagraph"/>
              <w:ind w:right="97"/>
              <w:rPr>
                <w:rFonts w:asciiTheme="minorHAnsi" w:hAnsiTheme="minorHAnsi" w:cstheme="minorHAnsi"/>
                <w:bCs/>
              </w:rPr>
            </w:pPr>
            <w:r w:rsidRPr="00640161">
              <w:rPr>
                <w:rFonts w:asciiTheme="minorHAnsi" w:hAnsiTheme="minorHAnsi" w:cstheme="minorHAnsi"/>
                <w:bCs/>
              </w:rPr>
              <w:t>Australian</w:t>
            </w:r>
            <w:r w:rsidRPr="00640161">
              <w:rPr>
                <w:rFonts w:asciiTheme="minorHAnsi" w:hAnsiTheme="minorHAnsi" w:cstheme="minorHAnsi"/>
                <w:bCs/>
                <w:spacing w:val="-5"/>
              </w:rPr>
              <w:t xml:space="preserve"> </w:t>
            </w:r>
            <w:r w:rsidRPr="00640161">
              <w:rPr>
                <w:rFonts w:asciiTheme="minorHAnsi" w:hAnsiTheme="minorHAnsi" w:cstheme="minorHAnsi"/>
                <w:bCs/>
              </w:rPr>
              <w:t>guidelines</w:t>
            </w:r>
            <w:r w:rsidRPr="00640161">
              <w:rPr>
                <w:rFonts w:asciiTheme="minorHAnsi" w:hAnsiTheme="minorHAnsi" w:cstheme="minorHAnsi"/>
                <w:bCs/>
                <w:spacing w:val="-6"/>
              </w:rPr>
              <w:t xml:space="preserve"> </w:t>
            </w:r>
            <w:r w:rsidRPr="00640161">
              <w:rPr>
                <w:rFonts w:asciiTheme="minorHAnsi" w:hAnsiTheme="minorHAnsi" w:cstheme="minorHAnsi"/>
                <w:bCs/>
              </w:rPr>
              <w:t>for</w:t>
            </w:r>
            <w:r w:rsidRPr="00640161">
              <w:rPr>
                <w:rFonts w:asciiTheme="minorHAnsi" w:hAnsiTheme="minorHAnsi" w:cstheme="minorHAnsi"/>
                <w:bCs/>
                <w:spacing w:val="-5"/>
              </w:rPr>
              <w:t xml:space="preserve"> </w:t>
            </w:r>
            <w:r w:rsidRPr="00640161">
              <w:rPr>
                <w:rFonts w:asciiTheme="minorHAnsi" w:hAnsiTheme="minorHAnsi" w:cstheme="minorHAnsi"/>
                <w:bCs/>
              </w:rPr>
              <w:t>the</w:t>
            </w:r>
            <w:r w:rsidRPr="00640161">
              <w:rPr>
                <w:rFonts w:asciiTheme="minorHAnsi" w:hAnsiTheme="minorHAnsi" w:cstheme="minorHAnsi"/>
                <w:bCs/>
                <w:spacing w:val="-6"/>
              </w:rPr>
              <w:t xml:space="preserve"> </w:t>
            </w:r>
            <w:r w:rsidRPr="00640161">
              <w:rPr>
                <w:rFonts w:asciiTheme="minorHAnsi" w:hAnsiTheme="minorHAnsi" w:cstheme="minorHAnsi"/>
                <w:bCs/>
              </w:rPr>
              <w:t>clinical</w:t>
            </w:r>
            <w:r w:rsidRPr="00640161">
              <w:rPr>
                <w:rFonts w:asciiTheme="minorHAnsi" w:hAnsiTheme="minorHAnsi" w:cstheme="minorHAnsi"/>
                <w:bCs/>
                <w:spacing w:val="-6"/>
              </w:rPr>
              <w:t xml:space="preserve"> </w:t>
            </w:r>
            <w:r w:rsidRPr="00640161">
              <w:rPr>
                <w:rFonts w:asciiTheme="minorHAnsi" w:hAnsiTheme="minorHAnsi" w:cstheme="minorHAnsi"/>
                <w:bCs/>
              </w:rPr>
              <w:t>care</w:t>
            </w:r>
            <w:r w:rsidRPr="00640161">
              <w:rPr>
                <w:rFonts w:asciiTheme="minorHAnsi" w:hAnsiTheme="minorHAnsi" w:cstheme="minorHAnsi"/>
                <w:bCs/>
                <w:spacing w:val="-6"/>
              </w:rPr>
              <w:t xml:space="preserve"> </w:t>
            </w:r>
            <w:r w:rsidRPr="00640161">
              <w:rPr>
                <w:rFonts w:asciiTheme="minorHAnsi" w:hAnsiTheme="minorHAnsi" w:cstheme="minorHAnsi"/>
                <w:bCs/>
              </w:rPr>
              <w:t>of</w:t>
            </w:r>
            <w:r w:rsidRPr="00640161">
              <w:rPr>
                <w:rFonts w:asciiTheme="minorHAnsi" w:hAnsiTheme="minorHAnsi" w:cstheme="minorHAnsi"/>
                <w:bCs/>
                <w:spacing w:val="40"/>
              </w:rPr>
              <w:t xml:space="preserve"> </w:t>
            </w:r>
            <w:r w:rsidRPr="00640161">
              <w:rPr>
                <w:rFonts w:asciiTheme="minorHAnsi" w:hAnsiTheme="minorHAnsi" w:cstheme="minorHAnsi"/>
                <w:bCs/>
              </w:rPr>
              <w:t>people with COVID-19, 2020</w:t>
            </w:r>
          </w:p>
          <w:p w14:paraId="09A26529" w14:textId="77777777" w:rsidR="00094656" w:rsidRPr="00406D34" w:rsidRDefault="00094656" w:rsidP="0067273F">
            <w:pPr>
              <w:pStyle w:val="TableParagraph"/>
              <w:ind w:right="97"/>
              <w:rPr>
                <w:rFonts w:asciiTheme="minorHAnsi" w:hAnsiTheme="minorHAnsi" w:cstheme="minorHAnsi"/>
                <w:bCs/>
                <w:highlight w:val="yellow"/>
              </w:rPr>
            </w:pPr>
          </w:p>
          <w:p w14:paraId="360F839A" w14:textId="77777777" w:rsidR="00094656" w:rsidRPr="003F6B17" w:rsidRDefault="00094656" w:rsidP="0067273F">
            <w:pPr>
              <w:pStyle w:val="TableParagraph"/>
              <w:ind w:right="97"/>
              <w:rPr>
                <w:rFonts w:asciiTheme="minorHAnsi" w:hAnsiTheme="minorHAnsi" w:cstheme="minorHAnsi"/>
                <w:spacing w:val="-2"/>
              </w:rPr>
            </w:pPr>
            <w:r w:rsidRPr="00406D34">
              <w:rPr>
                <w:rFonts w:asciiTheme="minorHAnsi" w:hAnsiTheme="minorHAnsi" w:cstheme="minorHAnsi"/>
                <w:w w:val="95"/>
              </w:rPr>
              <w:t>https://files.magicapp.org/guideline/5385329d-4e37-43d4-</w:t>
            </w:r>
            <w:r w:rsidRPr="00406D34">
              <w:rPr>
                <w:rFonts w:asciiTheme="minorHAnsi" w:hAnsiTheme="minorHAnsi" w:cstheme="minorHAnsi"/>
                <w:spacing w:val="-2"/>
                <w:w w:val="95"/>
              </w:rPr>
              <w:t>aa99-</w:t>
            </w:r>
            <w:r w:rsidRPr="00406D34">
              <w:rPr>
                <w:rFonts w:asciiTheme="minorHAnsi" w:hAnsiTheme="minorHAnsi" w:cstheme="minorHAnsi"/>
                <w:w w:val="95"/>
              </w:rPr>
              <w:t>3ae393bfa59f/published_guideline_5360-</w:t>
            </w:r>
            <w:r w:rsidRPr="00406D34">
              <w:rPr>
                <w:rFonts w:asciiTheme="minorHAnsi" w:hAnsiTheme="minorHAnsi" w:cstheme="minorHAnsi"/>
                <w:spacing w:val="-2"/>
              </w:rPr>
              <w:t>40_0.pdf</w:t>
            </w:r>
          </w:p>
        </w:tc>
        <w:tc>
          <w:tcPr>
            <w:tcW w:w="1417" w:type="dxa"/>
          </w:tcPr>
          <w:p w14:paraId="0C387D25"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NHMRC</w:t>
            </w:r>
            <w:r>
              <w:rPr>
                <w:rFonts w:asciiTheme="minorHAnsi" w:hAnsiTheme="minorHAnsi" w:cstheme="minorHAnsi"/>
              </w:rPr>
              <w:t xml:space="preserve"> approval being sought</w:t>
            </w:r>
          </w:p>
        </w:tc>
        <w:tc>
          <w:tcPr>
            <w:tcW w:w="1560" w:type="dxa"/>
          </w:tcPr>
          <w:p w14:paraId="6E25B1E1"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spacing w:val="-2"/>
              </w:rPr>
              <w:t>Infectious</w:t>
            </w:r>
          </w:p>
          <w:p w14:paraId="372602D8"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spacing w:val="-2"/>
              </w:rPr>
              <w:t>diseases</w:t>
            </w:r>
          </w:p>
        </w:tc>
        <w:tc>
          <w:tcPr>
            <w:tcW w:w="2126" w:type="dxa"/>
          </w:tcPr>
          <w:p w14:paraId="4847E6E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Not defined. “Gender identity” used; avoid binary assumptions. “Sex” not found in text search; “female’, “male”, “women”, “men” used. </w:t>
            </w:r>
          </w:p>
        </w:tc>
        <w:tc>
          <w:tcPr>
            <w:tcW w:w="1984" w:type="dxa"/>
          </w:tcPr>
          <w:p w14:paraId="0972A608"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Sex differences in research results.</w:t>
            </w:r>
          </w:p>
        </w:tc>
        <w:tc>
          <w:tcPr>
            <w:tcW w:w="1843" w:type="dxa"/>
          </w:tcPr>
          <w:p w14:paraId="0E584086"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 xml:space="preserve">Gender aware but not explicit. </w:t>
            </w:r>
          </w:p>
        </w:tc>
        <w:tc>
          <w:tcPr>
            <w:tcW w:w="1276" w:type="dxa"/>
          </w:tcPr>
          <w:p w14:paraId="6AB01052"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063708C6" w14:textId="77777777" w:rsidTr="0067273F">
        <w:trPr>
          <w:cantSplit/>
        </w:trPr>
        <w:tc>
          <w:tcPr>
            <w:tcW w:w="1575" w:type="dxa"/>
          </w:tcPr>
          <w:p w14:paraId="61E3925C" w14:textId="77777777" w:rsidR="00094656" w:rsidRPr="00640161" w:rsidRDefault="00094656" w:rsidP="0067273F">
            <w:pPr>
              <w:pStyle w:val="TableParagraph"/>
              <w:ind w:left="110" w:right="215"/>
              <w:rPr>
                <w:rFonts w:asciiTheme="minorHAnsi" w:hAnsiTheme="minorHAnsi" w:cstheme="minorHAnsi"/>
                <w:b/>
                <w:bCs/>
              </w:rPr>
            </w:pPr>
            <w:r>
              <w:rPr>
                <w:rFonts w:asciiTheme="minorHAnsi" w:hAnsiTheme="minorHAnsi" w:cstheme="minorHAnsi"/>
                <w:b/>
                <w:bCs/>
              </w:rPr>
              <w:lastRenderedPageBreak/>
              <w:t>National Diabetes Services Scheme</w:t>
            </w:r>
          </w:p>
        </w:tc>
        <w:tc>
          <w:tcPr>
            <w:tcW w:w="3119" w:type="dxa"/>
          </w:tcPr>
          <w:p w14:paraId="7272CA7B" w14:textId="77777777" w:rsidR="00094656" w:rsidRDefault="00094656" w:rsidP="0067273F">
            <w:pPr>
              <w:pStyle w:val="TableParagraph"/>
              <w:ind w:right="97"/>
              <w:rPr>
                <w:bCs/>
                <w:spacing w:val="-2"/>
              </w:rPr>
            </w:pPr>
            <w:r w:rsidRPr="002D177D">
              <w:rPr>
                <w:bCs/>
              </w:rPr>
              <w:t>Clinical guiding principles for sick day</w:t>
            </w:r>
            <w:r w:rsidRPr="002D177D">
              <w:rPr>
                <w:bCs/>
                <w:spacing w:val="40"/>
              </w:rPr>
              <w:t xml:space="preserve"> </w:t>
            </w:r>
            <w:r w:rsidRPr="002D177D">
              <w:rPr>
                <w:bCs/>
              </w:rPr>
              <w:t>management</w:t>
            </w:r>
            <w:r w:rsidRPr="002D177D">
              <w:rPr>
                <w:bCs/>
                <w:spacing w:val="-5"/>
              </w:rPr>
              <w:t xml:space="preserve"> </w:t>
            </w:r>
            <w:r w:rsidRPr="002D177D">
              <w:rPr>
                <w:bCs/>
              </w:rPr>
              <w:t>of</w:t>
            </w:r>
            <w:r w:rsidRPr="002D177D">
              <w:rPr>
                <w:bCs/>
                <w:spacing w:val="-6"/>
              </w:rPr>
              <w:t xml:space="preserve"> </w:t>
            </w:r>
            <w:r w:rsidRPr="002D177D">
              <w:rPr>
                <w:bCs/>
              </w:rPr>
              <w:t>adults</w:t>
            </w:r>
            <w:r w:rsidRPr="002D177D">
              <w:rPr>
                <w:bCs/>
                <w:spacing w:val="-6"/>
              </w:rPr>
              <w:t xml:space="preserve"> </w:t>
            </w:r>
            <w:r w:rsidRPr="002D177D">
              <w:rPr>
                <w:bCs/>
              </w:rPr>
              <w:t>with</w:t>
            </w:r>
            <w:r w:rsidRPr="002D177D">
              <w:rPr>
                <w:bCs/>
                <w:spacing w:val="-6"/>
              </w:rPr>
              <w:t xml:space="preserve"> </w:t>
            </w:r>
            <w:r w:rsidRPr="002D177D">
              <w:rPr>
                <w:bCs/>
              </w:rPr>
              <w:t>type</w:t>
            </w:r>
            <w:r w:rsidRPr="002D177D">
              <w:rPr>
                <w:bCs/>
                <w:spacing w:val="-6"/>
              </w:rPr>
              <w:t xml:space="preserve"> </w:t>
            </w:r>
            <w:r w:rsidRPr="002D177D">
              <w:rPr>
                <w:bCs/>
              </w:rPr>
              <w:t>1</w:t>
            </w:r>
            <w:r w:rsidRPr="002D177D">
              <w:rPr>
                <w:bCs/>
                <w:spacing w:val="-4"/>
              </w:rPr>
              <w:t xml:space="preserve"> </w:t>
            </w:r>
            <w:r w:rsidRPr="002D177D">
              <w:rPr>
                <w:bCs/>
              </w:rPr>
              <w:t>and</w:t>
            </w:r>
            <w:r w:rsidRPr="002D177D">
              <w:rPr>
                <w:bCs/>
                <w:spacing w:val="-6"/>
              </w:rPr>
              <w:t xml:space="preserve"> </w:t>
            </w:r>
            <w:r w:rsidRPr="002D177D">
              <w:rPr>
                <w:bCs/>
              </w:rPr>
              <w:t>type</w:t>
            </w:r>
            <w:r w:rsidRPr="002D177D">
              <w:rPr>
                <w:bCs/>
                <w:spacing w:val="-6"/>
              </w:rPr>
              <w:t xml:space="preserve"> </w:t>
            </w:r>
            <w:r w:rsidRPr="002D177D">
              <w:rPr>
                <w:bCs/>
              </w:rPr>
              <w:t>2</w:t>
            </w:r>
            <w:r w:rsidRPr="002D177D">
              <w:rPr>
                <w:bCs/>
                <w:spacing w:val="40"/>
              </w:rPr>
              <w:t xml:space="preserve"> </w:t>
            </w:r>
            <w:r w:rsidRPr="002D177D">
              <w:rPr>
                <w:bCs/>
                <w:spacing w:val="-2"/>
              </w:rPr>
              <w:t>diabetes</w:t>
            </w:r>
            <w:r>
              <w:rPr>
                <w:bCs/>
                <w:spacing w:val="-2"/>
              </w:rPr>
              <w:t>, 2020</w:t>
            </w:r>
          </w:p>
          <w:p w14:paraId="38CEC293" w14:textId="77777777" w:rsidR="00094656" w:rsidRDefault="00094656" w:rsidP="0067273F">
            <w:pPr>
              <w:pStyle w:val="TableParagraph"/>
              <w:ind w:right="97"/>
              <w:rPr>
                <w:bCs/>
                <w:spacing w:val="-2"/>
              </w:rPr>
            </w:pPr>
          </w:p>
          <w:p w14:paraId="6F0B5ED6" w14:textId="77777777" w:rsidR="00094656" w:rsidRPr="002D177D" w:rsidRDefault="00094656" w:rsidP="0067273F">
            <w:pPr>
              <w:pStyle w:val="TableParagraph"/>
              <w:ind w:right="97"/>
              <w:rPr>
                <w:rFonts w:asciiTheme="minorHAnsi" w:hAnsiTheme="minorHAnsi" w:cstheme="minorHAnsi"/>
                <w:bCs/>
              </w:rPr>
            </w:pPr>
            <w:r w:rsidRPr="00406D34">
              <w:rPr>
                <w:rFonts w:asciiTheme="minorHAnsi" w:hAnsiTheme="minorHAnsi" w:cstheme="minorHAnsi"/>
                <w:bCs/>
              </w:rPr>
              <w:t>https://www.adea.com.au/wp-content/uploads/2020/09/Sickdays-_12.pdf</w:t>
            </w:r>
          </w:p>
        </w:tc>
        <w:tc>
          <w:tcPr>
            <w:tcW w:w="1417" w:type="dxa"/>
          </w:tcPr>
          <w:p w14:paraId="224224FD"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Not stated</w:t>
            </w:r>
          </w:p>
        </w:tc>
        <w:tc>
          <w:tcPr>
            <w:tcW w:w="1560" w:type="dxa"/>
          </w:tcPr>
          <w:p w14:paraId="5E91D14E" w14:textId="77777777" w:rsidR="00094656" w:rsidRPr="00640161" w:rsidRDefault="00094656" w:rsidP="0067273F">
            <w:pPr>
              <w:pStyle w:val="TableParagraph"/>
              <w:ind w:left="108" w:right="96"/>
              <w:rPr>
                <w:rFonts w:asciiTheme="minorHAnsi" w:hAnsiTheme="minorHAnsi" w:cstheme="minorHAnsi"/>
                <w:spacing w:val="-2"/>
              </w:rPr>
            </w:pPr>
            <w:r>
              <w:rPr>
                <w:rFonts w:asciiTheme="minorHAnsi" w:hAnsiTheme="minorHAnsi" w:cstheme="minorHAnsi"/>
                <w:spacing w:val="-2"/>
              </w:rPr>
              <w:t>Endocrinology</w:t>
            </w:r>
          </w:p>
        </w:tc>
        <w:tc>
          <w:tcPr>
            <w:tcW w:w="2126" w:type="dxa"/>
          </w:tcPr>
          <w:p w14:paraId="1B177D8C"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“sex”, “female”, “male”, “men” not found in text search.</w:t>
            </w:r>
          </w:p>
          <w:p w14:paraId="6F38200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“Women” used. </w:t>
            </w:r>
          </w:p>
        </w:tc>
        <w:tc>
          <w:tcPr>
            <w:tcW w:w="1984" w:type="dxa"/>
          </w:tcPr>
          <w:p w14:paraId="573180E9"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Care of pregnant women.</w:t>
            </w:r>
          </w:p>
        </w:tc>
        <w:tc>
          <w:tcPr>
            <w:tcW w:w="1843" w:type="dxa"/>
          </w:tcPr>
          <w:p w14:paraId="212B58B7"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No gender considerations.</w:t>
            </w:r>
          </w:p>
        </w:tc>
        <w:tc>
          <w:tcPr>
            <w:tcW w:w="1276" w:type="dxa"/>
          </w:tcPr>
          <w:p w14:paraId="16F737CE"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Limited details of method.</w:t>
            </w:r>
          </w:p>
          <w:p w14:paraId="25248CB7"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“Evidence-based best practice”</w:t>
            </w:r>
          </w:p>
        </w:tc>
      </w:tr>
      <w:tr w:rsidR="00094656" w:rsidRPr="00640161" w14:paraId="3D6C9F94" w14:textId="77777777" w:rsidTr="0067273F">
        <w:tc>
          <w:tcPr>
            <w:tcW w:w="1575" w:type="dxa"/>
          </w:tcPr>
          <w:p w14:paraId="08584191"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National</w:t>
            </w:r>
            <w:r w:rsidRPr="00640161">
              <w:rPr>
                <w:rFonts w:asciiTheme="minorHAnsi" w:hAnsiTheme="minorHAnsi" w:cstheme="minorHAnsi"/>
                <w:b/>
                <w:spacing w:val="-13"/>
              </w:rPr>
              <w:t xml:space="preserve"> </w:t>
            </w:r>
            <w:r w:rsidRPr="00640161">
              <w:rPr>
                <w:rFonts w:asciiTheme="minorHAnsi" w:hAnsiTheme="minorHAnsi" w:cstheme="minorHAnsi"/>
                <w:b/>
              </w:rPr>
              <w:t>Health</w:t>
            </w:r>
            <w:r w:rsidRPr="00640161">
              <w:rPr>
                <w:rFonts w:asciiTheme="minorHAnsi" w:hAnsiTheme="minorHAnsi" w:cstheme="minorHAnsi"/>
                <w:b/>
                <w:spacing w:val="-12"/>
              </w:rPr>
              <w:t xml:space="preserve"> </w:t>
            </w:r>
            <w:r w:rsidRPr="00640161">
              <w:rPr>
                <w:rFonts w:asciiTheme="minorHAnsi" w:hAnsiTheme="minorHAnsi" w:cstheme="minorHAnsi"/>
                <w:b/>
              </w:rPr>
              <w:t>and Medical Research Council (NHMRC)</w:t>
            </w:r>
          </w:p>
        </w:tc>
        <w:tc>
          <w:tcPr>
            <w:tcW w:w="3119" w:type="dxa"/>
          </w:tcPr>
          <w:p w14:paraId="3CD7FC8B" w14:textId="77777777" w:rsidR="00094656" w:rsidRPr="00640161" w:rsidRDefault="00094656" w:rsidP="0067273F">
            <w:pPr>
              <w:pStyle w:val="TableParagraph"/>
              <w:keepNext/>
              <w:keepLines/>
              <w:widowControl/>
              <w:ind w:right="97"/>
              <w:rPr>
                <w:rFonts w:asciiTheme="minorHAnsi" w:hAnsiTheme="minorHAnsi" w:cstheme="minorHAnsi"/>
              </w:rPr>
            </w:pPr>
            <w:r w:rsidRPr="00640161">
              <w:rPr>
                <w:rFonts w:asciiTheme="minorHAnsi" w:hAnsiTheme="minorHAnsi" w:cstheme="minorHAnsi"/>
              </w:rPr>
              <w:t>Ethical guidelines for organ transplantation</w:t>
            </w:r>
            <w:r w:rsidRPr="00640161">
              <w:rPr>
                <w:rFonts w:asciiTheme="minorHAnsi" w:hAnsiTheme="minorHAnsi" w:cstheme="minorHAnsi"/>
                <w:spacing w:val="-13"/>
              </w:rPr>
              <w:t xml:space="preserve"> </w:t>
            </w:r>
            <w:r w:rsidRPr="00640161">
              <w:rPr>
                <w:rFonts w:asciiTheme="minorHAnsi" w:hAnsiTheme="minorHAnsi" w:cstheme="minorHAnsi"/>
              </w:rPr>
              <w:t>from</w:t>
            </w:r>
            <w:r w:rsidRPr="00640161">
              <w:rPr>
                <w:rFonts w:asciiTheme="minorHAnsi" w:hAnsiTheme="minorHAnsi" w:cstheme="minorHAnsi"/>
                <w:spacing w:val="-12"/>
              </w:rPr>
              <w:t xml:space="preserve"> </w:t>
            </w:r>
            <w:r w:rsidRPr="00640161">
              <w:rPr>
                <w:rFonts w:asciiTheme="minorHAnsi" w:hAnsiTheme="minorHAnsi" w:cstheme="minorHAnsi"/>
              </w:rPr>
              <w:t>deceased</w:t>
            </w:r>
            <w:r w:rsidRPr="00640161">
              <w:rPr>
                <w:rFonts w:asciiTheme="minorHAnsi" w:hAnsiTheme="minorHAnsi" w:cstheme="minorHAnsi"/>
                <w:spacing w:val="-13"/>
              </w:rPr>
              <w:t xml:space="preserve"> </w:t>
            </w:r>
            <w:r w:rsidRPr="00640161">
              <w:rPr>
                <w:rFonts w:asciiTheme="minorHAnsi" w:hAnsiTheme="minorHAnsi" w:cstheme="minorHAnsi"/>
              </w:rPr>
              <w:t xml:space="preserve">donors, </w:t>
            </w:r>
            <w:r w:rsidRPr="00640161">
              <w:rPr>
                <w:rFonts w:asciiTheme="minorHAnsi" w:hAnsiTheme="minorHAnsi" w:cstheme="minorHAnsi"/>
                <w:spacing w:val="-4"/>
              </w:rPr>
              <w:t>2016</w:t>
            </w:r>
          </w:p>
          <w:p w14:paraId="4500220F" w14:textId="77777777" w:rsidR="00094656" w:rsidRPr="00640161" w:rsidRDefault="00094656" w:rsidP="0067273F">
            <w:pPr>
              <w:pStyle w:val="TableParagraph"/>
              <w:keepNext/>
              <w:keepLines/>
              <w:widowControl/>
              <w:ind w:left="0"/>
              <w:rPr>
                <w:rFonts w:asciiTheme="minorHAnsi" w:hAnsiTheme="minorHAnsi" w:cstheme="minorHAnsi"/>
                <w:b/>
              </w:rPr>
            </w:pPr>
          </w:p>
          <w:p w14:paraId="312770D1" w14:textId="77777777" w:rsidR="00094656" w:rsidRPr="00640161" w:rsidRDefault="00094656" w:rsidP="0067273F">
            <w:pPr>
              <w:pStyle w:val="TableParagraph"/>
              <w:keepNext/>
              <w:keepLines/>
              <w:widowControl/>
              <w:ind w:right="97"/>
              <w:rPr>
                <w:rFonts w:asciiTheme="minorHAnsi" w:hAnsiTheme="minorHAnsi" w:cstheme="minorHAnsi"/>
                <w:spacing w:val="-2"/>
              </w:rPr>
            </w:pPr>
            <w:hyperlink r:id="rId37">
              <w:r w:rsidRPr="00640161">
                <w:rPr>
                  <w:rFonts w:asciiTheme="minorHAnsi" w:hAnsiTheme="minorHAnsi" w:cstheme="minorHAnsi"/>
                  <w:spacing w:val="-2"/>
                </w:rPr>
                <w:t>https://w</w:t>
              </w:r>
            </w:hyperlink>
            <w:r w:rsidRPr="00640161">
              <w:rPr>
                <w:rFonts w:asciiTheme="minorHAnsi" w:hAnsiTheme="minorHAnsi" w:cstheme="minorHAnsi"/>
                <w:spacing w:val="-2"/>
              </w:rPr>
              <w:t>ww.nhm</w:t>
            </w:r>
            <w:hyperlink r:id="rId38">
              <w:r w:rsidRPr="00640161">
                <w:rPr>
                  <w:rFonts w:asciiTheme="minorHAnsi" w:hAnsiTheme="minorHAnsi" w:cstheme="minorHAnsi"/>
                  <w:spacing w:val="-2"/>
                </w:rPr>
                <w:t>rc.</w:t>
              </w:r>
            </w:hyperlink>
            <w:r w:rsidRPr="00640161">
              <w:rPr>
                <w:rFonts w:asciiTheme="minorHAnsi" w:hAnsiTheme="minorHAnsi" w:cstheme="minorHAnsi"/>
                <w:spacing w:val="-2"/>
              </w:rPr>
              <w:t>g</w:t>
            </w:r>
            <w:hyperlink r:id="rId39">
              <w:r w:rsidRPr="00640161">
                <w:rPr>
                  <w:rFonts w:asciiTheme="minorHAnsi" w:hAnsiTheme="minorHAnsi" w:cstheme="minorHAnsi"/>
                  <w:spacing w:val="-2"/>
                </w:rPr>
                <w:t>ov</w:t>
              </w:r>
            </w:hyperlink>
            <w:r w:rsidRPr="00640161">
              <w:rPr>
                <w:rFonts w:asciiTheme="minorHAnsi" w:hAnsiTheme="minorHAnsi" w:cstheme="minorHAnsi"/>
                <w:spacing w:val="-2"/>
              </w:rPr>
              <w:t>.</w:t>
            </w:r>
            <w:hyperlink r:id="rId40">
              <w:r w:rsidRPr="00640161">
                <w:rPr>
                  <w:rFonts w:asciiTheme="minorHAnsi" w:hAnsiTheme="minorHAnsi" w:cstheme="minorHAnsi"/>
                  <w:spacing w:val="-2"/>
                </w:rPr>
                <w:t>au/about-</w:t>
              </w:r>
            </w:hyperlink>
            <w:r w:rsidRPr="00640161">
              <w:rPr>
                <w:rFonts w:asciiTheme="minorHAnsi" w:hAnsiTheme="minorHAnsi" w:cstheme="minorHAnsi"/>
                <w:spacing w:val="-2"/>
              </w:rPr>
              <w:t>us/publications/ethical-guidelines-organ-transplantation-deceased-donors</w:t>
            </w:r>
          </w:p>
        </w:tc>
        <w:tc>
          <w:tcPr>
            <w:tcW w:w="1417" w:type="dxa"/>
          </w:tcPr>
          <w:p w14:paraId="511FD3D2"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 xml:space="preserve">NHMRC </w:t>
            </w:r>
          </w:p>
        </w:tc>
        <w:tc>
          <w:tcPr>
            <w:tcW w:w="1560" w:type="dxa"/>
          </w:tcPr>
          <w:p w14:paraId="4D0E0D9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Ethics</w:t>
            </w:r>
          </w:p>
        </w:tc>
        <w:tc>
          <w:tcPr>
            <w:tcW w:w="2126" w:type="dxa"/>
          </w:tcPr>
          <w:p w14:paraId="2F2BF55B"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447070E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“Sex”, “female”, “male” not found in text search.</w:t>
            </w:r>
          </w:p>
          <w:p w14:paraId="28A9689A"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“Gender”</w:t>
            </w:r>
            <w:r w:rsidRPr="00640161">
              <w:rPr>
                <w:rFonts w:asciiTheme="minorHAnsi" w:hAnsiTheme="minorHAnsi" w:cstheme="minorHAnsi"/>
                <w:spacing w:val="-5"/>
              </w:rPr>
              <w:t xml:space="preserve"> </w:t>
            </w:r>
            <w:r w:rsidRPr="00640161">
              <w:rPr>
                <w:rFonts w:asciiTheme="minorHAnsi" w:hAnsiTheme="minorHAnsi" w:cstheme="minorHAnsi"/>
              </w:rPr>
              <w:t>used</w:t>
            </w:r>
            <w:r w:rsidRPr="00640161">
              <w:rPr>
                <w:rFonts w:asciiTheme="minorHAnsi" w:hAnsiTheme="minorHAnsi" w:cstheme="minorHAnsi"/>
                <w:spacing w:val="-5"/>
              </w:rPr>
              <w:t xml:space="preserve"> </w:t>
            </w:r>
            <w:r w:rsidRPr="00640161">
              <w:rPr>
                <w:rFonts w:asciiTheme="minorHAnsi" w:hAnsiTheme="minorHAnsi" w:cstheme="minorHAnsi"/>
              </w:rPr>
              <w:t>for</w:t>
            </w:r>
            <w:r w:rsidRPr="00640161">
              <w:rPr>
                <w:rFonts w:asciiTheme="minorHAnsi" w:hAnsiTheme="minorHAnsi" w:cstheme="minorHAnsi"/>
                <w:spacing w:val="-5"/>
              </w:rPr>
              <w:t xml:space="preserve"> </w:t>
            </w:r>
            <w:r w:rsidRPr="00640161">
              <w:rPr>
                <w:rFonts w:asciiTheme="minorHAnsi" w:hAnsiTheme="minorHAnsi" w:cstheme="minorHAnsi"/>
                <w:spacing w:val="-2"/>
              </w:rPr>
              <w:t>“sex”.</w:t>
            </w:r>
          </w:p>
          <w:p w14:paraId="061EA56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“Woman”, “man” used in case studies.</w:t>
            </w:r>
          </w:p>
        </w:tc>
        <w:tc>
          <w:tcPr>
            <w:tcW w:w="1984" w:type="dxa"/>
          </w:tcPr>
          <w:p w14:paraId="60BB2E03"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Women’s</w:t>
            </w:r>
            <w:r w:rsidRPr="00640161">
              <w:rPr>
                <w:rFonts w:asciiTheme="minorHAnsi" w:hAnsiTheme="minorHAnsi" w:cstheme="minorHAnsi"/>
                <w:spacing w:val="-13"/>
              </w:rPr>
              <w:t xml:space="preserve"> </w:t>
            </w:r>
            <w:r w:rsidRPr="00640161">
              <w:rPr>
                <w:rFonts w:asciiTheme="minorHAnsi" w:hAnsiTheme="minorHAnsi" w:cstheme="minorHAnsi"/>
              </w:rPr>
              <w:t>experience</w:t>
            </w:r>
            <w:r w:rsidRPr="00640161">
              <w:rPr>
                <w:rFonts w:asciiTheme="minorHAnsi" w:hAnsiTheme="minorHAnsi" w:cstheme="minorHAnsi"/>
                <w:spacing w:val="-12"/>
              </w:rPr>
              <w:t xml:space="preserve"> </w:t>
            </w:r>
            <w:r w:rsidRPr="00640161">
              <w:rPr>
                <w:rFonts w:asciiTheme="minorHAnsi" w:hAnsiTheme="minorHAnsi" w:cstheme="minorHAnsi"/>
              </w:rPr>
              <w:t>of</w:t>
            </w:r>
            <w:r w:rsidRPr="00640161">
              <w:rPr>
                <w:rFonts w:asciiTheme="minorHAnsi" w:hAnsiTheme="minorHAnsi" w:cstheme="minorHAnsi"/>
                <w:spacing w:val="-13"/>
              </w:rPr>
              <w:t xml:space="preserve"> </w:t>
            </w:r>
            <w:r w:rsidRPr="00640161">
              <w:rPr>
                <w:rFonts w:asciiTheme="minorHAnsi" w:hAnsiTheme="minorHAnsi" w:cstheme="minorHAnsi"/>
              </w:rPr>
              <w:t>being an organ recipient.</w:t>
            </w:r>
          </w:p>
          <w:p w14:paraId="07E116A4"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“Gender” (sex) should be considered to prevent discrimination</w:t>
            </w:r>
            <w:r w:rsidRPr="00640161">
              <w:rPr>
                <w:rFonts w:asciiTheme="minorHAnsi" w:hAnsiTheme="minorHAnsi" w:cstheme="minorHAnsi"/>
                <w:spacing w:val="-13"/>
              </w:rPr>
              <w:t xml:space="preserve"> </w:t>
            </w:r>
            <w:r w:rsidRPr="00640161">
              <w:rPr>
                <w:rFonts w:asciiTheme="minorHAnsi" w:hAnsiTheme="minorHAnsi" w:cstheme="minorHAnsi"/>
              </w:rPr>
              <w:t>against</w:t>
            </w:r>
            <w:r w:rsidRPr="00640161">
              <w:rPr>
                <w:rFonts w:asciiTheme="minorHAnsi" w:hAnsiTheme="minorHAnsi" w:cstheme="minorHAnsi"/>
                <w:spacing w:val="-12"/>
              </w:rPr>
              <w:t xml:space="preserve"> </w:t>
            </w:r>
            <w:r w:rsidRPr="00640161">
              <w:rPr>
                <w:rFonts w:asciiTheme="minorHAnsi" w:hAnsiTheme="minorHAnsi" w:cstheme="minorHAnsi"/>
              </w:rPr>
              <w:t xml:space="preserve">potential </w:t>
            </w:r>
            <w:r w:rsidRPr="00640161">
              <w:rPr>
                <w:rFonts w:asciiTheme="minorHAnsi" w:hAnsiTheme="minorHAnsi" w:cstheme="minorHAnsi"/>
                <w:spacing w:val="-2"/>
              </w:rPr>
              <w:t>recipients.</w:t>
            </w:r>
          </w:p>
        </w:tc>
        <w:tc>
          <w:tcPr>
            <w:tcW w:w="1843" w:type="dxa"/>
          </w:tcPr>
          <w:p w14:paraId="612E341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49258FC" w14:textId="77777777" w:rsidR="00094656" w:rsidRPr="00640161" w:rsidRDefault="00094656" w:rsidP="0067273F">
            <w:pPr>
              <w:pStyle w:val="TableParagraph"/>
              <w:ind w:left="102"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2D1A5846" w14:textId="77777777" w:rsidTr="0067273F">
        <w:trPr>
          <w:cantSplit/>
        </w:trPr>
        <w:tc>
          <w:tcPr>
            <w:tcW w:w="1575" w:type="dxa"/>
          </w:tcPr>
          <w:p w14:paraId="0B32B70D"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National</w:t>
            </w:r>
            <w:r w:rsidRPr="00640161">
              <w:rPr>
                <w:rFonts w:asciiTheme="minorHAnsi" w:hAnsiTheme="minorHAnsi" w:cstheme="minorHAnsi"/>
                <w:b/>
                <w:spacing w:val="-13"/>
              </w:rPr>
              <w:t xml:space="preserve"> </w:t>
            </w:r>
            <w:r w:rsidRPr="00640161">
              <w:rPr>
                <w:rFonts w:asciiTheme="minorHAnsi" w:hAnsiTheme="minorHAnsi" w:cstheme="minorHAnsi"/>
                <w:b/>
              </w:rPr>
              <w:t>Health</w:t>
            </w:r>
            <w:r w:rsidRPr="00640161">
              <w:rPr>
                <w:rFonts w:asciiTheme="minorHAnsi" w:hAnsiTheme="minorHAnsi" w:cstheme="minorHAnsi"/>
                <w:b/>
                <w:spacing w:val="-12"/>
              </w:rPr>
              <w:t xml:space="preserve"> </w:t>
            </w:r>
            <w:r w:rsidRPr="00640161">
              <w:rPr>
                <w:rFonts w:asciiTheme="minorHAnsi" w:hAnsiTheme="minorHAnsi" w:cstheme="minorHAnsi"/>
                <w:b/>
              </w:rPr>
              <w:t>and Medical Research Council (NHMRC)</w:t>
            </w:r>
          </w:p>
        </w:tc>
        <w:tc>
          <w:tcPr>
            <w:tcW w:w="3119" w:type="dxa"/>
          </w:tcPr>
          <w:p w14:paraId="33A52FBC" w14:textId="77777777" w:rsidR="00094656" w:rsidRPr="00640161" w:rsidRDefault="00094656" w:rsidP="0067273F">
            <w:pPr>
              <w:pStyle w:val="TableParagraph"/>
              <w:ind w:right="199"/>
              <w:rPr>
                <w:rFonts w:asciiTheme="minorHAnsi" w:hAnsiTheme="minorHAnsi" w:cstheme="minorHAnsi"/>
              </w:rPr>
            </w:pPr>
            <w:r w:rsidRPr="00284797">
              <w:rPr>
                <w:rFonts w:asciiTheme="minorHAnsi" w:hAnsiTheme="minorHAnsi" w:cstheme="minorHAnsi"/>
              </w:rPr>
              <w:t>Australian Guidelines for Prevention and</w:t>
            </w:r>
            <w:r w:rsidRPr="00284797">
              <w:rPr>
                <w:rFonts w:asciiTheme="minorHAnsi" w:hAnsiTheme="minorHAnsi" w:cstheme="minorHAnsi"/>
                <w:spacing w:val="-8"/>
              </w:rPr>
              <w:t xml:space="preserve"> </w:t>
            </w:r>
            <w:r w:rsidRPr="00284797">
              <w:rPr>
                <w:rFonts w:asciiTheme="minorHAnsi" w:hAnsiTheme="minorHAnsi" w:cstheme="minorHAnsi"/>
              </w:rPr>
              <w:t>Control</w:t>
            </w:r>
            <w:r w:rsidRPr="00284797">
              <w:rPr>
                <w:rFonts w:asciiTheme="minorHAnsi" w:hAnsiTheme="minorHAnsi" w:cstheme="minorHAnsi"/>
                <w:spacing w:val="-8"/>
              </w:rPr>
              <w:t xml:space="preserve"> </w:t>
            </w:r>
            <w:r w:rsidRPr="00284797">
              <w:rPr>
                <w:rFonts w:asciiTheme="minorHAnsi" w:hAnsiTheme="minorHAnsi" w:cstheme="minorHAnsi"/>
              </w:rPr>
              <w:t>of</w:t>
            </w:r>
            <w:r w:rsidRPr="00284797">
              <w:rPr>
                <w:rFonts w:asciiTheme="minorHAnsi" w:hAnsiTheme="minorHAnsi" w:cstheme="minorHAnsi"/>
                <w:spacing w:val="-8"/>
              </w:rPr>
              <w:t xml:space="preserve"> </w:t>
            </w:r>
            <w:r w:rsidRPr="00284797">
              <w:rPr>
                <w:rFonts w:asciiTheme="minorHAnsi" w:hAnsiTheme="minorHAnsi" w:cstheme="minorHAnsi"/>
              </w:rPr>
              <w:t>Infection</w:t>
            </w:r>
            <w:r w:rsidRPr="00284797">
              <w:rPr>
                <w:rFonts w:asciiTheme="minorHAnsi" w:hAnsiTheme="minorHAnsi" w:cstheme="minorHAnsi"/>
                <w:spacing w:val="-8"/>
              </w:rPr>
              <w:t xml:space="preserve"> </w:t>
            </w:r>
            <w:r w:rsidRPr="00284797">
              <w:rPr>
                <w:rFonts w:asciiTheme="minorHAnsi" w:hAnsiTheme="minorHAnsi" w:cstheme="minorHAnsi"/>
              </w:rPr>
              <w:t>in</w:t>
            </w:r>
            <w:r w:rsidRPr="00284797">
              <w:rPr>
                <w:rFonts w:asciiTheme="minorHAnsi" w:hAnsiTheme="minorHAnsi" w:cstheme="minorHAnsi"/>
                <w:spacing w:val="-8"/>
              </w:rPr>
              <w:t xml:space="preserve"> </w:t>
            </w:r>
            <w:r w:rsidRPr="00284797">
              <w:rPr>
                <w:rFonts w:asciiTheme="minorHAnsi" w:hAnsiTheme="minorHAnsi" w:cstheme="minorHAnsi"/>
              </w:rPr>
              <w:t xml:space="preserve">Healthcare, </w:t>
            </w:r>
            <w:r w:rsidRPr="00284797">
              <w:rPr>
                <w:rFonts w:asciiTheme="minorHAnsi" w:hAnsiTheme="minorHAnsi" w:cstheme="minorHAnsi"/>
                <w:spacing w:val="-4"/>
              </w:rPr>
              <w:t>20</w:t>
            </w:r>
            <w:r>
              <w:rPr>
                <w:rFonts w:asciiTheme="minorHAnsi" w:hAnsiTheme="minorHAnsi" w:cstheme="minorHAnsi"/>
                <w:spacing w:val="-4"/>
              </w:rPr>
              <w:t>24</w:t>
            </w:r>
          </w:p>
          <w:p w14:paraId="63251A1C" w14:textId="77777777" w:rsidR="00094656" w:rsidRPr="00640161" w:rsidRDefault="00094656" w:rsidP="0067273F">
            <w:pPr>
              <w:pStyle w:val="TableParagraph"/>
              <w:spacing w:before="8"/>
              <w:ind w:left="0"/>
              <w:rPr>
                <w:rFonts w:asciiTheme="minorHAnsi" w:hAnsiTheme="minorHAnsi" w:cstheme="minorHAnsi"/>
                <w:b/>
              </w:rPr>
            </w:pPr>
          </w:p>
          <w:p w14:paraId="216783B5" w14:textId="77777777" w:rsidR="00094656" w:rsidRPr="00640161" w:rsidRDefault="00094656" w:rsidP="0067273F">
            <w:pPr>
              <w:pStyle w:val="TableParagraph"/>
              <w:ind w:right="97"/>
              <w:rPr>
                <w:rFonts w:asciiTheme="minorHAnsi" w:hAnsiTheme="minorHAnsi" w:cstheme="minorHAnsi"/>
                <w:spacing w:val="-2"/>
              </w:rPr>
            </w:pPr>
            <w:r w:rsidRPr="00284797">
              <w:t>https://www.safetyandquality.gov.au/sites/default/files/2024-01/australian_guidelines_for_the_prevention_and_control_of_infection_in_healthcare_current_version_v11.22_9_january_2024.pdf</w:t>
            </w:r>
          </w:p>
        </w:tc>
        <w:tc>
          <w:tcPr>
            <w:tcW w:w="1417" w:type="dxa"/>
          </w:tcPr>
          <w:p w14:paraId="1B3480EF"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NHMRC</w:t>
            </w:r>
          </w:p>
        </w:tc>
        <w:tc>
          <w:tcPr>
            <w:tcW w:w="1560" w:type="dxa"/>
          </w:tcPr>
          <w:p w14:paraId="484323E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Infectious diseases</w:t>
            </w:r>
          </w:p>
        </w:tc>
        <w:tc>
          <w:tcPr>
            <w:tcW w:w="2126" w:type="dxa"/>
          </w:tcPr>
          <w:p w14:paraId="52C5D911" w14:textId="77777777" w:rsidR="00094656" w:rsidRDefault="00094656" w:rsidP="0067273F">
            <w:pPr>
              <w:pStyle w:val="TableParagraph"/>
              <w:rPr>
                <w:rFonts w:asciiTheme="minorHAnsi" w:hAnsiTheme="minorHAnsi" w:cstheme="minorHAnsi"/>
              </w:rPr>
            </w:pPr>
            <w:r>
              <w:rPr>
                <w:rFonts w:asciiTheme="minorHAnsi" w:hAnsiTheme="minorHAnsi" w:cstheme="minorHAnsi"/>
              </w:rPr>
              <w:t>No definitions.</w:t>
            </w:r>
          </w:p>
          <w:p w14:paraId="0B255432"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used once to mean “sex”. “Sex” used twice for epidemiological data.</w:t>
            </w:r>
          </w:p>
          <w:p w14:paraId="321BAEAC"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“Women” found once. “Female”, “male” not found.</w:t>
            </w:r>
          </w:p>
        </w:tc>
        <w:tc>
          <w:tcPr>
            <w:tcW w:w="1984" w:type="dxa"/>
          </w:tcPr>
          <w:p w14:paraId="6B08D246"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r>
              <w:rPr>
                <w:rFonts w:asciiTheme="minorHAnsi" w:hAnsiTheme="minorHAnsi" w:cstheme="minorHAnsi"/>
                <w:spacing w:val="-2"/>
              </w:rPr>
              <w:t>, apart from caution for pregnant women.</w:t>
            </w:r>
          </w:p>
        </w:tc>
        <w:tc>
          <w:tcPr>
            <w:tcW w:w="1843" w:type="dxa"/>
          </w:tcPr>
          <w:p w14:paraId="4C77C6CF"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2A12C4F3"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0DA754AF" w14:textId="77777777" w:rsidTr="0067273F">
        <w:trPr>
          <w:cantSplit/>
        </w:trPr>
        <w:tc>
          <w:tcPr>
            <w:tcW w:w="1575" w:type="dxa"/>
          </w:tcPr>
          <w:p w14:paraId="66B93F88"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lastRenderedPageBreak/>
              <w:t>National</w:t>
            </w:r>
            <w:r w:rsidRPr="00640161">
              <w:rPr>
                <w:rFonts w:asciiTheme="minorHAnsi" w:hAnsiTheme="minorHAnsi" w:cstheme="minorHAnsi"/>
                <w:b/>
                <w:spacing w:val="-13"/>
              </w:rPr>
              <w:t xml:space="preserve"> </w:t>
            </w:r>
            <w:r w:rsidRPr="00640161">
              <w:rPr>
                <w:rFonts w:asciiTheme="minorHAnsi" w:hAnsiTheme="minorHAnsi" w:cstheme="minorHAnsi"/>
                <w:b/>
              </w:rPr>
              <w:t>Health</w:t>
            </w:r>
            <w:r w:rsidRPr="00640161">
              <w:rPr>
                <w:rFonts w:asciiTheme="minorHAnsi" w:hAnsiTheme="minorHAnsi" w:cstheme="minorHAnsi"/>
                <w:b/>
                <w:spacing w:val="-12"/>
              </w:rPr>
              <w:t xml:space="preserve"> </w:t>
            </w:r>
            <w:r w:rsidRPr="00640161">
              <w:rPr>
                <w:rFonts w:asciiTheme="minorHAnsi" w:hAnsiTheme="minorHAnsi" w:cstheme="minorHAnsi"/>
                <w:b/>
              </w:rPr>
              <w:t>and Medical Research Council (NHMRC)</w:t>
            </w:r>
          </w:p>
        </w:tc>
        <w:tc>
          <w:tcPr>
            <w:tcW w:w="3119" w:type="dxa"/>
          </w:tcPr>
          <w:p w14:paraId="6BC736E5"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Australian</w:t>
            </w:r>
            <w:r w:rsidRPr="00640161">
              <w:rPr>
                <w:rFonts w:asciiTheme="minorHAnsi" w:hAnsiTheme="minorHAnsi" w:cstheme="minorHAnsi"/>
                <w:spacing w:val="-9"/>
              </w:rPr>
              <w:t xml:space="preserve"> </w:t>
            </w:r>
            <w:r w:rsidRPr="00640161">
              <w:rPr>
                <w:rFonts w:asciiTheme="minorHAnsi" w:hAnsiTheme="minorHAnsi" w:cstheme="minorHAnsi"/>
              </w:rPr>
              <w:t>guidelines</w:t>
            </w:r>
            <w:r w:rsidRPr="00640161">
              <w:rPr>
                <w:rFonts w:asciiTheme="minorHAnsi" w:hAnsiTheme="minorHAnsi" w:cstheme="minorHAnsi"/>
                <w:spacing w:val="-9"/>
              </w:rPr>
              <w:t xml:space="preserve"> </w:t>
            </w:r>
            <w:r w:rsidRPr="00640161">
              <w:rPr>
                <w:rFonts w:asciiTheme="minorHAnsi" w:hAnsiTheme="minorHAnsi" w:cstheme="minorHAnsi"/>
              </w:rPr>
              <w:t>to</w:t>
            </w:r>
            <w:r w:rsidRPr="00640161">
              <w:rPr>
                <w:rFonts w:asciiTheme="minorHAnsi" w:hAnsiTheme="minorHAnsi" w:cstheme="minorHAnsi"/>
                <w:spacing w:val="-9"/>
              </w:rPr>
              <w:t xml:space="preserve"> </w:t>
            </w:r>
            <w:r w:rsidRPr="00640161">
              <w:rPr>
                <w:rFonts w:asciiTheme="minorHAnsi" w:hAnsiTheme="minorHAnsi" w:cstheme="minorHAnsi"/>
              </w:rPr>
              <w:t>reduce</w:t>
            </w:r>
            <w:r w:rsidRPr="00640161">
              <w:rPr>
                <w:rFonts w:asciiTheme="minorHAnsi" w:hAnsiTheme="minorHAnsi" w:cstheme="minorHAnsi"/>
                <w:spacing w:val="-9"/>
              </w:rPr>
              <w:t xml:space="preserve"> </w:t>
            </w:r>
            <w:r w:rsidRPr="00640161">
              <w:rPr>
                <w:rFonts w:asciiTheme="minorHAnsi" w:hAnsiTheme="minorHAnsi" w:cstheme="minorHAnsi"/>
              </w:rPr>
              <w:t>health risks from drinking alcohol, 2020</w:t>
            </w:r>
          </w:p>
          <w:p w14:paraId="5491DE02" w14:textId="77777777" w:rsidR="00094656" w:rsidRPr="00640161" w:rsidRDefault="00094656" w:rsidP="0067273F">
            <w:pPr>
              <w:pStyle w:val="TableParagraph"/>
              <w:ind w:left="0"/>
              <w:rPr>
                <w:rFonts w:asciiTheme="minorHAnsi" w:hAnsiTheme="minorHAnsi" w:cstheme="minorHAnsi"/>
                <w:b/>
              </w:rPr>
            </w:pPr>
          </w:p>
          <w:p w14:paraId="7AFEE570" w14:textId="77777777" w:rsidR="00094656" w:rsidRPr="00640161" w:rsidRDefault="00094656" w:rsidP="0067273F">
            <w:pPr>
              <w:pStyle w:val="TableParagraph"/>
              <w:ind w:right="97"/>
              <w:rPr>
                <w:rFonts w:asciiTheme="minorHAnsi" w:hAnsiTheme="minorHAnsi" w:cstheme="minorHAnsi"/>
                <w:highlight w:val="yellow"/>
              </w:rPr>
            </w:pPr>
            <w:hyperlink r:id="rId41">
              <w:r w:rsidRPr="00640161">
                <w:rPr>
                  <w:rFonts w:asciiTheme="minorHAnsi" w:hAnsiTheme="minorHAnsi" w:cstheme="minorHAnsi"/>
                  <w:spacing w:val="-2"/>
                </w:rPr>
                <w:t>https://w</w:t>
              </w:r>
            </w:hyperlink>
            <w:r w:rsidRPr="00640161">
              <w:rPr>
                <w:rFonts w:asciiTheme="minorHAnsi" w:hAnsiTheme="minorHAnsi" w:cstheme="minorHAnsi"/>
                <w:spacing w:val="-2"/>
              </w:rPr>
              <w:t>ww.nhm</w:t>
            </w:r>
            <w:hyperlink r:id="rId42">
              <w:r w:rsidRPr="00640161">
                <w:rPr>
                  <w:rFonts w:asciiTheme="minorHAnsi" w:hAnsiTheme="minorHAnsi" w:cstheme="minorHAnsi"/>
                  <w:spacing w:val="-2"/>
                </w:rPr>
                <w:t>rc.</w:t>
              </w:r>
            </w:hyperlink>
            <w:r w:rsidRPr="00640161">
              <w:rPr>
                <w:rFonts w:asciiTheme="minorHAnsi" w:hAnsiTheme="minorHAnsi" w:cstheme="minorHAnsi"/>
                <w:spacing w:val="-2"/>
              </w:rPr>
              <w:t>g</w:t>
            </w:r>
            <w:hyperlink r:id="rId43">
              <w:r w:rsidRPr="00640161">
                <w:rPr>
                  <w:rFonts w:asciiTheme="minorHAnsi" w:hAnsiTheme="minorHAnsi" w:cstheme="minorHAnsi"/>
                  <w:spacing w:val="-2"/>
                </w:rPr>
                <w:t>ov</w:t>
              </w:r>
            </w:hyperlink>
            <w:r w:rsidRPr="00640161">
              <w:rPr>
                <w:rFonts w:asciiTheme="minorHAnsi" w:hAnsiTheme="minorHAnsi" w:cstheme="minorHAnsi"/>
                <w:spacing w:val="-2"/>
              </w:rPr>
              <w:t>.</w:t>
            </w:r>
            <w:hyperlink r:id="rId44">
              <w:r w:rsidRPr="00640161">
                <w:rPr>
                  <w:rFonts w:asciiTheme="minorHAnsi" w:hAnsiTheme="minorHAnsi" w:cstheme="minorHAnsi"/>
                  <w:spacing w:val="-2"/>
                </w:rPr>
                <w:t>au/about-</w:t>
              </w:r>
            </w:hyperlink>
            <w:r w:rsidRPr="00640161">
              <w:rPr>
                <w:rFonts w:asciiTheme="minorHAnsi" w:hAnsiTheme="minorHAnsi" w:cstheme="minorHAnsi"/>
                <w:spacing w:val="-2"/>
              </w:rPr>
              <w:t>us/publications/australian-guidelines-reduce-health-risks-drinking-alcohol#block-views-block-file-attachments-content-block-1</w:t>
            </w:r>
          </w:p>
        </w:tc>
        <w:tc>
          <w:tcPr>
            <w:tcW w:w="1417" w:type="dxa"/>
          </w:tcPr>
          <w:p w14:paraId="1FB4FD6A"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NHMRC</w:t>
            </w:r>
          </w:p>
        </w:tc>
        <w:tc>
          <w:tcPr>
            <w:tcW w:w="1560" w:type="dxa"/>
          </w:tcPr>
          <w:p w14:paraId="7D6A8B6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General</w:t>
            </w:r>
          </w:p>
        </w:tc>
        <w:tc>
          <w:tcPr>
            <w:tcW w:w="2126" w:type="dxa"/>
          </w:tcPr>
          <w:p w14:paraId="7B7385BF"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“Gender” not found in text search.</w:t>
            </w:r>
          </w:p>
          <w:p w14:paraId="19DEF696"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“Sex” used accurately, undefined.</w:t>
            </w:r>
          </w:p>
          <w:p w14:paraId="19A69842" w14:textId="77777777" w:rsidR="00094656" w:rsidRPr="00640161" w:rsidRDefault="00094656" w:rsidP="0067273F">
            <w:pPr>
              <w:pStyle w:val="TableParagraph"/>
              <w:ind w:left="0"/>
              <w:rPr>
                <w:rFonts w:asciiTheme="minorHAnsi" w:hAnsiTheme="minorHAnsi" w:cstheme="minorHAnsi"/>
              </w:rPr>
            </w:pPr>
          </w:p>
        </w:tc>
        <w:tc>
          <w:tcPr>
            <w:tcW w:w="1984" w:type="dxa"/>
          </w:tcPr>
          <w:p w14:paraId="272BE58F"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prevalence, risk factors, management, treatment</w:t>
            </w:r>
            <w:r w:rsidRPr="00640161">
              <w:rPr>
                <w:rFonts w:asciiTheme="minorHAnsi" w:hAnsiTheme="minorHAnsi" w:cstheme="minorHAnsi"/>
                <w:spacing w:val="-13"/>
              </w:rPr>
              <w:t xml:space="preserve"> </w:t>
            </w:r>
            <w:r w:rsidRPr="00640161">
              <w:rPr>
                <w:rFonts w:asciiTheme="minorHAnsi" w:hAnsiTheme="minorHAnsi" w:cstheme="minorHAnsi"/>
              </w:rPr>
              <w:t>recommendations. Precautions in relation to pregnancy</w:t>
            </w:r>
            <w:r w:rsidRPr="00640161">
              <w:rPr>
                <w:rFonts w:asciiTheme="minorHAnsi" w:hAnsiTheme="minorHAnsi" w:cstheme="minorHAnsi"/>
                <w:spacing w:val="-13"/>
              </w:rPr>
              <w:t xml:space="preserve"> </w:t>
            </w:r>
            <w:r>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breastfeeding.</w:t>
            </w:r>
          </w:p>
        </w:tc>
        <w:tc>
          <w:tcPr>
            <w:tcW w:w="1843" w:type="dxa"/>
          </w:tcPr>
          <w:p w14:paraId="5A1260A9"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Pr>
                <w:rFonts w:asciiTheme="minorHAnsi" w:hAnsiTheme="minorHAnsi" w:cstheme="minorHAnsi"/>
                <w:spacing w:val="-4"/>
              </w:rPr>
              <w:t xml:space="preserve">specific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0E1318B3"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619F3231" w14:textId="77777777" w:rsidTr="0067273F">
        <w:trPr>
          <w:cantSplit/>
        </w:trPr>
        <w:tc>
          <w:tcPr>
            <w:tcW w:w="1575" w:type="dxa"/>
          </w:tcPr>
          <w:p w14:paraId="67688641" w14:textId="77777777" w:rsidR="00094656" w:rsidRPr="00640161" w:rsidRDefault="00094656" w:rsidP="0067273F">
            <w:pPr>
              <w:pStyle w:val="TableParagraph"/>
              <w:ind w:left="110" w:right="215"/>
              <w:rPr>
                <w:rFonts w:asciiTheme="minorHAnsi" w:hAnsiTheme="minorHAnsi" w:cstheme="minorHAnsi"/>
                <w:b/>
              </w:rPr>
            </w:pPr>
            <w:r w:rsidRPr="00640161">
              <w:rPr>
                <w:rFonts w:asciiTheme="minorHAnsi" w:hAnsiTheme="minorHAnsi" w:cstheme="minorHAnsi"/>
                <w:b/>
              </w:rPr>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Heart Foundation of </w:t>
            </w:r>
            <w:r w:rsidRPr="00640161">
              <w:rPr>
                <w:rFonts w:asciiTheme="minorHAnsi" w:hAnsiTheme="minorHAnsi" w:cstheme="minorHAnsi"/>
                <w:b/>
                <w:spacing w:val="-2"/>
              </w:rPr>
              <w:t>Australia</w:t>
            </w:r>
          </w:p>
        </w:tc>
        <w:tc>
          <w:tcPr>
            <w:tcW w:w="3119" w:type="dxa"/>
          </w:tcPr>
          <w:p w14:paraId="2FF34CCC" w14:textId="77777777" w:rsidR="00094656" w:rsidRDefault="00094656" w:rsidP="0067273F">
            <w:pPr>
              <w:pStyle w:val="TableParagraph"/>
              <w:keepNext/>
              <w:keepLines/>
              <w:widowControl/>
              <w:ind w:left="108" w:right="96"/>
              <w:rPr>
                <w:rFonts w:asciiTheme="minorHAnsi" w:hAnsiTheme="minorHAnsi" w:cstheme="minorHAnsi"/>
                <w:spacing w:val="-4"/>
              </w:rPr>
            </w:pPr>
            <w:r w:rsidRPr="009B53EE">
              <w:rPr>
                <w:rFonts w:asciiTheme="minorHAnsi" w:hAnsiTheme="minorHAnsi" w:cstheme="minorHAnsi"/>
              </w:rPr>
              <w:t>Guideline for diagnosis and management</w:t>
            </w:r>
            <w:r w:rsidRPr="009B53EE">
              <w:rPr>
                <w:rFonts w:asciiTheme="minorHAnsi" w:hAnsiTheme="minorHAnsi" w:cstheme="minorHAnsi"/>
                <w:spacing w:val="-12"/>
              </w:rPr>
              <w:t xml:space="preserve"> </w:t>
            </w:r>
            <w:r w:rsidRPr="009B53EE">
              <w:rPr>
                <w:rFonts w:asciiTheme="minorHAnsi" w:hAnsiTheme="minorHAnsi" w:cstheme="minorHAnsi"/>
              </w:rPr>
              <w:t>hypertension</w:t>
            </w:r>
            <w:r w:rsidRPr="009B53EE">
              <w:rPr>
                <w:rFonts w:asciiTheme="minorHAnsi" w:hAnsiTheme="minorHAnsi" w:cstheme="minorHAnsi"/>
                <w:spacing w:val="-12"/>
              </w:rPr>
              <w:t xml:space="preserve"> </w:t>
            </w:r>
            <w:r w:rsidRPr="009B53EE">
              <w:rPr>
                <w:rFonts w:asciiTheme="minorHAnsi" w:hAnsiTheme="minorHAnsi" w:cstheme="minorHAnsi"/>
              </w:rPr>
              <w:t>in</w:t>
            </w:r>
            <w:r w:rsidRPr="009B53EE">
              <w:rPr>
                <w:rFonts w:asciiTheme="minorHAnsi" w:hAnsiTheme="minorHAnsi" w:cstheme="minorHAnsi"/>
                <w:spacing w:val="-12"/>
              </w:rPr>
              <w:t xml:space="preserve"> </w:t>
            </w:r>
            <w:r w:rsidRPr="009B53EE">
              <w:rPr>
                <w:rFonts w:asciiTheme="minorHAnsi" w:hAnsiTheme="minorHAnsi" w:cstheme="minorHAnsi"/>
              </w:rPr>
              <w:t xml:space="preserve">adults, </w:t>
            </w:r>
            <w:r w:rsidRPr="009B53EE">
              <w:rPr>
                <w:rFonts w:asciiTheme="minorHAnsi" w:hAnsiTheme="minorHAnsi" w:cstheme="minorHAnsi"/>
                <w:spacing w:val="-4"/>
              </w:rPr>
              <w:t>2016</w:t>
            </w:r>
          </w:p>
          <w:p w14:paraId="23D5F824" w14:textId="77777777" w:rsidR="00094656" w:rsidRDefault="00094656" w:rsidP="0067273F">
            <w:pPr>
              <w:pStyle w:val="TableParagraph"/>
              <w:keepNext/>
              <w:keepLines/>
              <w:widowControl/>
              <w:ind w:left="108" w:right="96"/>
              <w:rPr>
                <w:rFonts w:asciiTheme="minorHAnsi" w:hAnsiTheme="minorHAnsi" w:cstheme="minorHAnsi"/>
                <w:spacing w:val="-4"/>
              </w:rPr>
            </w:pPr>
          </w:p>
          <w:p w14:paraId="629D423C" w14:textId="77777777" w:rsidR="00094656" w:rsidRDefault="00094656" w:rsidP="0067273F">
            <w:pPr>
              <w:pStyle w:val="TableParagraph"/>
              <w:keepNext/>
              <w:keepLines/>
              <w:widowControl/>
              <w:ind w:left="108" w:right="96"/>
              <w:rPr>
                <w:rFonts w:asciiTheme="minorHAnsi" w:hAnsiTheme="minorHAnsi" w:cstheme="minorHAnsi"/>
                <w:spacing w:val="-4"/>
              </w:rPr>
            </w:pPr>
            <w:r w:rsidRPr="009C6774">
              <w:t>01_Hypertension-guideline-2016_WEB.pdf (contentstack.io)</w:t>
            </w:r>
          </w:p>
          <w:p w14:paraId="4602EABD" w14:textId="77777777" w:rsidR="00094656" w:rsidRPr="002117A3" w:rsidRDefault="00094656" w:rsidP="0067273F">
            <w:pPr>
              <w:pStyle w:val="TableParagraph"/>
              <w:keepNext/>
              <w:keepLines/>
              <w:widowControl/>
              <w:ind w:left="108" w:right="96"/>
              <w:rPr>
                <w:rFonts w:asciiTheme="minorHAnsi" w:hAnsiTheme="minorHAnsi" w:cstheme="minorHAnsi"/>
                <w:spacing w:val="-4"/>
              </w:rPr>
            </w:pPr>
          </w:p>
          <w:p w14:paraId="78F4208F" w14:textId="77777777" w:rsidR="00094656" w:rsidRPr="000B7058" w:rsidRDefault="00094656" w:rsidP="0067273F">
            <w:pPr>
              <w:pStyle w:val="TableParagraph"/>
              <w:keepNext/>
              <w:keepLines/>
              <w:widowControl/>
              <w:ind w:left="108" w:right="96"/>
              <w:rPr>
                <w:rFonts w:asciiTheme="minorHAnsi" w:hAnsiTheme="minorHAnsi" w:cstheme="minorHAnsi"/>
              </w:rPr>
            </w:pPr>
            <w:r w:rsidRPr="009B53EE">
              <w:rPr>
                <w:rFonts w:asciiTheme="minorHAnsi" w:hAnsiTheme="minorHAnsi" w:cstheme="minorHAnsi"/>
                <w:color w:val="222222"/>
                <w:shd w:val="clear" w:color="auto" w:fill="FFFFFF"/>
              </w:rPr>
              <w:t xml:space="preserve">Gabb et al. (2016). Guideline for the diagnosis and management of hypertension in adults—2016. </w:t>
            </w:r>
            <w:r w:rsidRPr="009B53EE">
              <w:rPr>
                <w:rFonts w:asciiTheme="minorHAnsi" w:hAnsiTheme="minorHAnsi" w:cstheme="minorHAnsi"/>
                <w:i/>
                <w:iCs/>
                <w:color w:val="222222"/>
                <w:shd w:val="clear" w:color="auto" w:fill="FFFFFF"/>
              </w:rPr>
              <w:t>Medical Journal of Australia</w:t>
            </w:r>
            <w:r w:rsidRPr="009B53EE">
              <w:rPr>
                <w:rFonts w:asciiTheme="minorHAnsi" w:hAnsiTheme="minorHAnsi" w:cstheme="minorHAnsi"/>
                <w:color w:val="222222"/>
                <w:shd w:val="clear" w:color="auto" w:fill="FFFFFF"/>
              </w:rPr>
              <w:t xml:space="preserve">, </w:t>
            </w:r>
            <w:r w:rsidRPr="009B53EE">
              <w:rPr>
                <w:rFonts w:asciiTheme="minorHAnsi" w:hAnsiTheme="minorHAnsi" w:cstheme="minorHAnsi"/>
                <w:i/>
                <w:iCs/>
                <w:color w:val="222222"/>
                <w:shd w:val="clear" w:color="auto" w:fill="FFFFFF"/>
              </w:rPr>
              <w:t>205</w:t>
            </w:r>
            <w:r w:rsidRPr="009B53EE">
              <w:rPr>
                <w:rFonts w:asciiTheme="minorHAnsi" w:hAnsiTheme="minorHAnsi" w:cstheme="minorHAnsi"/>
                <w:color w:val="222222"/>
                <w:shd w:val="clear" w:color="auto" w:fill="FFFFFF"/>
              </w:rPr>
              <w:t>(2), 85-89. DOI:10.5694/mja16.00526</w:t>
            </w:r>
          </w:p>
        </w:tc>
        <w:tc>
          <w:tcPr>
            <w:tcW w:w="1417" w:type="dxa"/>
          </w:tcPr>
          <w:p w14:paraId="48920E3A" w14:textId="77777777" w:rsidR="00094656" w:rsidRPr="007707D8" w:rsidRDefault="00094656" w:rsidP="0067273F">
            <w:pPr>
              <w:pStyle w:val="TableParagraph"/>
              <w:spacing w:before="0"/>
              <w:rPr>
                <w:rFonts w:asciiTheme="minorHAnsi" w:hAnsiTheme="minorHAnsi" w:cstheme="minorHAnsi"/>
              </w:rPr>
            </w:pPr>
            <w:r w:rsidRPr="007707D8">
              <w:rPr>
                <w:rFonts w:asciiTheme="minorHAnsi" w:hAnsiTheme="minorHAnsi" w:cstheme="minorHAnsi"/>
              </w:rPr>
              <w:t>National</w:t>
            </w:r>
            <w:r w:rsidRPr="007707D8">
              <w:rPr>
                <w:rFonts w:asciiTheme="minorHAnsi" w:hAnsiTheme="minorHAnsi" w:cstheme="minorHAnsi"/>
                <w:spacing w:val="-13"/>
              </w:rPr>
              <w:t xml:space="preserve"> </w:t>
            </w:r>
            <w:r w:rsidRPr="007707D8">
              <w:rPr>
                <w:rFonts w:asciiTheme="minorHAnsi" w:hAnsiTheme="minorHAnsi" w:cstheme="minorHAnsi"/>
              </w:rPr>
              <w:t xml:space="preserve">Heart Foundation of </w:t>
            </w:r>
            <w:r w:rsidRPr="007707D8">
              <w:rPr>
                <w:rFonts w:asciiTheme="minorHAnsi" w:hAnsiTheme="minorHAnsi" w:cstheme="minorHAnsi"/>
                <w:spacing w:val="-2"/>
              </w:rPr>
              <w:t>Australia</w:t>
            </w:r>
          </w:p>
        </w:tc>
        <w:tc>
          <w:tcPr>
            <w:tcW w:w="1560" w:type="dxa"/>
          </w:tcPr>
          <w:p w14:paraId="26389FB6" w14:textId="77777777" w:rsidR="00094656" w:rsidRPr="00640161" w:rsidRDefault="00094656" w:rsidP="0067273F">
            <w:pPr>
              <w:pStyle w:val="TableParagraph"/>
              <w:rPr>
                <w:rFonts w:asciiTheme="minorHAnsi" w:hAnsiTheme="minorHAnsi" w:cstheme="minorHAnsi"/>
              </w:rPr>
            </w:pPr>
            <w:r w:rsidRPr="00640161">
              <w:rPr>
                <w:spacing w:val="-2"/>
              </w:rPr>
              <w:t>Cardiology</w:t>
            </w:r>
          </w:p>
        </w:tc>
        <w:tc>
          <w:tcPr>
            <w:tcW w:w="2126" w:type="dxa"/>
          </w:tcPr>
          <w:p w14:paraId="6553DE62"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“sex”, “women”, “men”, “female”, “male” not found in text search of MJA article.</w:t>
            </w:r>
          </w:p>
          <w:p w14:paraId="5D874A90" w14:textId="77777777" w:rsidR="00094656" w:rsidRDefault="00094656" w:rsidP="0067273F">
            <w:pPr>
              <w:pStyle w:val="TableParagraph"/>
              <w:rPr>
                <w:rFonts w:asciiTheme="minorHAnsi" w:hAnsiTheme="minorHAnsi" w:cstheme="minorHAnsi"/>
              </w:rPr>
            </w:pPr>
          </w:p>
          <w:p w14:paraId="2A4464E9" w14:textId="77777777" w:rsidR="00094656" w:rsidRDefault="00094656" w:rsidP="0067273F">
            <w:pPr>
              <w:pStyle w:val="TableParagraph"/>
              <w:rPr>
                <w:rFonts w:asciiTheme="minorHAnsi" w:hAnsiTheme="minorHAnsi" w:cstheme="minorHAnsi"/>
              </w:rPr>
            </w:pPr>
            <w:r>
              <w:rPr>
                <w:rFonts w:asciiTheme="minorHAnsi" w:hAnsiTheme="minorHAnsi" w:cstheme="minorHAnsi"/>
              </w:rPr>
              <w:t>“Sex” found once in online version. “Women”, “men”, “female”, “male” identified in online version.</w:t>
            </w:r>
          </w:p>
          <w:p w14:paraId="1CDFF605" w14:textId="77777777" w:rsidR="00094656" w:rsidRPr="00640161" w:rsidRDefault="00094656" w:rsidP="0067273F">
            <w:pPr>
              <w:pStyle w:val="TableParagraph"/>
              <w:rPr>
                <w:rFonts w:asciiTheme="minorHAnsi" w:hAnsiTheme="minorHAnsi" w:cstheme="minorHAnsi"/>
              </w:rPr>
            </w:pPr>
          </w:p>
        </w:tc>
        <w:tc>
          <w:tcPr>
            <w:tcW w:w="1984" w:type="dxa"/>
          </w:tcPr>
          <w:p w14:paraId="56EDDA35" w14:textId="77777777" w:rsidR="00094656" w:rsidRPr="00640161" w:rsidRDefault="00094656" w:rsidP="0067273F">
            <w:pPr>
              <w:pStyle w:val="TableParagraph"/>
              <w:ind w:right="767"/>
              <w:rPr>
                <w:rFonts w:asciiTheme="minorHAnsi" w:hAnsiTheme="minorHAnsi" w:cstheme="minorHAnsi"/>
              </w:rPr>
            </w:pPr>
            <w:r>
              <w:rPr>
                <w:rFonts w:asciiTheme="minorHAnsi" w:hAnsiTheme="minorHAnsi" w:cstheme="minorHAnsi"/>
              </w:rPr>
              <w:t xml:space="preserve">Online only: </w:t>
            </w:r>
            <w:r w:rsidRPr="00640161">
              <w:rPr>
                <w:rFonts w:asciiTheme="minorHAnsi" w:hAnsiTheme="minorHAnsi" w:cstheme="minorHAnsi"/>
              </w:rPr>
              <w:t>Sex-related risk factors, diagnosis, treatment</w:t>
            </w:r>
            <w:r>
              <w:rPr>
                <w:rFonts w:asciiTheme="minorHAnsi" w:hAnsiTheme="minorHAnsi" w:cstheme="minorHAnsi"/>
              </w:rPr>
              <w:t>.</w:t>
            </w:r>
            <w:r w:rsidRPr="00640161">
              <w:rPr>
                <w:rFonts w:asciiTheme="minorHAnsi" w:hAnsiTheme="minorHAnsi" w:cstheme="minorHAnsi"/>
              </w:rPr>
              <w:t xml:space="preserve"> Precautions</w:t>
            </w:r>
            <w:r w:rsidRPr="00640161">
              <w:rPr>
                <w:rFonts w:asciiTheme="minorHAnsi" w:hAnsiTheme="minorHAnsi" w:cstheme="minorHAnsi"/>
                <w:spacing w:val="-12"/>
              </w:rPr>
              <w:t xml:space="preserve"> </w:t>
            </w:r>
            <w:r w:rsidRPr="00640161">
              <w:rPr>
                <w:rFonts w:asciiTheme="minorHAnsi" w:hAnsiTheme="minorHAnsi" w:cstheme="minorHAnsi"/>
              </w:rPr>
              <w:t>in</w:t>
            </w:r>
            <w:r w:rsidRPr="00640161">
              <w:rPr>
                <w:rFonts w:asciiTheme="minorHAnsi" w:hAnsiTheme="minorHAnsi" w:cstheme="minorHAnsi"/>
                <w:spacing w:val="-12"/>
              </w:rPr>
              <w:t xml:space="preserve"> </w:t>
            </w:r>
            <w:r w:rsidRPr="00640161">
              <w:rPr>
                <w:rFonts w:asciiTheme="minorHAnsi" w:hAnsiTheme="minorHAnsi" w:cstheme="minorHAnsi"/>
              </w:rPr>
              <w:t>relation</w:t>
            </w:r>
            <w:r w:rsidRPr="00640161">
              <w:rPr>
                <w:rFonts w:asciiTheme="minorHAnsi" w:hAnsiTheme="minorHAnsi" w:cstheme="minorHAnsi"/>
                <w:spacing w:val="-12"/>
              </w:rPr>
              <w:t xml:space="preserve"> </w:t>
            </w:r>
            <w:r w:rsidRPr="00640161">
              <w:rPr>
                <w:rFonts w:asciiTheme="minorHAnsi" w:hAnsiTheme="minorHAnsi" w:cstheme="minorHAnsi"/>
              </w:rPr>
              <w:t>to pregnant women</w:t>
            </w:r>
            <w:r>
              <w:rPr>
                <w:rFonts w:asciiTheme="minorHAnsi" w:hAnsiTheme="minorHAnsi" w:cstheme="minorHAnsi"/>
              </w:rPr>
              <w:t xml:space="preserve"> </w:t>
            </w:r>
          </w:p>
        </w:tc>
        <w:tc>
          <w:tcPr>
            <w:tcW w:w="1843" w:type="dxa"/>
          </w:tcPr>
          <w:p w14:paraId="7DD90C86"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0AC278C1"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58D30534" w14:textId="77777777" w:rsidTr="0067273F">
        <w:trPr>
          <w:cantSplit/>
        </w:trPr>
        <w:tc>
          <w:tcPr>
            <w:tcW w:w="1575" w:type="dxa"/>
          </w:tcPr>
          <w:p w14:paraId="335576D7"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Heart Foundation of </w:t>
            </w:r>
            <w:r w:rsidRPr="00640161">
              <w:rPr>
                <w:rFonts w:asciiTheme="minorHAnsi" w:hAnsiTheme="minorHAnsi" w:cstheme="minorHAnsi"/>
                <w:b/>
                <w:spacing w:val="-2"/>
              </w:rPr>
              <w:t>Australia</w:t>
            </w:r>
          </w:p>
          <w:p w14:paraId="70BCE54D"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t>Cardiac</w:t>
            </w:r>
            <w:r w:rsidRPr="00640161">
              <w:rPr>
                <w:rFonts w:asciiTheme="minorHAnsi" w:hAnsiTheme="minorHAnsi" w:cstheme="minorHAnsi"/>
                <w:b/>
                <w:spacing w:val="-13"/>
              </w:rPr>
              <w:t xml:space="preserve"> </w:t>
            </w:r>
            <w:r w:rsidRPr="00640161">
              <w:rPr>
                <w:rFonts w:asciiTheme="minorHAnsi" w:hAnsiTheme="minorHAnsi" w:cstheme="minorHAnsi"/>
                <w:b/>
              </w:rPr>
              <w:t>Society</w:t>
            </w:r>
            <w:r w:rsidRPr="00640161">
              <w:rPr>
                <w:rFonts w:asciiTheme="minorHAnsi" w:hAnsiTheme="minorHAnsi" w:cstheme="minorHAnsi"/>
                <w:b/>
                <w:spacing w:val="-12"/>
              </w:rPr>
              <w:t xml:space="preserve"> </w:t>
            </w:r>
            <w:r w:rsidRPr="00640161">
              <w:rPr>
                <w:rFonts w:asciiTheme="minorHAnsi" w:hAnsiTheme="minorHAnsi" w:cstheme="minorHAnsi"/>
                <w:b/>
              </w:rPr>
              <w:t xml:space="preserve">of Australia &amp; New </w:t>
            </w:r>
            <w:r w:rsidRPr="00640161">
              <w:rPr>
                <w:rFonts w:asciiTheme="minorHAnsi" w:hAnsiTheme="minorHAnsi" w:cstheme="minorHAnsi"/>
                <w:b/>
                <w:spacing w:val="-2"/>
              </w:rPr>
              <w:t>Zealand</w:t>
            </w:r>
          </w:p>
        </w:tc>
        <w:tc>
          <w:tcPr>
            <w:tcW w:w="3119" w:type="dxa"/>
          </w:tcPr>
          <w:p w14:paraId="19B5BAF4" w14:textId="77777777" w:rsidR="00094656" w:rsidRDefault="00094656" w:rsidP="00806C15">
            <w:pPr>
              <w:pStyle w:val="TableParagraph"/>
              <w:ind w:left="108" w:right="96"/>
              <w:rPr>
                <w:rFonts w:asciiTheme="minorHAnsi" w:hAnsiTheme="minorHAnsi" w:cstheme="minorHAnsi"/>
              </w:rPr>
            </w:pPr>
            <w:r w:rsidRPr="00640161">
              <w:rPr>
                <w:rFonts w:asciiTheme="minorHAnsi" w:hAnsiTheme="minorHAnsi" w:cstheme="minorHAnsi"/>
              </w:rPr>
              <w:t>Australian</w:t>
            </w:r>
            <w:r w:rsidRPr="00640161">
              <w:rPr>
                <w:rFonts w:asciiTheme="minorHAnsi" w:hAnsiTheme="minorHAnsi" w:cstheme="minorHAnsi"/>
                <w:spacing w:val="-6"/>
              </w:rPr>
              <w:t xml:space="preserve"> </w:t>
            </w:r>
            <w:r w:rsidRPr="00640161">
              <w:rPr>
                <w:rFonts w:asciiTheme="minorHAnsi" w:hAnsiTheme="minorHAnsi" w:cstheme="minorHAnsi"/>
              </w:rPr>
              <w:t>Clinical</w:t>
            </w:r>
            <w:r w:rsidRPr="00640161">
              <w:rPr>
                <w:rFonts w:asciiTheme="minorHAnsi" w:hAnsiTheme="minorHAnsi" w:cstheme="minorHAnsi"/>
                <w:spacing w:val="-6"/>
              </w:rPr>
              <w:t xml:space="preserve"> </w:t>
            </w:r>
            <w:r w:rsidRPr="00640161">
              <w:rPr>
                <w:rFonts w:asciiTheme="minorHAnsi" w:hAnsiTheme="minorHAnsi" w:cstheme="minorHAnsi"/>
              </w:rPr>
              <w:t>Guidelines</w:t>
            </w:r>
            <w:r w:rsidRPr="00640161">
              <w:rPr>
                <w:rFonts w:asciiTheme="minorHAnsi" w:hAnsiTheme="minorHAnsi" w:cstheme="minorHAnsi"/>
                <w:spacing w:val="-6"/>
              </w:rPr>
              <w:t xml:space="preserve"> </w:t>
            </w:r>
            <w:r w:rsidRPr="00640161">
              <w:rPr>
                <w:rFonts w:asciiTheme="minorHAnsi" w:hAnsiTheme="minorHAnsi" w:cstheme="minorHAnsi"/>
              </w:rPr>
              <w:t>for</w:t>
            </w:r>
            <w:r w:rsidRPr="00640161">
              <w:rPr>
                <w:rFonts w:asciiTheme="minorHAnsi" w:hAnsiTheme="minorHAnsi" w:cstheme="minorHAnsi"/>
                <w:spacing w:val="-6"/>
              </w:rPr>
              <w:t xml:space="preserve"> </w:t>
            </w:r>
            <w:r w:rsidRPr="00640161">
              <w:rPr>
                <w:rFonts w:asciiTheme="minorHAnsi" w:hAnsiTheme="minorHAnsi" w:cstheme="minorHAnsi"/>
              </w:rPr>
              <w:t>the Diagnosis</w:t>
            </w:r>
            <w:r w:rsidRPr="00640161">
              <w:rPr>
                <w:rFonts w:asciiTheme="minorHAnsi" w:hAnsiTheme="minorHAnsi" w:cstheme="minorHAnsi"/>
                <w:spacing w:val="-10"/>
              </w:rPr>
              <w:t xml:space="preserve"> </w:t>
            </w:r>
            <w:r w:rsidRPr="00640161">
              <w:rPr>
                <w:rFonts w:asciiTheme="minorHAnsi" w:hAnsiTheme="minorHAnsi" w:cstheme="minorHAnsi"/>
              </w:rPr>
              <w:t>and</w:t>
            </w:r>
            <w:r w:rsidRPr="00640161">
              <w:rPr>
                <w:rFonts w:asciiTheme="minorHAnsi" w:hAnsiTheme="minorHAnsi" w:cstheme="minorHAnsi"/>
                <w:spacing w:val="-10"/>
              </w:rPr>
              <w:t xml:space="preserve"> </w:t>
            </w:r>
            <w:r w:rsidRPr="00640161">
              <w:rPr>
                <w:rFonts w:asciiTheme="minorHAnsi" w:hAnsiTheme="minorHAnsi" w:cstheme="minorHAnsi"/>
              </w:rPr>
              <w:t>Management</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Atrial Fibrillation, 2018</w:t>
            </w:r>
          </w:p>
          <w:p w14:paraId="6BD1DF68" w14:textId="77777777" w:rsidR="00094656" w:rsidRDefault="00094656" w:rsidP="00806C15">
            <w:pPr>
              <w:pStyle w:val="TableParagraph"/>
              <w:ind w:left="108" w:right="96"/>
              <w:rPr>
                <w:rFonts w:asciiTheme="minorHAnsi" w:hAnsiTheme="minorHAnsi" w:cstheme="minorHAnsi"/>
              </w:rPr>
            </w:pPr>
          </w:p>
          <w:p w14:paraId="6D747E88" w14:textId="77777777" w:rsidR="00094656" w:rsidRPr="00640161" w:rsidRDefault="00094656" w:rsidP="00806C15">
            <w:pPr>
              <w:pStyle w:val="TableParagraph"/>
              <w:ind w:left="108" w:right="96"/>
              <w:rPr>
                <w:rFonts w:asciiTheme="minorHAnsi" w:hAnsiTheme="minorHAnsi" w:cstheme="minorHAnsi"/>
              </w:rPr>
            </w:pPr>
            <w:r w:rsidRPr="00640161">
              <w:rPr>
                <w:rFonts w:asciiTheme="minorHAnsi" w:hAnsiTheme="minorHAnsi" w:cstheme="minorHAnsi"/>
              </w:rPr>
              <w:t xml:space="preserve">Brieger et al. </w:t>
            </w:r>
            <w:r>
              <w:t>(2018).</w:t>
            </w:r>
            <w:r w:rsidRPr="00640161">
              <w:rPr>
                <w:rFonts w:asciiTheme="minorHAnsi" w:hAnsiTheme="minorHAnsi" w:cstheme="minorHAnsi"/>
              </w:rPr>
              <w:t xml:space="preserve"> National Heart Foundation of Australia and Cardiac Society of Australia and New Zealand: Australian clinical guidelines for the diagnosis and management of atrial fibrillation</w:t>
            </w:r>
            <w:r>
              <w:t xml:space="preserve"> </w:t>
            </w:r>
            <w:r w:rsidRPr="0005429A">
              <w:rPr>
                <w:i/>
              </w:rPr>
              <w:t>Heart, Lung and Circulation</w:t>
            </w:r>
            <w:r>
              <w:rPr>
                <w:i/>
              </w:rPr>
              <w:t>,</w:t>
            </w:r>
            <w:r w:rsidRPr="0005429A">
              <w:rPr>
                <w:i/>
              </w:rPr>
              <w:t xml:space="preserve"> 27</w:t>
            </w:r>
            <w:r>
              <w:t xml:space="preserve">, 1209–1266. </w:t>
            </w:r>
            <w:proofErr w:type="gramStart"/>
            <w:r>
              <w:t>DOI:10.1016/j.hlc</w:t>
            </w:r>
            <w:proofErr w:type="gramEnd"/>
            <w:r>
              <w:t>.2018.06.1043</w:t>
            </w:r>
          </w:p>
          <w:p w14:paraId="29271ADF" w14:textId="77777777" w:rsidR="00094656" w:rsidRDefault="00094656" w:rsidP="00806C15">
            <w:pPr>
              <w:pStyle w:val="TableParagraph"/>
              <w:ind w:left="108" w:right="96"/>
              <w:rPr>
                <w:rFonts w:asciiTheme="minorHAnsi" w:hAnsiTheme="minorHAnsi" w:cstheme="minorHAnsi"/>
                <w:b/>
              </w:rPr>
            </w:pPr>
          </w:p>
          <w:p w14:paraId="5C3EB367" w14:textId="5E8789BC" w:rsidR="00094656" w:rsidRPr="001150BB" w:rsidRDefault="00094656" w:rsidP="00A53ABD">
            <w:pPr>
              <w:pStyle w:val="TableParagraph"/>
              <w:ind w:left="108" w:right="96"/>
              <w:rPr>
                <w:rFonts w:asciiTheme="minorHAnsi" w:hAnsiTheme="minorHAnsi" w:cstheme="minorHAnsi"/>
              </w:rPr>
            </w:pPr>
            <w:r w:rsidRPr="00806C15">
              <w:rPr>
                <w:rFonts w:asciiTheme="minorHAnsi" w:hAnsiTheme="minorHAnsi" w:cstheme="minorHAnsi"/>
                <w:i/>
              </w:rPr>
              <w:t>Summary</w:t>
            </w:r>
            <w:r w:rsidRPr="00DD12F8">
              <w:rPr>
                <w:rFonts w:asciiTheme="minorHAnsi" w:hAnsiTheme="minorHAnsi" w:cstheme="minorHAnsi"/>
              </w:rPr>
              <w:t>:</w:t>
            </w:r>
            <w:r>
              <w:rPr>
                <w:rFonts w:asciiTheme="minorHAnsi" w:hAnsiTheme="minorHAnsi" w:cstheme="minorHAnsi"/>
              </w:rPr>
              <w:t xml:space="preserve"> </w:t>
            </w:r>
            <w:r w:rsidRPr="00640161">
              <w:rPr>
                <w:rFonts w:asciiTheme="minorHAnsi" w:hAnsiTheme="minorHAnsi" w:cstheme="minorHAnsi"/>
              </w:rPr>
              <w:t>Brieger et al. (2018). National Heart Foundation of Australia and Cardiac Society of Australia and New Zealand: Australian clinical guidelines for the diagnosis and management of atrial fibrillation.</w:t>
            </w:r>
            <w:r w:rsidRPr="00640161">
              <w:rPr>
                <w:rFonts w:asciiTheme="minorHAnsi" w:hAnsiTheme="minorHAnsi" w:cstheme="minorHAnsi"/>
                <w:spacing w:val="-10"/>
              </w:rPr>
              <w:t xml:space="preserve"> </w:t>
            </w:r>
            <w:r w:rsidRPr="00640161">
              <w:rPr>
                <w:rFonts w:asciiTheme="minorHAnsi" w:hAnsiTheme="minorHAnsi" w:cstheme="minorHAnsi"/>
                <w:i/>
              </w:rPr>
              <w:t>Medical</w:t>
            </w:r>
            <w:r w:rsidRPr="00640161">
              <w:rPr>
                <w:rFonts w:asciiTheme="minorHAnsi" w:hAnsiTheme="minorHAnsi" w:cstheme="minorHAnsi"/>
                <w:i/>
                <w:spacing w:val="-10"/>
              </w:rPr>
              <w:t xml:space="preserve"> </w:t>
            </w:r>
            <w:r w:rsidRPr="00640161">
              <w:rPr>
                <w:rFonts w:asciiTheme="minorHAnsi" w:hAnsiTheme="minorHAnsi" w:cstheme="minorHAnsi"/>
                <w:i/>
              </w:rPr>
              <w:t>Journal</w:t>
            </w:r>
            <w:r w:rsidRPr="00640161">
              <w:rPr>
                <w:rFonts w:asciiTheme="minorHAnsi" w:hAnsiTheme="minorHAnsi" w:cstheme="minorHAnsi"/>
                <w:i/>
                <w:spacing w:val="-10"/>
              </w:rPr>
              <w:t xml:space="preserve"> </w:t>
            </w:r>
            <w:r w:rsidRPr="00640161">
              <w:rPr>
                <w:rFonts w:asciiTheme="minorHAnsi" w:hAnsiTheme="minorHAnsi" w:cstheme="minorHAnsi"/>
                <w:i/>
              </w:rPr>
              <w:t>of</w:t>
            </w:r>
            <w:r w:rsidRPr="00640161">
              <w:rPr>
                <w:rFonts w:asciiTheme="minorHAnsi" w:hAnsiTheme="minorHAnsi" w:cstheme="minorHAnsi"/>
                <w:i/>
                <w:spacing w:val="-10"/>
              </w:rPr>
              <w:t xml:space="preserve"> </w:t>
            </w:r>
            <w:r w:rsidRPr="00640161">
              <w:rPr>
                <w:rFonts w:asciiTheme="minorHAnsi" w:hAnsiTheme="minorHAnsi" w:cstheme="minorHAnsi"/>
                <w:i/>
              </w:rPr>
              <w:t>Australia</w:t>
            </w:r>
            <w:r w:rsidRPr="00640161">
              <w:rPr>
                <w:rFonts w:asciiTheme="minorHAnsi" w:hAnsiTheme="minorHAnsi" w:cstheme="minorHAnsi"/>
              </w:rPr>
              <w:t xml:space="preserve">, </w:t>
            </w:r>
            <w:r w:rsidRPr="00640161">
              <w:rPr>
                <w:rFonts w:asciiTheme="minorHAnsi" w:hAnsiTheme="minorHAnsi" w:cstheme="minorHAnsi"/>
                <w:i/>
              </w:rPr>
              <w:t>209</w:t>
            </w:r>
            <w:r w:rsidRPr="00640161">
              <w:rPr>
                <w:rFonts w:asciiTheme="minorHAnsi" w:hAnsiTheme="minorHAnsi" w:cstheme="minorHAnsi"/>
              </w:rPr>
              <w:t>(8), 356-362. DOI:</w:t>
            </w:r>
            <w:r w:rsidR="00CD355C">
              <w:t xml:space="preserve"> 10.5694/mja18.00646</w:t>
            </w:r>
          </w:p>
        </w:tc>
        <w:tc>
          <w:tcPr>
            <w:tcW w:w="1417" w:type="dxa"/>
          </w:tcPr>
          <w:p w14:paraId="6C7560D0"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Australian College of Nursing,</w:t>
            </w:r>
          </w:p>
          <w:p w14:paraId="6E100911"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Australian College of Rural &amp; Remote Medicine,</w:t>
            </w:r>
          </w:p>
          <w:p w14:paraId="7838B49A"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Australian Commission on Quality &amp; Safety in Health Care,</w:t>
            </w:r>
          </w:p>
          <w:p w14:paraId="327579A6"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 xml:space="preserve">ANZ Society of Cardiac &amp; Thoracic Surgeons, </w:t>
            </w:r>
          </w:p>
          <w:p w14:paraId="5FC898F7"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Stroke Foundation</w:t>
            </w:r>
          </w:p>
        </w:tc>
        <w:tc>
          <w:tcPr>
            <w:tcW w:w="1560" w:type="dxa"/>
          </w:tcPr>
          <w:p w14:paraId="2DA11665" w14:textId="77777777" w:rsidR="00094656" w:rsidRPr="00640161" w:rsidRDefault="00094656" w:rsidP="0067273F">
            <w:pPr>
              <w:pStyle w:val="TableParagraph"/>
              <w:rPr>
                <w:rFonts w:asciiTheme="minorHAnsi" w:hAnsiTheme="minorHAnsi" w:cstheme="minorHAnsi"/>
              </w:rPr>
            </w:pPr>
            <w:r w:rsidRPr="00640161">
              <w:rPr>
                <w:spacing w:val="-2"/>
              </w:rPr>
              <w:t>Cardiology</w:t>
            </w:r>
          </w:p>
        </w:tc>
        <w:tc>
          <w:tcPr>
            <w:tcW w:w="2126" w:type="dxa"/>
          </w:tcPr>
          <w:p w14:paraId="17E4F24B"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“men” not found in text search (full version).</w:t>
            </w:r>
          </w:p>
          <w:p w14:paraId="452FD34E"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w:t>
            </w:r>
            <w:r>
              <w:rPr>
                <w:rFonts w:asciiTheme="minorHAnsi" w:hAnsiTheme="minorHAnsi" w:cstheme="minorHAnsi"/>
              </w:rPr>
              <w:t>S</w:t>
            </w:r>
            <w:r w:rsidRPr="00640161">
              <w:rPr>
                <w:rFonts w:asciiTheme="minorHAnsi" w:hAnsiTheme="minorHAnsi" w:cstheme="minorHAnsi"/>
              </w:rPr>
              <w:t>ex”</w:t>
            </w:r>
            <w:r>
              <w:rPr>
                <w:rFonts w:asciiTheme="minorHAnsi" w:hAnsiTheme="minorHAnsi" w:cstheme="minorHAnsi"/>
              </w:rPr>
              <w:t xml:space="preserve"> found 3 times, each with “female”</w:t>
            </w:r>
            <w:r w:rsidRPr="00640161">
              <w:rPr>
                <w:rFonts w:asciiTheme="minorHAnsi" w:hAnsiTheme="minorHAnsi" w:cstheme="minorHAnsi"/>
              </w:rPr>
              <w:t>,</w:t>
            </w:r>
            <w:r w:rsidRPr="00640161">
              <w:rPr>
                <w:rFonts w:asciiTheme="minorHAnsi" w:hAnsiTheme="minorHAnsi" w:cstheme="minorHAnsi"/>
                <w:spacing w:val="-10"/>
              </w:rPr>
              <w:t xml:space="preserve"> </w:t>
            </w:r>
            <w:r w:rsidRPr="00640161">
              <w:rPr>
                <w:rFonts w:asciiTheme="minorHAnsi" w:hAnsiTheme="minorHAnsi" w:cstheme="minorHAnsi"/>
              </w:rPr>
              <w:t>undefined</w:t>
            </w:r>
            <w:r>
              <w:rPr>
                <w:rFonts w:asciiTheme="minorHAnsi" w:hAnsiTheme="minorHAnsi" w:cstheme="minorHAnsi"/>
              </w:rPr>
              <w:t>, “women” once</w:t>
            </w:r>
            <w:r w:rsidRPr="00640161">
              <w:rPr>
                <w:rFonts w:asciiTheme="minorHAnsi" w:hAnsiTheme="minorHAnsi" w:cstheme="minorHAnsi"/>
                <w:spacing w:val="-2"/>
              </w:rPr>
              <w:t>.</w:t>
            </w:r>
          </w:p>
        </w:tc>
        <w:tc>
          <w:tcPr>
            <w:tcW w:w="1984" w:type="dxa"/>
          </w:tcPr>
          <w:p w14:paraId="56CA29A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risk factors, treatment</w:t>
            </w:r>
            <w:r w:rsidRPr="00640161">
              <w:rPr>
                <w:rFonts w:asciiTheme="minorHAnsi" w:hAnsiTheme="minorHAnsi" w:cstheme="minorHAnsi"/>
                <w:spacing w:val="-13"/>
              </w:rPr>
              <w:t xml:space="preserve"> </w:t>
            </w:r>
            <w:r w:rsidRPr="00640161">
              <w:rPr>
                <w:rFonts w:asciiTheme="minorHAnsi" w:hAnsiTheme="minorHAnsi" w:cstheme="minorHAnsi"/>
              </w:rPr>
              <w:t>recommendations.</w:t>
            </w:r>
          </w:p>
        </w:tc>
        <w:tc>
          <w:tcPr>
            <w:tcW w:w="1843" w:type="dxa"/>
          </w:tcPr>
          <w:p w14:paraId="24ADE9F4"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EF50524"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1CFB007E" w14:textId="77777777" w:rsidTr="0067273F">
        <w:tc>
          <w:tcPr>
            <w:tcW w:w="1575" w:type="dxa"/>
          </w:tcPr>
          <w:p w14:paraId="327B6E8A"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lastRenderedPageBreak/>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Heart Foundation of </w:t>
            </w:r>
            <w:r w:rsidRPr="00640161">
              <w:rPr>
                <w:rFonts w:asciiTheme="minorHAnsi" w:hAnsiTheme="minorHAnsi" w:cstheme="minorHAnsi"/>
                <w:b/>
                <w:spacing w:val="-2"/>
              </w:rPr>
              <w:t>Australia,</w:t>
            </w:r>
          </w:p>
          <w:p w14:paraId="444C6505"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t>Cardiac Society of Australia</w:t>
            </w:r>
            <w:r w:rsidRPr="00640161">
              <w:rPr>
                <w:rFonts w:asciiTheme="minorHAnsi" w:hAnsiTheme="minorHAnsi" w:cstheme="minorHAnsi"/>
                <w:b/>
                <w:spacing w:val="-13"/>
              </w:rPr>
              <w:t xml:space="preserve"> </w:t>
            </w:r>
            <w:r w:rsidRPr="00640161">
              <w:rPr>
                <w:rFonts w:asciiTheme="minorHAnsi" w:hAnsiTheme="minorHAnsi" w:cstheme="minorHAnsi"/>
                <w:b/>
              </w:rPr>
              <w:t>and</w:t>
            </w:r>
            <w:r w:rsidRPr="00640161">
              <w:rPr>
                <w:rFonts w:asciiTheme="minorHAnsi" w:hAnsiTheme="minorHAnsi" w:cstheme="minorHAnsi"/>
                <w:b/>
                <w:spacing w:val="-12"/>
              </w:rPr>
              <w:t xml:space="preserve"> </w:t>
            </w:r>
            <w:r w:rsidRPr="00640161">
              <w:rPr>
                <w:rFonts w:asciiTheme="minorHAnsi" w:hAnsiTheme="minorHAnsi" w:cstheme="minorHAnsi"/>
                <w:b/>
              </w:rPr>
              <w:t xml:space="preserve">New </w:t>
            </w:r>
            <w:r w:rsidRPr="00640161">
              <w:rPr>
                <w:rFonts w:asciiTheme="minorHAnsi" w:hAnsiTheme="minorHAnsi" w:cstheme="minorHAnsi"/>
                <w:b/>
                <w:spacing w:val="-2"/>
              </w:rPr>
              <w:t>Zealand</w:t>
            </w:r>
          </w:p>
        </w:tc>
        <w:tc>
          <w:tcPr>
            <w:tcW w:w="3119" w:type="dxa"/>
          </w:tcPr>
          <w:p w14:paraId="41CC5632" w14:textId="77777777" w:rsidR="00094656" w:rsidRPr="00640161" w:rsidRDefault="00094656" w:rsidP="0067273F">
            <w:pPr>
              <w:pStyle w:val="TableParagraph"/>
              <w:keepNext/>
              <w:keepLines/>
              <w:widowControl/>
              <w:ind w:left="108" w:right="96"/>
              <w:rPr>
                <w:rFonts w:asciiTheme="minorHAnsi" w:hAnsiTheme="minorHAnsi" w:cstheme="minorHAnsi"/>
              </w:rPr>
            </w:pPr>
            <w:r w:rsidRPr="005D2A14">
              <w:rPr>
                <w:rFonts w:asciiTheme="minorHAnsi" w:hAnsiTheme="minorHAnsi" w:cstheme="minorHAnsi"/>
              </w:rPr>
              <w:t>Australian</w:t>
            </w:r>
            <w:r w:rsidRPr="005D2A14">
              <w:rPr>
                <w:rFonts w:asciiTheme="minorHAnsi" w:hAnsiTheme="minorHAnsi" w:cstheme="minorHAnsi"/>
                <w:spacing w:val="-9"/>
              </w:rPr>
              <w:t xml:space="preserve"> </w:t>
            </w:r>
            <w:r w:rsidRPr="005D2A14">
              <w:rPr>
                <w:rFonts w:asciiTheme="minorHAnsi" w:hAnsiTheme="minorHAnsi" w:cstheme="minorHAnsi"/>
              </w:rPr>
              <w:t>Clinical</w:t>
            </w:r>
            <w:r w:rsidRPr="005D2A14">
              <w:rPr>
                <w:rFonts w:asciiTheme="minorHAnsi" w:hAnsiTheme="minorHAnsi" w:cstheme="minorHAnsi"/>
                <w:spacing w:val="-9"/>
              </w:rPr>
              <w:t xml:space="preserve"> </w:t>
            </w:r>
            <w:r w:rsidRPr="005D2A14">
              <w:rPr>
                <w:rFonts w:asciiTheme="minorHAnsi" w:hAnsiTheme="minorHAnsi" w:cstheme="minorHAnsi"/>
              </w:rPr>
              <w:t>Guidelines</w:t>
            </w:r>
            <w:r w:rsidRPr="005D2A14">
              <w:rPr>
                <w:rFonts w:asciiTheme="minorHAnsi" w:hAnsiTheme="minorHAnsi" w:cstheme="minorHAnsi"/>
                <w:spacing w:val="-9"/>
              </w:rPr>
              <w:t xml:space="preserve"> </w:t>
            </w:r>
            <w:r w:rsidRPr="005D2A14">
              <w:rPr>
                <w:rFonts w:asciiTheme="minorHAnsi" w:hAnsiTheme="minorHAnsi" w:cstheme="minorHAnsi"/>
              </w:rPr>
              <w:t>for</w:t>
            </w:r>
            <w:r w:rsidRPr="005D2A14">
              <w:rPr>
                <w:rFonts w:asciiTheme="minorHAnsi" w:hAnsiTheme="minorHAnsi" w:cstheme="minorHAnsi"/>
                <w:spacing w:val="-9"/>
              </w:rPr>
              <w:t xml:space="preserve"> </w:t>
            </w:r>
            <w:r w:rsidRPr="005D2A14">
              <w:rPr>
                <w:rFonts w:asciiTheme="minorHAnsi" w:hAnsiTheme="minorHAnsi" w:cstheme="minorHAnsi"/>
              </w:rPr>
              <w:t>the Management of Acute</w:t>
            </w:r>
            <w:r>
              <w:rPr>
                <w:rFonts w:asciiTheme="minorHAnsi" w:hAnsiTheme="minorHAnsi" w:cstheme="minorHAnsi"/>
              </w:rPr>
              <w:t xml:space="preserve"> </w:t>
            </w:r>
            <w:r w:rsidRPr="005D2A14">
              <w:rPr>
                <w:rFonts w:asciiTheme="minorHAnsi" w:hAnsiTheme="minorHAnsi" w:cstheme="minorHAnsi"/>
              </w:rPr>
              <w:t>Coronary</w:t>
            </w:r>
            <w:r w:rsidRPr="005D2A14">
              <w:rPr>
                <w:rFonts w:asciiTheme="minorHAnsi" w:hAnsiTheme="minorHAnsi" w:cstheme="minorHAnsi"/>
                <w:spacing w:val="-9"/>
              </w:rPr>
              <w:t xml:space="preserve"> </w:t>
            </w:r>
            <w:r w:rsidRPr="005D2A14">
              <w:rPr>
                <w:rFonts w:asciiTheme="minorHAnsi" w:hAnsiTheme="minorHAnsi" w:cstheme="minorHAnsi"/>
              </w:rPr>
              <w:t>Syndromes,</w:t>
            </w:r>
            <w:r w:rsidRPr="005D2A14">
              <w:rPr>
                <w:rFonts w:asciiTheme="minorHAnsi" w:hAnsiTheme="minorHAnsi" w:cstheme="minorHAnsi"/>
                <w:spacing w:val="-9"/>
              </w:rPr>
              <w:t xml:space="preserve"> </w:t>
            </w:r>
            <w:r w:rsidRPr="005D2A14">
              <w:rPr>
                <w:rFonts w:asciiTheme="minorHAnsi" w:hAnsiTheme="minorHAnsi" w:cstheme="minorHAnsi"/>
                <w:spacing w:val="-4"/>
              </w:rPr>
              <w:t>2016</w:t>
            </w:r>
          </w:p>
          <w:p w14:paraId="57138CC9" w14:textId="77777777" w:rsidR="00094656" w:rsidRPr="00640161" w:rsidRDefault="00094656" w:rsidP="0067273F">
            <w:pPr>
              <w:pStyle w:val="TableParagraph"/>
              <w:keepNext/>
              <w:keepLines/>
              <w:widowControl/>
              <w:ind w:left="108" w:right="96"/>
              <w:rPr>
                <w:rFonts w:asciiTheme="minorHAnsi" w:hAnsiTheme="minorHAnsi" w:cstheme="minorHAnsi"/>
                <w:b/>
              </w:rPr>
            </w:pPr>
          </w:p>
          <w:p w14:paraId="240CE5F2" w14:textId="77777777" w:rsidR="00094656" w:rsidRPr="00640161" w:rsidRDefault="00094656" w:rsidP="0067273F">
            <w:pPr>
              <w:pStyle w:val="TableParagraph"/>
              <w:keepNext/>
              <w:keepLines/>
              <w:widowControl/>
              <w:ind w:left="108" w:right="96"/>
              <w:rPr>
                <w:rFonts w:asciiTheme="minorHAnsi" w:hAnsiTheme="minorHAnsi" w:cstheme="minorHAnsi"/>
                <w:spacing w:val="-2"/>
                <w:u w:val="single"/>
              </w:rPr>
            </w:pPr>
            <w:r w:rsidRPr="00640161">
              <w:rPr>
                <w:rFonts w:asciiTheme="minorHAnsi" w:hAnsiTheme="minorHAnsi" w:cstheme="minorHAnsi"/>
              </w:rPr>
              <w:t>Chew</w:t>
            </w:r>
            <w:r w:rsidRPr="00640161">
              <w:rPr>
                <w:rFonts w:asciiTheme="minorHAnsi" w:hAnsiTheme="minorHAnsi" w:cstheme="minorHAnsi"/>
                <w:spacing w:val="-7"/>
              </w:rPr>
              <w:t xml:space="preserve"> </w:t>
            </w:r>
            <w:r w:rsidRPr="00640161">
              <w:rPr>
                <w:rFonts w:asciiTheme="minorHAnsi" w:hAnsiTheme="minorHAnsi" w:cstheme="minorHAnsi"/>
              </w:rPr>
              <w:t>et</w:t>
            </w:r>
            <w:r w:rsidRPr="00640161">
              <w:rPr>
                <w:rFonts w:asciiTheme="minorHAnsi" w:hAnsiTheme="minorHAnsi" w:cstheme="minorHAnsi"/>
                <w:spacing w:val="-7"/>
              </w:rPr>
              <w:t xml:space="preserve"> </w:t>
            </w:r>
            <w:r w:rsidRPr="00640161">
              <w:rPr>
                <w:rFonts w:asciiTheme="minorHAnsi" w:hAnsiTheme="minorHAnsi" w:cstheme="minorHAnsi"/>
              </w:rPr>
              <w:t>al.</w:t>
            </w:r>
            <w:r w:rsidRPr="00640161">
              <w:rPr>
                <w:rFonts w:asciiTheme="minorHAnsi" w:hAnsiTheme="minorHAnsi" w:cstheme="minorHAnsi"/>
                <w:spacing w:val="-7"/>
              </w:rPr>
              <w:t xml:space="preserve"> </w:t>
            </w:r>
            <w:r w:rsidRPr="00640161">
              <w:rPr>
                <w:rFonts w:asciiTheme="minorHAnsi" w:hAnsiTheme="minorHAnsi" w:cstheme="minorHAnsi"/>
              </w:rPr>
              <w:t>(2016).</w:t>
            </w:r>
            <w:r w:rsidRPr="00640161">
              <w:rPr>
                <w:rFonts w:asciiTheme="minorHAnsi" w:hAnsiTheme="minorHAnsi" w:cstheme="minorHAnsi"/>
                <w:spacing w:val="-7"/>
              </w:rPr>
              <w:t xml:space="preserve"> </w:t>
            </w:r>
            <w:r w:rsidRPr="00640161">
              <w:rPr>
                <w:rFonts w:asciiTheme="minorHAnsi" w:hAnsiTheme="minorHAnsi" w:cstheme="minorHAnsi"/>
              </w:rPr>
              <w:t>National</w:t>
            </w:r>
            <w:r w:rsidRPr="00640161">
              <w:rPr>
                <w:rFonts w:asciiTheme="minorHAnsi" w:hAnsiTheme="minorHAnsi" w:cstheme="minorHAnsi"/>
                <w:spacing w:val="-7"/>
              </w:rPr>
              <w:t xml:space="preserve"> </w:t>
            </w:r>
            <w:r w:rsidRPr="00640161">
              <w:rPr>
                <w:rFonts w:asciiTheme="minorHAnsi" w:hAnsiTheme="minorHAnsi" w:cstheme="minorHAnsi"/>
              </w:rPr>
              <w:t xml:space="preserve">Heart Foundation of Australia and Cardiac Society of Australia and New Zealand: Australian clinical guidelines for the management of acute coronary syndromes. </w:t>
            </w:r>
            <w:r w:rsidRPr="00640161">
              <w:rPr>
                <w:rFonts w:asciiTheme="minorHAnsi" w:hAnsiTheme="minorHAnsi" w:cstheme="minorHAnsi"/>
                <w:i/>
              </w:rPr>
              <w:t>Medical Journal of Australia</w:t>
            </w:r>
            <w:r w:rsidRPr="00640161">
              <w:rPr>
                <w:rFonts w:asciiTheme="minorHAnsi" w:hAnsiTheme="minorHAnsi" w:cstheme="minorHAnsi"/>
              </w:rPr>
              <w:t xml:space="preserve">, </w:t>
            </w:r>
            <w:r w:rsidRPr="00640161">
              <w:rPr>
                <w:rFonts w:asciiTheme="minorHAnsi" w:hAnsiTheme="minorHAnsi" w:cstheme="minorHAnsi"/>
                <w:i/>
              </w:rPr>
              <w:t>205</w:t>
            </w:r>
            <w:r w:rsidRPr="00640161">
              <w:rPr>
                <w:rFonts w:asciiTheme="minorHAnsi" w:hAnsiTheme="minorHAnsi" w:cstheme="minorHAnsi"/>
              </w:rPr>
              <w:t xml:space="preserve">(3), 128-133. </w:t>
            </w:r>
            <w:r w:rsidRPr="00640161">
              <w:rPr>
                <w:rFonts w:asciiTheme="minorHAnsi" w:hAnsiTheme="minorHAnsi" w:cstheme="minorHAnsi"/>
                <w:spacing w:val="-2"/>
              </w:rPr>
              <w:t>DOI:</w:t>
            </w:r>
            <w:r w:rsidRPr="00640161">
              <w:rPr>
                <w:rFonts w:asciiTheme="minorHAnsi" w:hAnsiTheme="minorHAnsi" w:cstheme="minorHAnsi"/>
                <w:spacing w:val="-2"/>
                <w:u w:val="single"/>
              </w:rPr>
              <w:t>10.5694/mja16.00368</w:t>
            </w:r>
          </w:p>
        </w:tc>
        <w:tc>
          <w:tcPr>
            <w:tcW w:w="1417" w:type="dxa"/>
          </w:tcPr>
          <w:p w14:paraId="1DDE301C" w14:textId="77777777" w:rsidR="00094656" w:rsidRPr="001150BB" w:rsidRDefault="00094656" w:rsidP="0067273F">
            <w:pPr>
              <w:pStyle w:val="TableParagraph"/>
              <w:ind w:left="108" w:right="96"/>
              <w:rPr>
                <w:rFonts w:asciiTheme="minorHAnsi" w:hAnsiTheme="minorHAnsi" w:cstheme="minorHAnsi"/>
              </w:rPr>
            </w:pPr>
            <w:r w:rsidRPr="001150BB">
              <w:rPr>
                <w:rFonts w:asciiTheme="minorHAnsi" w:hAnsiTheme="minorHAnsi" w:cstheme="minorHAnsi"/>
              </w:rPr>
              <w:t>National</w:t>
            </w:r>
            <w:r w:rsidRPr="001150BB">
              <w:rPr>
                <w:rFonts w:asciiTheme="minorHAnsi" w:hAnsiTheme="minorHAnsi" w:cstheme="minorHAnsi"/>
                <w:spacing w:val="-13"/>
              </w:rPr>
              <w:t xml:space="preserve"> </w:t>
            </w:r>
            <w:r w:rsidRPr="001150BB">
              <w:rPr>
                <w:rFonts w:asciiTheme="minorHAnsi" w:hAnsiTheme="minorHAnsi" w:cstheme="minorHAnsi"/>
              </w:rPr>
              <w:t xml:space="preserve">Heart Foundation of </w:t>
            </w:r>
            <w:r w:rsidRPr="001150BB">
              <w:rPr>
                <w:rFonts w:asciiTheme="minorHAnsi" w:hAnsiTheme="minorHAnsi" w:cstheme="minorHAnsi"/>
                <w:spacing w:val="-2"/>
              </w:rPr>
              <w:t>Australia,</w:t>
            </w:r>
          </w:p>
          <w:p w14:paraId="6FE868AD" w14:textId="77777777" w:rsidR="00094656" w:rsidRPr="00640161" w:rsidRDefault="00094656" w:rsidP="0067273F">
            <w:pPr>
              <w:pStyle w:val="TableParagraph"/>
              <w:spacing w:before="0"/>
              <w:rPr>
                <w:rFonts w:asciiTheme="minorHAnsi" w:hAnsiTheme="minorHAnsi" w:cstheme="minorHAnsi"/>
              </w:rPr>
            </w:pPr>
            <w:r w:rsidRPr="001150BB">
              <w:rPr>
                <w:rFonts w:asciiTheme="minorHAnsi" w:hAnsiTheme="minorHAnsi" w:cstheme="minorHAnsi"/>
              </w:rPr>
              <w:t>Cardiac Society of Australia</w:t>
            </w:r>
            <w:r w:rsidRPr="001150BB">
              <w:rPr>
                <w:rFonts w:asciiTheme="minorHAnsi" w:hAnsiTheme="minorHAnsi" w:cstheme="minorHAnsi"/>
                <w:spacing w:val="-13"/>
              </w:rPr>
              <w:t xml:space="preserve"> </w:t>
            </w:r>
            <w:r w:rsidRPr="001150BB">
              <w:rPr>
                <w:rFonts w:asciiTheme="minorHAnsi" w:hAnsiTheme="minorHAnsi" w:cstheme="minorHAnsi"/>
              </w:rPr>
              <w:t>and</w:t>
            </w:r>
            <w:r w:rsidRPr="001150BB">
              <w:rPr>
                <w:rFonts w:asciiTheme="minorHAnsi" w:hAnsiTheme="minorHAnsi" w:cstheme="minorHAnsi"/>
                <w:spacing w:val="-12"/>
              </w:rPr>
              <w:t xml:space="preserve"> </w:t>
            </w:r>
            <w:r w:rsidRPr="001150BB">
              <w:rPr>
                <w:rFonts w:asciiTheme="minorHAnsi" w:hAnsiTheme="minorHAnsi" w:cstheme="minorHAnsi"/>
              </w:rPr>
              <w:t xml:space="preserve">New </w:t>
            </w:r>
            <w:r w:rsidRPr="001150BB">
              <w:rPr>
                <w:rFonts w:asciiTheme="minorHAnsi" w:hAnsiTheme="minorHAnsi" w:cstheme="minorHAnsi"/>
                <w:spacing w:val="-2"/>
              </w:rPr>
              <w:t>Zealand</w:t>
            </w:r>
          </w:p>
        </w:tc>
        <w:tc>
          <w:tcPr>
            <w:tcW w:w="1560" w:type="dxa"/>
          </w:tcPr>
          <w:p w14:paraId="4204B221"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Cardiology</w:t>
            </w:r>
          </w:p>
        </w:tc>
        <w:tc>
          <w:tcPr>
            <w:tcW w:w="2126" w:type="dxa"/>
          </w:tcPr>
          <w:p w14:paraId="49326A70"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“sex”, “women”, “men”, “female”, “male” not found in text search.</w:t>
            </w:r>
          </w:p>
          <w:p w14:paraId="2E2A2B59" w14:textId="77777777" w:rsidR="00094656" w:rsidRPr="00640161" w:rsidRDefault="00094656" w:rsidP="0067273F">
            <w:pPr>
              <w:pStyle w:val="TableParagraph"/>
              <w:rPr>
                <w:rFonts w:asciiTheme="minorHAnsi" w:hAnsiTheme="minorHAnsi" w:cstheme="minorHAnsi"/>
              </w:rPr>
            </w:pPr>
          </w:p>
        </w:tc>
        <w:tc>
          <w:tcPr>
            <w:tcW w:w="1984" w:type="dxa"/>
          </w:tcPr>
          <w:p w14:paraId="22CDB4F3"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No sex considerations.</w:t>
            </w:r>
          </w:p>
        </w:tc>
        <w:tc>
          <w:tcPr>
            <w:tcW w:w="1843" w:type="dxa"/>
          </w:tcPr>
          <w:p w14:paraId="48A389EC"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4EEECB0"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100201FF" w14:textId="77777777" w:rsidTr="0067273F">
        <w:tc>
          <w:tcPr>
            <w:tcW w:w="1575" w:type="dxa"/>
          </w:tcPr>
          <w:p w14:paraId="644EB278"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Heart Foundation of </w:t>
            </w:r>
            <w:r w:rsidRPr="00640161">
              <w:rPr>
                <w:rFonts w:asciiTheme="minorHAnsi" w:hAnsiTheme="minorHAnsi" w:cstheme="minorHAnsi"/>
                <w:b/>
                <w:spacing w:val="-2"/>
              </w:rPr>
              <w:t>Australia,</w:t>
            </w:r>
          </w:p>
          <w:p w14:paraId="3A21977C"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t>Cardiac Society of Australia</w:t>
            </w:r>
            <w:r w:rsidRPr="00640161">
              <w:rPr>
                <w:rFonts w:asciiTheme="minorHAnsi" w:hAnsiTheme="minorHAnsi" w:cstheme="minorHAnsi"/>
                <w:b/>
                <w:spacing w:val="-13"/>
              </w:rPr>
              <w:t xml:space="preserve"> </w:t>
            </w:r>
            <w:r w:rsidRPr="00640161">
              <w:rPr>
                <w:rFonts w:asciiTheme="minorHAnsi" w:hAnsiTheme="minorHAnsi" w:cstheme="minorHAnsi"/>
                <w:b/>
              </w:rPr>
              <w:t>and</w:t>
            </w:r>
            <w:r w:rsidRPr="00640161">
              <w:rPr>
                <w:rFonts w:asciiTheme="minorHAnsi" w:hAnsiTheme="minorHAnsi" w:cstheme="minorHAnsi"/>
                <w:b/>
                <w:spacing w:val="-12"/>
              </w:rPr>
              <w:t xml:space="preserve"> </w:t>
            </w:r>
            <w:r w:rsidRPr="00640161">
              <w:rPr>
                <w:rFonts w:asciiTheme="minorHAnsi" w:hAnsiTheme="minorHAnsi" w:cstheme="minorHAnsi"/>
                <w:b/>
              </w:rPr>
              <w:t xml:space="preserve">New </w:t>
            </w:r>
            <w:r w:rsidRPr="00640161">
              <w:rPr>
                <w:rFonts w:asciiTheme="minorHAnsi" w:hAnsiTheme="minorHAnsi" w:cstheme="minorHAnsi"/>
                <w:b/>
                <w:spacing w:val="-2"/>
              </w:rPr>
              <w:t>Zealand</w:t>
            </w:r>
          </w:p>
        </w:tc>
        <w:tc>
          <w:tcPr>
            <w:tcW w:w="3119" w:type="dxa"/>
          </w:tcPr>
          <w:p w14:paraId="35BD4D7C" w14:textId="77777777" w:rsidR="00094656" w:rsidRPr="00640161" w:rsidRDefault="00094656" w:rsidP="0067273F">
            <w:pPr>
              <w:pStyle w:val="TableParagraph"/>
              <w:ind w:right="199"/>
              <w:rPr>
                <w:rFonts w:asciiTheme="minorHAnsi" w:hAnsiTheme="minorHAnsi" w:cstheme="minorHAnsi"/>
              </w:rPr>
            </w:pPr>
            <w:r w:rsidRPr="007E0A1F">
              <w:rPr>
                <w:rFonts w:asciiTheme="minorHAnsi" w:hAnsiTheme="minorHAnsi" w:cstheme="minorHAnsi"/>
              </w:rPr>
              <w:t>Guidelines for the Prevention, Detection,</w:t>
            </w:r>
            <w:r w:rsidRPr="007E0A1F">
              <w:rPr>
                <w:rFonts w:asciiTheme="minorHAnsi" w:hAnsiTheme="minorHAnsi" w:cstheme="minorHAnsi"/>
                <w:spacing w:val="-10"/>
              </w:rPr>
              <w:t xml:space="preserve"> </w:t>
            </w:r>
            <w:r w:rsidRPr="007E0A1F">
              <w:rPr>
                <w:rFonts w:asciiTheme="minorHAnsi" w:hAnsiTheme="minorHAnsi" w:cstheme="minorHAnsi"/>
              </w:rPr>
              <w:t>and</w:t>
            </w:r>
            <w:r w:rsidRPr="007E0A1F">
              <w:rPr>
                <w:rFonts w:asciiTheme="minorHAnsi" w:hAnsiTheme="minorHAnsi" w:cstheme="minorHAnsi"/>
                <w:spacing w:val="-10"/>
              </w:rPr>
              <w:t xml:space="preserve"> </w:t>
            </w:r>
            <w:r w:rsidRPr="007E0A1F">
              <w:rPr>
                <w:rFonts w:asciiTheme="minorHAnsi" w:hAnsiTheme="minorHAnsi" w:cstheme="minorHAnsi"/>
              </w:rPr>
              <w:t>Management</w:t>
            </w:r>
            <w:r w:rsidRPr="007E0A1F">
              <w:rPr>
                <w:rFonts w:asciiTheme="minorHAnsi" w:hAnsiTheme="minorHAnsi" w:cstheme="minorHAnsi"/>
                <w:spacing w:val="-10"/>
              </w:rPr>
              <w:t xml:space="preserve"> </w:t>
            </w:r>
            <w:r w:rsidRPr="007E0A1F">
              <w:rPr>
                <w:rFonts w:asciiTheme="minorHAnsi" w:hAnsiTheme="minorHAnsi" w:cstheme="minorHAnsi"/>
              </w:rPr>
              <w:t>of</w:t>
            </w:r>
            <w:r w:rsidRPr="007E0A1F">
              <w:rPr>
                <w:rFonts w:asciiTheme="minorHAnsi" w:hAnsiTheme="minorHAnsi" w:cstheme="minorHAnsi"/>
                <w:spacing w:val="-10"/>
              </w:rPr>
              <w:t xml:space="preserve"> </w:t>
            </w:r>
            <w:r w:rsidRPr="007E0A1F">
              <w:rPr>
                <w:rFonts w:asciiTheme="minorHAnsi" w:hAnsiTheme="minorHAnsi" w:cstheme="minorHAnsi"/>
              </w:rPr>
              <w:t>Heart Failure in Australia, 2018</w:t>
            </w:r>
          </w:p>
          <w:p w14:paraId="3A5254EE" w14:textId="77777777" w:rsidR="00094656" w:rsidRPr="00640161" w:rsidRDefault="00094656" w:rsidP="0067273F">
            <w:pPr>
              <w:pStyle w:val="TableParagraph"/>
              <w:spacing w:before="3"/>
              <w:ind w:left="142"/>
              <w:rPr>
                <w:rFonts w:asciiTheme="minorHAnsi" w:hAnsiTheme="minorHAnsi" w:cstheme="minorHAnsi"/>
              </w:rPr>
            </w:pPr>
          </w:p>
          <w:p w14:paraId="039101DC" w14:textId="77777777" w:rsidR="00094656" w:rsidRPr="00640161" w:rsidRDefault="00094656" w:rsidP="0067273F">
            <w:pPr>
              <w:pStyle w:val="TableParagraph"/>
              <w:spacing w:before="0"/>
              <w:ind w:right="97"/>
              <w:rPr>
                <w:rFonts w:asciiTheme="minorHAnsi" w:hAnsiTheme="minorHAnsi" w:cstheme="minorHAnsi"/>
                <w:spacing w:val="-2"/>
              </w:rPr>
            </w:pPr>
            <w:r w:rsidRPr="00640161">
              <w:rPr>
                <w:rFonts w:asciiTheme="minorHAnsi" w:hAnsiTheme="minorHAnsi" w:cstheme="minorHAnsi"/>
              </w:rPr>
              <w:t>Atherton et al. (2018). National Heart Foundation of Australia and Cardiac Society of Australia and New Zealand:</w:t>
            </w:r>
            <w:r w:rsidRPr="00640161">
              <w:rPr>
                <w:rFonts w:asciiTheme="minorHAnsi" w:hAnsiTheme="minorHAnsi" w:cstheme="minorHAnsi"/>
                <w:spacing w:val="-10"/>
              </w:rPr>
              <w:t xml:space="preserve"> </w:t>
            </w:r>
            <w:r w:rsidRPr="00640161">
              <w:rPr>
                <w:rFonts w:asciiTheme="minorHAnsi" w:hAnsiTheme="minorHAnsi" w:cstheme="minorHAnsi"/>
              </w:rPr>
              <w:t>guidelines</w:t>
            </w:r>
            <w:r w:rsidRPr="00640161">
              <w:rPr>
                <w:rFonts w:asciiTheme="minorHAnsi" w:hAnsiTheme="minorHAnsi" w:cstheme="minorHAnsi"/>
                <w:spacing w:val="-10"/>
              </w:rPr>
              <w:t xml:space="preserve"> </w:t>
            </w:r>
            <w:r w:rsidRPr="00640161">
              <w:rPr>
                <w:rFonts w:asciiTheme="minorHAnsi" w:hAnsiTheme="minorHAnsi" w:cstheme="minorHAnsi"/>
              </w:rPr>
              <w:t>for</w:t>
            </w:r>
            <w:r w:rsidRPr="00640161">
              <w:rPr>
                <w:rFonts w:asciiTheme="minorHAnsi" w:hAnsiTheme="minorHAnsi" w:cstheme="minorHAnsi"/>
                <w:spacing w:val="-10"/>
              </w:rPr>
              <w:t xml:space="preserve"> </w:t>
            </w:r>
            <w:r w:rsidRPr="00640161">
              <w:rPr>
                <w:rFonts w:asciiTheme="minorHAnsi" w:hAnsiTheme="minorHAnsi" w:cstheme="minorHAnsi"/>
              </w:rPr>
              <w:t>the</w:t>
            </w:r>
            <w:r w:rsidRPr="00640161">
              <w:rPr>
                <w:rFonts w:asciiTheme="minorHAnsi" w:hAnsiTheme="minorHAnsi" w:cstheme="minorHAnsi"/>
                <w:spacing w:val="-10"/>
              </w:rPr>
              <w:t xml:space="preserve"> </w:t>
            </w:r>
            <w:r w:rsidRPr="00640161">
              <w:rPr>
                <w:rFonts w:asciiTheme="minorHAnsi" w:hAnsiTheme="minorHAnsi" w:cstheme="minorHAnsi"/>
              </w:rPr>
              <w:t>prevention, detection,</w:t>
            </w:r>
            <w:r w:rsidRPr="00640161">
              <w:rPr>
                <w:rFonts w:asciiTheme="minorHAnsi" w:hAnsiTheme="minorHAnsi" w:cstheme="minorHAnsi"/>
                <w:spacing w:val="-9"/>
              </w:rPr>
              <w:t xml:space="preserve"> </w:t>
            </w:r>
            <w:r w:rsidRPr="00640161">
              <w:rPr>
                <w:rFonts w:asciiTheme="minorHAnsi" w:hAnsiTheme="minorHAnsi" w:cstheme="minorHAnsi"/>
              </w:rPr>
              <w:t>and</w:t>
            </w:r>
            <w:r w:rsidRPr="00640161">
              <w:rPr>
                <w:rFonts w:asciiTheme="minorHAnsi" w:hAnsiTheme="minorHAnsi" w:cstheme="minorHAnsi"/>
                <w:spacing w:val="-6"/>
              </w:rPr>
              <w:t xml:space="preserve"> </w:t>
            </w:r>
            <w:r w:rsidRPr="00640161">
              <w:rPr>
                <w:rFonts w:asciiTheme="minorHAnsi" w:hAnsiTheme="minorHAnsi" w:cstheme="minorHAnsi"/>
              </w:rPr>
              <w:t>management</w:t>
            </w:r>
            <w:r w:rsidRPr="00640161">
              <w:rPr>
                <w:rFonts w:asciiTheme="minorHAnsi" w:hAnsiTheme="minorHAnsi" w:cstheme="minorHAnsi"/>
                <w:spacing w:val="-6"/>
              </w:rPr>
              <w:t xml:space="preserve"> </w:t>
            </w:r>
            <w:r w:rsidRPr="00640161">
              <w:rPr>
                <w:rFonts w:asciiTheme="minorHAnsi" w:hAnsiTheme="minorHAnsi" w:cstheme="minorHAnsi"/>
              </w:rPr>
              <w:t>of</w:t>
            </w:r>
            <w:r w:rsidRPr="00640161">
              <w:rPr>
                <w:rFonts w:asciiTheme="minorHAnsi" w:hAnsiTheme="minorHAnsi" w:cstheme="minorHAnsi"/>
                <w:spacing w:val="-6"/>
              </w:rPr>
              <w:t xml:space="preserve"> </w:t>
            </w:r>
            <w:r w:rsidRPr="00640161">
              <w:rPr>
                <w:rFonts w:asciiTheme="minorHAnsi" w:hAnsiTheme="minorHAnsi" w:cstheme="minorHAnsi"/>
                <w:spacing w:val="-2"/>
              </w:rPr>
              <w:t xml:space="preserve">heart </w:t>
            </w:r>
            <w:r w:rsidRPr="00640161">
              <w:rPr>
                <w:rFonts w:asciiTheme="minorHAnsi" w:hAnsiTheme="minorHAnsi" w:cstheme="minorHAnsi"/>
              </w:rPr>
              <w:t>failure</w:t>
            </w:r>
            <w:r w:rsidRPr="00640161">
              <w:rPr>
                <w:rFonts w:asciiTheme="minorHAnsi" w:hAnsiTheme="minorHAnsi" w:cstheme="minorHAnsi"/>
                <w:spacing w:val="-8"/>
              </w:rPr>
              <w:t xml:space="preserve"> </w:t>
            </w:r>
            <w:r w:rsidRPr="00640161">
              <w:rPr>
                <w:rFonts w:asciiTheme="minorHAnsi" w:hAnsiTheme="minorHAnsi" w:cstheme="minorHAnsi"/>
              </w:rPr>
              <w:t>in</w:t>
            </w:r>
            <w:r w:rsidRPr="00640161">
              <w:rPr>
                <w:rFonts w:asciiTheme="minorHAnsi" w:hAnsiTheme="minorHAnsi" w:cstheme="minorHAnsi"/>
                <w:spacing w:val="-8"/>
              </w:rPr>
              <w:t xml:space="preserve"> </w:t>
            </w:r>
            <w:r w:rsidRPr="00640161">
              <w:rPr>
                <w:rFonts w:asciiTheme="minorHAnsi" w:hAnsiTheme="minorHAnsi" w:cstheme="minorHAnsi"/>
              </w:rPr>
              <w:t>Australia.</w:t>
            </w:r>
            <w:r w:rsidRPr="00640161">
              <w:rPr>
                <w:rFonts w:asciiTheme="minorHAnsi" w:hAnsiTheme="minorHAnsi" w:cstheme="minorHAnsi"/>
                <w:spacing w:val="-8"/>
              </w:rPr>
              <w:t xml:space="preserve"> </w:t>
            </w:r>
            <w:r w:rsidRPr="00640161">
              <w:rPr>
                <w:rFonts w:asciiTheme="minorHAnsi" w:hAnsiTheme="minorHAnsi" w:cstheme="minorHAnsi"/>
                <w:i/>
              </w:rPr>
              <w:t>Heart,</w:t>
            </w:r>
            <w:r w:rsidRPr="00640161">
              <w:rPr>
                <w:rFonts w:asciiTheme="minorHAnsi" w:hAnsiTheme="minorHAnsi" w:cstheme="minorHAnsi"/>
                <w:i/>
                <w:spacing w:val="-8"/>
              </w:rPr>
              <w:t xml:space="preserve"> </w:t>
            </w:r>
            <w:r w:rsidRPr="00640161">
              <w:rPr>
                <w:rFonts w:asciiTheme="minorHAnsi" w:hAnsiTheme="minorHAnsi" w:cstheme="minorHAnsi"/>
                <w:i/>
              </w:rPr>
              <w:t>Lung</w:t>
            </w:r>
            <w:r w:rsidRPr="00640161">
              <w:rPr>
                <w:rFonts w:asciiTheme="minorHAnsi" w:hAnsiTheme="minorHAnsi" w:cstheme="minorHAnsi"/>
                <w:i/>
                <w:spacing w:val="-8"/>
              </w:rPr>
              <w:t xml:space="preserve"> </w:t>
            </w:r>
            <w:r w:rsidRPr="00640161">
              <w:rPr>
                <w:rFonts w:asciiTheme="minorHAnsi" w:hAnsiTheme="minorHAnsi" w:cstheme="minorHAnsi"/>
                <w:i/>
              </w:rPr>
              <w:t>and Circulation</w:t>
            </w:r>
            <w:r w:rsidRPr="00640161">
              <w:rPr>
                <w:rFonts w:asciiTheme="minorHAnsi" w:hAnsiTheme="minorHAnsi" w:cstheme="minorHAnsi"/>
              </w:rPr>
              <w:t xml:space="preserve">, </w:t>
            </w:r>
            <w:r w:rsidRPr="00640161">
              <w:rPr>
                <w:rFonts w:asciiTheme="minorHAnsi" w:hAnsiTheme="minorHAnsi" w:cstheme="minorHAnsi"/>
                <w:i/>
              </w:rPr>
              <w:t>27</w:t>
            </w:r>
            <w:r w:rsidRPr="00640161">
              <w:rPr>
                <w:rFonts w:asciiTheme="minorHAnsi" w:hAnsiTheme="minorHAnsi" w:cstheme="minorHAnsi"/>
              </w:rPr>
              <w:t xml:space="preserve">(10), 1123-1208. </w:t>
            </w:r>
            <w:proofErr w:type="gramStart"/>
            <w:r w:rsidRPr="00640161">
              <w:rPr>
                <w:rFonts w:asciiTheme="minorHAnsi" w:hAnsiTheme="minorHAnsi" w:cstheme="minorHAnsi"/>
                <w:spacing w:val="-2"/>
              </w:rPr>
              <w:t>DOI:10.1016/j.hlc</w:t>
            </w:r>
            <w:proofErr w:type="gramEnd"/>
            <w:r w:rsidRPr="00640161">
              <w:rPr>
                <w:rFonts w:asciiTheme="minorHAnsi" w:hAnsiTheme="minorHAnsi" w:cstheme="minorHAnsi"/>
                <w:spacing w:val="-2"/>
              </w:rPr>
              <w:t>.2018.06.1042</w:t>
            </w:r>
          </w:p>
        </w:tc>
        <w:tc>
          <w:tcPr>
            <w:tcW w:w="1417" w:type="dxa"/>
          </w:tcPr>
          <w:p w14:paraId="6D010EC4"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Australian College of Nursing,</w:t>
            </w:r>
          </w:p>
          <w:p w14:paraId="5CA057BB"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Australian College of Rural &amp; Remote Medicine,</w:t>
            </w:r>
          </w:p>
          <w:p w14:paraId="0E529BBF"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Australian Commission on Safety &amp; Quality on Health Care,</w:t>
            </w:r>
          </w:p>
          <w:p w14:paraId="122D96B4"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ANZ Society of Cardiac &amp; Thoracic Surgeons.</w:t>
            </w:r>
          </w:p>
        </w:tc>
        <w:tc>
          <w:tcPr>
            <w:tcW w:w="1560" w:type="dxa"/>
          </w:tcPr>
          <w:p w14:paraId="79FB203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Cardiology</w:t>
            </w:r>
          </w:p>
        </w:tc>
        <w:tc>
          <w:tcPr>
            <w:tcW w:w="2126" w:type="dxa"/>
          </w:tcPr>
          <w:p w14:paraId="32102AB0"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“Female gender” (=sex) found once. Use “women”, “men”.</w:t>
            </w:r>
          </w:p>
        </w:tc>
        <w:tc>
          <w:tcPr>
            <w:tcW w:w="1984" w:type="dxa"/>
          </w:tcPr>
          <w:p w14:paraId="31425EB5" w14:textId="77777777" w:rsidR="00094656" w:rsidRPr="00640161" w:rsidRDefault="00094656" w:rsidP="0067273F">
            <w:pPr>
              <w:pStyle w:val="TableParagraph"/>
              <w:ind w:right="160"/>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risk</w:t>
            </w:r>
            <w:r w:rsidRPr="00640161">
              <w:rPr>
                <w:rFonts w:asciiTheme="minorHAnsi" w:hAnsiTheme="minorHAnsi" w:cstheme="minorHAnsi"/>
                <w:spacing w:val="-12"/>
              </w:rPr>
              <w:t xml:space="preserve"> </w:t>
            </w:r>
            <w:r w:rsidRPr="00640161">
              <w:rPr>
                <w:rFonts w:asciiTheme="minorHAnsi" w:hAnsiTheme="minorHAnsi" w:cstheme="minorHAnsi"/>
              </w:rPr>
              <w:t xml:space="preserve">factors, diagnosis, treatment </w:t>
            </w:r>
            <w:r w:rsidRPr="00640161">
              <w:rPr>
                <w:rFonts w:asciiTheme="minorHAnsi" w:hAnsiTheme="minorHAnsi" w:cstheme="minorHAnsi"/>
                <w:spacing w:val="-2"/>
              </w:rPr>
              <w:t>recommendations.</w:t>
            </w:r>
          </w:p>
          <w:p w14:paraId="5A380524"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 xml:space="preserve">Precautions in relation to </w:t>
            </w:r>
            <w:r>
              <w:rPr>
                <w:rFonts w:asciiTheme="minorHAnsi" w:hAnsiTheme="minorHAnsi" w:cstheme="minorHAnsi"/>
              </w:rPr>
              <w:t>I</w:t>
            </w:r>
            <w:r w:rsidRPr="00640161">
              <w:rPr>
                <w:rFonts w:asciiTheme="minorHAnsi" w:hAnsiTheme="minorHAnsi" w:cstheme="minorHAnsi"/>
              </w:rPr>
              <w:t>ndigenous</w:t>
            </w:r>
            <w:r w:rsidRPr="00640161">
              <w:rPr>
                <w:rFonts w:asciiTheme="minorHAnsi" w:hAnsiTheme="minorHAnsi" w:cstheme="minorHAnsi"/>
                <w:spacing w:val="-13"/>
              </w:rPr>
              <w:t xml:space="preserve"> </w:t>
            </w:r>
            <w:r w:rsidRPr="00640161">
              <w:rPr>
                <w:rFonts w:asciiTheme="minorHAnsi" w:hAnsiTheme="minorHAnsi" w:cstheme="minorHAnsi"/>
              </w:rPr>
              <w:t>pregnant</w:t>
            </w:r>
            <w:r w:rsidRPr="00640161">
              <w:rPr>
                <w:rFonts w:asciiTheme="minorHAnsi" w:hAnsiTheme="minorHAnsi" w:cstheme="minorHAnsi"/>
                <w:spacing w:val="-12"/>
              </w:rPr>
              <w:t xml:space="preserve"> </w:t>
            </w:r>
            <w:r w:rsidRPr="00640161">
              <w:rPr>
                <w:rFonts w:asciiTheme="minorHAnsi" w:hAnsiTheme="minorHAnsi" w:cstheme="minorHAnsi"/>
              </w:rPr>
              <w:t>women.</w:t>
            </w:r>
          </w:p>
        </w:tc>
        <w:tc>
          <w:tcPr>
            <w:tcW w:w="1843" w:type="dxa"/>
          </w:tcPr>
          <w:p w14:paraId="322A298B"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16888FD1"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3F67E104" w14:textId="77777777" w:rsidTr="0067273F">
        <w:trPr>
          <w:cantSplit/>
        </w:trPr>
        <w:tc>
          <w:tcPr>
            <w:tcW w:w="1575" w:type="dxa"/>
          </w:tcPr>
          <w:p w14:paraId="38134889"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Phoenix</w:t>
            </w:r>
            <w:r w:rsidRPr="00640161">
              <w:rPr>
                <w:rFonts w:asciiTheme="minorHAnsi" w:hAnsiTheme="minorHAnsi" w:cstheme="minorHAnsi"/>
                <w:b/>
                <w:spacing w:val="-7"/>
              </w:rPr>
              <w:t xml:space="preserve"> </w:t>
            </w:r>
            <w:r w:rsidRPr="00640161">
              <w:rPr>
                <w:rFonts w:asciiTheme="minorHAnsi" w:hAnsiTheme="minorHAnsi" w:cstheme="minorHAnsi"/>
                <w:b/>
                <w:spacing w:val="-2"/>
              </w:rPr>
              <w:t>Australia</w:t>
            </w:r>
          </w:p>
        </w:tc>
        <w:tc>
          <w:tcPr>
            <w:tcW w:w="3119" w:type="dxa"/>
          </w:tcPr>
          <w:p w14:paraId="56D292C0" w14:textId="77777777" w:rsidR="00094656" w:rsidRPr="00AB0D1C" w:rsidRDefault="00094656" w:rsidP="0067273F">
            <w:pPr>
              <w:pStyle w:val="TableParagraph"/>
              <w:keepNext/>
              <w:keepLines/>
              <w:widowControl/>
              <w:ind w:right="97"/>
              <w:rPr>
                <w:rFonts w:asciiTheme="minorHAnsi" w:hAnsiTheme="minorHAnsi" w:cstheme="minorHAnsi"/>
              </w:rPr>
            </w:pPr>
            <w:r w:rsidRPr="00AB0D1C">
              <w:rPr>
                <w:rFonts w:asciiTheme="minorHAnsi" w:hAnsiTheme="minorHAnsi" w:cstheme="minorHAnsi"/>
              </w:rPr>
              <w:t>Australian</w:t>
            </w:r>
            <w:r w:rsidRPr="00AB0D1C">
              <w:rPr>
                <w:rFonts w:asciiTheme="minorHAnsi" w:hAnsiTheme="minorHAnsi" w:cstheme="minorHAnsi"/>
                <w:spacing w:val="-9"/>
              </w:rPr>
              <w:t xml:space="preserve"> </w:t>
            </w:r>
            <w:r w:rsidRPr="00AB0D1C">
              <w:rPr>
                <w:rFonts w:asciiTheme="minorHAnsi" w:hAnsiTheme="minorHAnsi" w:cstheme="minorHAnsi"/>
              </w:rPr>
              <w:t>Guidelines</w:t>
            </w:r>
            <w:r w:rsidRPr="00AB0D1C">
              <w:rPr>
                <w:rFonts w:asciiTheme="minorHAnsi" w:hAnsiTheme="minorHAnsi" w:cstheme="minorHAnsi"/>
                <w:spacing w:val="-9"/>
              </w:rPr>
              <w:t xml:space="preserve"> </w:t>
            </w:r>
            <w:r w:rsidRPr="00AB0D1C">
              <w:rPr>
                <w:rFonts w:asciiTheme="minorHAnsi" w:hAnsiTheme="minorHAnsi" w:cstheme="minorHAnsi"/>
              </w:rPr>
              <w:t>for</w:t>
            </w:r>
            <w:r w:rsidRPr="00AB0D1C">
              <w:rPr>
                <w:rFonts w:asciiTheme="minorHAnsi" w:hAnsiTheme="minorHAnsi" w:cstheme="minorHAnsi"/>
                <w:spacing w:val="-9"/>
              </w:rPr>
              <w:t xml:space="preserve"> </w:t>
            </w:r>
            <w:r w:rsidRPr="00AB0D1C">
              <w:rPr>
                <w:rFonts w:asciiTheme="minorHAnsi" w:hAnsiTheme="minorHAnsi" w:cstheme="minorHAnsi"/>
              </w:rPr>
              <w:t>the</w:t>
            </w:r>
            <w:r w:rsidRPr="00AB0D1C">
              <w:rPr>
                <w:rFonts w:asciiTheme="minorHAnsi" w:hAnsiTheme="minorHAnsi" w:cstheme="minorHAnsi"/>
                <w:spacing w:val="-9"/>
              </w:rPr>
              <w:t xml:space="preserve"> </w:t>
            </w:r>
            <w:r w:rsidRPr="00AB0D1C">
              <w:rPr>
                <w:rFonts w:asciiTheme="minorHAnsi" w:hAnsiTheme="minorHAnsi" w:cstheme="minorHAnsi"/>
              </w:rPr>
              <w:t>Prevention and</w:t>
            </w:r>
            <w:r w:rsidRPr="00AB0D1C">
              <w:rPr>
                <w:rFonts w:asciiTheme="minorHAnsi" w:hAnsiTheme="minorHAnsi" w:cstheme="minorHAnsi"/>
                <w:spacing w:val="-8"/>
              </w:rPr>
              <w:t xml:space="preserve"> </w:t>
            </w:r>
            <w:r w:rsidRPr="00AB0D1C">
              <w:rPr>
                <w:rFonts w:asciiTheme="minorHAnsi" w:hAnsiTheme="minorHAnsi" w:cstheme="minorHAnsi"/>
              </w:rPr>
              <w:t>Treatment</w:t>
            </w:r>
            <w:r w:rsidRPr="00AB0D1C">
              <w:rPr>
                <w:rFonts w:asciiTheme="minorHAnsi" w:hAnsiTheme="minorHAnsi" w:cstheme="minorHAnsi"/>
                <w:spacing w:val="-8"/>
              </w:rPr>
              <w:t xml:space="preserve"> </w:t>
            </w:r>
            <w:r w:rsidRPr="00AB0D1C">
              <w:rPr>
                <w:rFonts w:asciiTheme="minorHAnsi" w:hAnsiTheme="minorHAnsi" w:cstheme="minorHAnsi"/>
              </w:rPr>
              <w:t>of</w:t>
            </w:r>
            <w:r w:rsidRPr="00AB0D1C">
              <w:rPr>
                <w:rFonts w:asciiTheme="minorHAnsi" w:hAnsiTheme="minorHAnsi" w:cstheme="minorHAnsi"/>
                <w:spacing w:val="-8"/>
              </w:rPr>
              <w:t xml:space="preserve"> </w:t>
            </w:r>
            <w:r w:rsidRPr="00AB0D1C">
              <w:rPr>
                <w:rFonts w:asciiTheme="minorHAnsi" w:hAnsiTheme="minorHAnsi" w:cstheme="minorHAnsi"/>
              </w:rPr>
              <w:t>Acute</w:t>
            </w:r>
            <w:r w:rsidRPr="00AB0D1C">
              <w:rPr>
                <w:rFonts w:asciiTheme="minorHAnsi" w:hAnsiTheme="minorHAnsi" w:cstheme="minorHAnsi"/>
                <w:spacing w:val="-8"/>
              </w:rPr>
              <w:t xml:space="preserve"> </w:t>
            </w:r>
            <w:r w:rsidRPr="00AB0D1C">
              <w:rPr>
                <w:rFonts w:asciiTheme="minorHAnsi" w:hAnsiTheme="minorHAnsi" w:cstheme="minorHAnsi"/>
              </w:rPr>
              <w:t>Stress</w:t>
            </w:r>
            <w:r w:rsidRPr="00AB0D1C">
              <w:rPr>
                <w:rFonts w:asciiTheme="minorHAnsi" w:hAnsiTheme="minorHAnsi" w:cstheme="minorHAnsi"/>
                <w:spacing w:val="-8"/>
              </w:rPr>
              <w:t xml:space="preserve"> </w:t>
            </w:r>
            <w:r w:rsidRPr="00AB0D1C">
              <w:rPr>
                <w:rFonts w:asciiTheme="minorHAnsi" w:hAnsiTheme="minorHAnsi" w:cstheme="minorHAnsi"/>
              </w:rPr>
              <w:t>Disorder, Posttraumatic Stress Disorder and Complex PTSD, 2021</w:t>
            </w:r>
          </w:p>
          <w:p w14:paraId="6754A790" w14:textId="77777777" w:rsidR="00094656" w:rsidRPr="00AB0D1C" w:rsidRDefault="00094656" w:rsidP="0067273F">
            <w:pPr>
              <w:pStyle w:val="TableParagraph"/>
              <w:keepNext/>
              <w:keepLines/>
              <w:widowControl/>
              <w:spacing w:before="9"/>
              <w:ind w:left="0"/>
              <w:rPr>
                <w:rFonts w:asciiTheme="minorHAnsi" w:hAnsiTheme="minorHAnsi" w:cstheme="minorHAnsi"/>
                <w:b/>
              </w:rPr>
            </w:pPr>
          </w:p>
          <w:p w14:paraId="35AD3B05" w14:textId="77777777" w:rsidR="00094656" w:rsidRPr="00AB0D1C" w:rsidRDefault="00094656" w:rsidP="0067273F">
            <w:pPr>
              <w:pStyle w:val="TableParagraph"/>
              <w:ind w:right="450"/>
              <w:rPr>
                <w:rFonts w:asciiTheme="minorHAnsi" w:hAnsiTheme="minorHAnsi" w:cstheme="minorHAnsi"/>
              </w:rPr>
            </w:pPr>
            <w:hyperlink r:id="rId45">
              <w:r w:rsidRPr="00AB0D1C">
                <w:rPr>
                  <w:rFonts w:asciiTheme="minorHAnsi" w:hAnsiTheme="minorHAnsi" w:cstheme="minorHAnsi"/>
                  <w:spacing w:val="-2"/>
                </w:rPr>
                <w:t>https://w</w:t>
              </w:r>
            </w:hyperlink>
            <w:r w:rsidRPr="00AB0D1C">
              <w:rPr>
                <w:rFonts w:asciiTheme="minorHAnsi" w:hAnsiTheme="minorHAnsi" w:cstheme="minorHAnsi"/>
                <w:spacing w:val="-2"/>
              </w:rPr>
              <w:t>ww.phoe</w:t>
            </w:r>
            <w:hyperlink r:id="rId46">
              <w:r w:rsidRPr="00AB0D1C">
                <w:rPr>
                  <w:rFonts w:asciiTheme="minorHAnsi" w:hAnsiTheme="minorHAnsi" w:cstheme="minorHAnsi"/>
                  <w:spacing w:val="-2"/>
                </w:rPr>
                <w:t>nixaustral</w:t>
              </w:r>
            </w:hyperlink>
            <w:r w:rsidRPr="00AB0D1C">
              <w:rPr>
                <w:rFonts w:asciiTheme="minorHAnsi" w:hAnsiTheme="minorHAnsi" w:cstheme="minorHAnsi"/>
                <w:spacing w:val="-2"/>
              </w:rPr>
              <w:t>i</w:t>
            </w:r>
            <w:hyperlink r:id="rId47">
              <w:r w:rsidRPr="00AB0D1C">
                <w:rPr>
                  <w:rFonts w:asciiTheme="minorHAnsi" w:hAnsiTheme="minorHAnsi" w:cstheme="minorHAnsi"/>
                  <w:spacing w:val="-2"/>
                </w:rPr>
                <w:t>a.org/austr</w:t>
              </w:r>
            </w:hyperlink>
            <w:r w:rsidRPr="00AB0D1C">
              <w:rPr>
                <w:rFonts w:asciiTheme="minorHAnsi" w:hAnsiTheme="minorHAnsi" w:cstheme="minorHAnsi"/>
                <w:spacing w:val="-2"/>
              </w:rPr>
              <w:t>alian-guidelines-for-ptsd/</w:t>
            </w:r>
          </w:p>
        </w:tc>
        <w:tc>
          <w:tcPr>
            <w:tcW w:w="1417" w:type="dxa"/>
          </w:tcPr>
          <w:p w14:paraId="51BE0462" w14:textId="77777777" w:rsidR="00094656" w:rsidRPr="00AB0D1C" w:rsidRDefault="00094656" w:rsidP="0067273F">
            <w:pPr>
              <w:pStyle w:val="TableParagraph"/>
              <w:ind w:left="108" w:right="96"/>
              <w:rPr>
                <w:rFonts w:asciiTheme="minorHAnsi" w:hAnsiTheme="minorHAnsi" w:cstheme="minorHAnsi"/>
              </w:rPr>
            </w:pPr>
            <w:r w:rsidRPr="00AB0D1C">
              <w:rPr>
                <w:rFonts w:asciiTheme="minorHAnsi" w:hAnsiTheme="minorHAnsi" w:cstheme="minorHAnsi"/>
              </w:rPr>
              <w:t>Approved</w:t>
            </w:r>
            <w:r w:rsidRPr="00AB0D1C">
              <w:rPr>
                <w:rFonts w:asciiTheme="minorHAnsi" w:hAnsiTheme="minorHAnsi" w:cstheme="minorHAnsi"/>
                <w:spacing w:val="25"/>
              </w:rPr>
              <w:t xml:space="preserve"> </w:t>
            </w:r>
            <w:r w:rsidRPr="00AB0D1C">
              <w:rPr>
                <w:rFonts w:asciiTheme="minorHAnsi" w:hAnsiTheme="minorHAnsi" w:cstheme="minorHAnsi"/>
              </w:rPr>
              <w:t>by</w:t>
            </w:r>
            <w:r w:rsidRPr="00AB0D1C">
              <w:rPr>
                <w:rFonts w:asciiTheme="minorHAnsi" w:hAnsiTheme="minorHAnsi" w:cstheme="minorHAnsi"/>
                <w:spacing w:val="-13"/>
              </w:rPr>
              <w:t xml:space="preserve"> </w:t>
            </w:r>
            <w:r w:rsidRPr="00AB0D1C">
              <w:rPr>
                <w:rFonts w:asciiTheme="minorHAnsi" w:hAnsiTheme="minorHAnsi" w:cstheme="minorHAnsi"/>
              </w:rPr>
              <w:t xml:space="preserve">NHMRC </w:t>
            </w:r>
          </w:p>
          <w:p w14:paraId="01BB0E14" w14:textId="77777777" w:rsidR="00094656" w:rsidRPr="00AB0D1C" w:rsidRDefault="00094656" w:rsidP="0067273F">
            <w:pPr>
              <w:pStyle w:val="TableParagraph"/>
              <w:ind w:left="108" w:right="96"/>
              <w:rPr>
                <w:rFonts w:asciiTheme="minorHAnsi" w:hAnsiTheme="minorHAnsi" w:cstheme="minorHAnsi"/>
                <w:shd w:val="clear" w:color="auto" w:fill="FFFFFF"/>
              </w:rPr>
            </w:pPr>
            <w:r w:rsidRPr="00AB0D1C">
              <w:rPr>
                <w:rFonts w:asciiTheme="minorHAnsi" w:hAnsiTheme="minorHAnsi" w:cstheme="minorHAnsi"/>
              </w:rPr>
              <w:t xml:space="preserve">Endorsed by </w:t>
            </w:r>
            <w:r w:rsidRPr="00AB0D1C">
              <w:rPr>
                <w:rFonts w:asciiTheme="minorHAnsi" w:hAnsiTheme="minorHAnsi" w:cstheme="minorHAnsi"/>
                <w:shd w:val="clear" w:color="auto" w:fill="FFFFFF"/>
              </w:rPr>
              <w:t>R</w:t>
            </w:r>
            <w:r>
              <w:rPr>
                <w:rFonts w:asciiTheme="minorHAnsi" w:hAnsiTheme="minorHAnsi" w:cstheme="minorHAnsi"/>
                <w:shd w:val="clear" w:color="auto" w:fill="FFFFFF"/>
              </w:rPr>
              <w:t>ANZ</w:t>
            </w:r>
            <w:r w:rsidRPr="00AB0D1C">
              <w:rPr>
                <w:rFonts w:asciiTheme="minorHAnsi" w:hAnsiTheme="minorHAnsi" w:cstheme="minorHAnsi"/>
                <w:shd w:val="clear" w:color="auto" w:fill="FFFFFF"/>
              </w:rPr>
              <w:t xml:space="preserve"> College of Psychiatrists,</w:t>
            </w:r>
          </w:p>
          <w:p w14:paraId="0017CD04" w14:textId="77777777" w:rsidR="00094656" w:rsidRPr="00AB0D1C" w:rsidRDefault="00094656" w:rsidP="0067273F">
            <w:pPr>
              <w:pStyle w:val="TableParagraph"/>
              <w:ind w:left="108" w:right="96"/>
              <w:rPr>
                <w:rFonts w:asciiTheme="minorHAnsi" w:hAnsiTheme="minorHAnsi" w:cstheme="minorHAnsi"/>
                <w:shd w:val="clear" w:color="auto" w:fill="FFFFFF"/>
              </w:rPr>
            </w:pPr>
            <w:r w:rsidRPr="00AB0D1C">
              <w:rPr>
                <w:rFonts w:asciiTheme="minorHAnsi" w:hAnsiTheme="minorHAnsi" w:cstheme="minorHAnsi"/>
                <w:shd w:val="clear" w:color="auto" w:fill="FFFFFF"/>
              </w:rPr>
              <w:t>Royal Australian College of General Practitioners</w:t>
            </w:r>
            <w:r>
              <w:rPr>
                <w:rFonts w:asciiTheme="minorHAnsi" w:hAnsiTheme="minorHAnsi" w:cstheme="minorHAnsi"/>
                <w:shd w:val="clear" w:color="auto" w:fill="FFFFFF"/>
              </w:rPr>
              <w:t>,</w:t>
            </w:r>
          </w:p>
          <w:p w14:paraId="2C20CB54" w14:textId="77777777" w:rsidR="00094656" w:rsidRPr="00640161" w:rsidRDefault="00094656" w:rsidP="0067273F">
            <w:pPr>
              <w:pStyle w:val="TableParagraph"/>
              <w:ind w:left="108" w:right="96"/>
              <w:rPr>
                <w:rFonts w:asciiTheme="minorHAnsi" w:hAnsiTheme="minorHAnsi" w:cstheme="minorHAnsi"/>
              </w:rPr>
            </w:pPr>
            <w:r w:rsidRPr="00AB0D1C">
              <w:rPr>
                <w:rFonts w:asciiTheme="minorHAnsi" w:hAnsiTheme="minorHAnsi" w:cstheme="minorHAnsi"/>
                <w:shd w:val="clear" w:color="auto" w:fill="FFFFFF"/>
              </w:rPr>
              <w:t>Australian Psychological Society</w:t>
            </w:r>
          </w:p>
        </w:tc>
        <w:tc>
          <w:tcPr>
            <w:tcW w:w="1560" w:type="dxa"/>
          </w:tcPr>
          <w:p w14:paraId="01251AD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 xml:space="preserve">Psychiatry </w:t>
            </w:r>
          </w:p>
        </w:tc>
        <w:tc>
          <w:tcPr>
            <w:tcW w:w="2126" w:type="dxa"/>
          </w:tcPr>
          <w:p w14:paraId="0782B3D6"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3C39C3CA"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“gender”</w:t>
            </w:r>
            <w:r w:rsidRPr="00640161">
              <w:rPr>
                <w:rFonts w:asciiTheme="minorHAnsi" w:hAnsiTheme="minorHAnsi" w:cstheme="minorHAnsi"/>
                <w:spacing w:val="-13"/>
              </w:rPr>
              <w:t xml:space="preserve"> </w:t>
            </w:r>
            <w:r w:rsidRPr="00640161">
              <w:rPr>
                <w:rFonts w:asciiTheme="minorHAnsi" w:hAnsiTheme="minorHAnsi" w:cstheme="minorHAnsi"/>
              </w:rPr>
              <w:t xml:space="preserve">used </w:t>
            </w:r>
            <w:r w:rsidRPr="00640161">
              <w:rPr>
                <w:rFonts w:asciiTheme="minorHAnsi" w:hAnsiTheme="minorHAnsi" w:cstheme="minorHAnsi"/>
                <w:spacing w:val="-2"/>
              </w:rPr>
              <w:t>interchangeably.</w:t>
            </w:r>
          </w:p>
        </w:tc>
        <w:tc>
          <w:tcPr>
            <w:tcW w:w="1984" w:type="dxa"/>
          </w:tcPr>
          <w:p w14:paraId="0F18FC1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prevalence,</w:t>
            </w:r>
            <w:r w:rsidRPr="00640161">
              <w:rPr>
                <w:rFonts w:asciiTheme="minorHAnsi" w:hAnsiTheme="minorHAnsi" w:cstheme="minorHAnsi"/>
                <w:spacing w:val="-12"/>
              </w:rPr>
              <w:t xml:space="preserve"> </w:t>
            </w:r>
            <w:r w:rsidRPr="00640161">
              <w:rPr>
                <w:rFonts w:asciiTheme="minorHAnsi" w:hAnsiTheme="minorHAnsi" w:cstheme="minorHAnsi"/>
              </w:rPr>
              <w:t xml:space="preserve">risk </w:t>
            </w:r>
            <w:r w:rsidRPr="00640161">
              <w:rPr>
                <w:rFonts w:asciiTheme="minorHAnsi" w:hAnsiTheme="minorHAnsi" w:cstheme="minorHAnsi"/>
                <w:spacing w:val="-2"/>
              </w:rPr>
              <w:t>factors.</w:t>
            </w:r>
          </w:p>
          <w:p w14:paraId="4C8AF04A" w14:textId="77777777" w:rsidR="00094656" w:rsidRPr="00640161" w:rsidRDefault="00094656" w:rsidP="0067273F">
            <w:pPr>
              <w:pStyle w:val="TableParagraph"/>
              <w:ind w:left="108" w:right="96"/>
              <w:rPr>
                <w:rFonts w:asciiTheme="minorHAnsi" w:hAnsiTheme="minorHAnsi" w:cstheme="minorHAnsi"/>
                <w:spacing w:val="-2"/>
              </w:rPr>
            </w:pPr>
            <w:r w:rsidRPr="00640161">
              <w:rPr>
                <w:rFonts w:asciiTheme="minorHAnsi" w:hAnsiTheme="minorHAnsi" w:cstheme="minorHAnsi"/>
              </w:rPr>
              <w:t xml:space="preserve">Sex of practitioner to be considered in working with survivors of sexual assault. Recommend </w:t>
            </w:r>
            <w:proofErr w:type="gramStart"/>
            <w:r w:rsidRPr="00640161">
              <w:rPr>
                <w:rFonts w:asciiTheme="minorHAnsi" w:hAnsiTheme="minorHAnsi" w:cstheme="minorHAnsi"/>
              </w:rPr>
              <w:t>particular intervention</w:t>
            </w:r>
            <w:proofErr w:type="gramEnd"/>
            <w:r w:rsidRPr="00640161">
              <w:rPr>
                <w:rFonts w:asciiTheme="minorHAnsi" w:hAnsiTheme="minorHAnsi" w:cstheme="minorHAnsi"/>
              </w:rPr>
              <w:t>, treatment, management</w:t>
            </w:r>
            <w:r w:rsidRPr="00640161">
              <w:rPr>
                <w:rFonts w:asciiTheme="minorHAnsi" w:hAnsiTheme="minorHAnsi" w:cstheme="minorHAnsi"/>
                <w:spacing w:val="-13"/>
              </w:rPr>
              <w:t xml:space="preserve"> </w:t>
            </w:r>
            <w:r w:rsidRPr="00640161">
              <w:rPr>
                <w:rFonts w:asciiTheme="minorHAnsi" w:hAnsiTheme="minorHAnsi" w:cstheme="minorHAnsi"/>
              </w:rPr>
              <w:t>for</w:t>
            </w:r>
            <w:r w:rsidRPr="00640161">
              <w:rPr>
                <w:rFonts w:asciiTheme="minorHAnsi" w:hAnsiTheme="minorHAnsi" w:cstheme="minorHAnsi"/>
                <w:spacing w:val="-12"/>
              </w:rPr>
              <w:t xml:space="preserve"> </w:t>
            </w:r>
            <w:r w:rsidRPr="00640161">
              <w:rPr>
                <w:rFonts w:asciiTheme="minorHAnsi" w:hAnsiTheme="minorHAnsi" w:cstheme="minorHAnsi"/>
              </w:rPr>
              <w:t>women</w:t>
            </w:r>
            <w:r w:rsidRPr="00640161">
              <w:rPr>
                <w:rFonts w:asciiTheme="minorHAnsi" w:hAnsiTheme="minorHAnsi" w:cstheme="minorHAnsi"/>
                <w:spacing w:val="-13"/>
              </w:rPr>
              <w:t xml:space="preserve"> </w:t>
            </w:r>
            <w:r w:rsidRPr="00640161">
              <w:rPr>
                <w:rFonts w:asciiTheme="minorHAnsi" w:hAnsiTheme="minorHAnsi" w:cstheme="minorHAnsi"/>
              </w:rPr>
              <w:t xml:space="preserve">who are First Nations, refugees, migrants, experiencing </w:t>
            </w:r>
            <w:r w:rsidRPr="00640161">
              <w:rPr>
                <w:rFonts w:asciiTheme="minorHAnsi" w:hAnsiTheme="minorHAnsi" w:cstheme="minorHAnsi"/>
                <w:spacing w:val="-2"/>
              </w:rPr>
              <w:t>interpersonal</w:t>
            </w:r>
            <w:r w:rsidRPr="00640161">
              <w:rPr>
                <w:rFonts w:asciiTheme="minorHAnsi" w:hAnsiTheme="minorHAnsi" w:cstheme="minorHAnsi"/>
                <w:spacing w:val="13"/>
              </w:rPr>
              <w:t xml:space="preserve"> </w:t>
            </w:r>
            <w:r w:rsidRPr="00640161">
              <w:rPr>
                <w:rFonts w:asciiTheme="minorHAnsi" w:hAnsiTheme="minorHAnsi" w:cstheme="minorHAnsi"/>
                <w:spacing w:val="-2"/>
              </w:rPr>
              <w:t>violence.</w:t>
            </w:r>
          </w:p>
        </w:tc>
        <w:tc>
          <w:tcPr>
            <w:tcW w:w="1843" w:type="dxa"/>
          </w:tcPr>
          <w:p w14:paraId="0931381A"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Consider</w:t>
            </w:r>
            <w:r w:rsidRPr="00640161">
              <w:rPr>
                <w:rFonts w:asciiTheme="minorHAnsi" w:hAnsiTheme="minorHAnsi" w:cstheme="minorHAnsi"/>
                <w:spacing w:val="-10"/>
              </w:rPr>
              <w:t xml:space="preserve"> </w:t>
            </w:r>
            <w:r w:rsidRPr="00640161">
              <w:rPr>
                <w:rFonts w:asciiTheme="minorHAnsi" w:hAnsiTheme="minorHAnsi" w:cstheme="minorHAnsi"/>
              </w:rPr>
              <w:t>cultural</w:t>
            </w:r>
            <w:r w:rsidRPr="00640161">
              <w:rPr>
                <w:rFonts w:asciiTheme="minorHAnsi" w:hAnsiTheme="minorHAnsi" w:cstheme="minorHAnsi"/>
                <w:spacing w:val="-10"/>
              </w:rPr>
              <w:t xml:space="preserve"> </w:t>
            </w:r>
            <w:r w:rsidRPr="00640161">
              <w:rPr>
                <w:rFonts w:asciiTheme="minorHAnsi" w:hAnsiTheme="minorHAnsi" w:cstheme="minorHAnsi"/>
              </w:rPr>
              <w:t>factors</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who should provide treatment: age, seniority, gender (= sex &amp; </w:t>
            </w:r>
            <w:r w:rsidRPr="00640161">
              <w:rPr>
                <w:rFonts w:asciiTheme="minorHAnsi" w:hAnsiTheme="minorHAnsi" w:cstheme="minorHAnsi"/>
                <w:spacing w:val="-2"/>
              </w:rPr>
              <w:t>gender?).</w:t>
            </w:r>
          </w:p>
        </w:tc>
        <w:tc>
          <w:tcPr>
            <w:tcW w:w="1276" w:type="dxa"/>
          </w:tcPr>
          <w:p w14:paraId="40420288"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27E1855F" w14:textId="77777777" w:rsidTr="0067273F">
        <w:tc>
          <w:tcPr>
            <w:tcW w:w="1575" w:type="dxa"/>
          </w:tcPr>
          <w:p w14:paraId="0F30267B"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Rheumatic</w:t>
            </w:r>
            <w:r w:rsidRPr="00640161">
              <w:rPr>
                <w:rFonts w:asciiTheme="minorHAnsi" w:hAnsiTheme="minorHAnsi" w:cstheme="minorHAnsi"/>
                <w:b/>
                <w:spacing w:val="-13"/>
              </w:rPr>
              <w:t xml:space="preserve"> </w:t>
            </w:r>
            <w:r w:rsidRPr="00640161">
              <w:rPr>
                <w:rFonts w:asciiTheme="minorHAnsi" w:hAnsiTheme="minorHAnsi" w:cstheme="minorHAnsi"/>
                <w:b/>
              </w:rPr>
              <w:t xml:space="preserve">Heart Disease (RHD) </w:t>
            </w:r>
            <w:r w:rsidRPr="00640161">
              <w:rPr>
                <w:rFonts w:asciiTheme="minorHAnsi" w:hAnsiTheme="minorHAnsi" w:cstheme="minorHAnsi"/>
                <w:b/>
                <w:spacing w:val="-2"/>
              </w:rPr>
              <w:t>Australia</w:t>
            </w:r>
          </w:p>
        </w:tc>
        <w:tc>
          <w:tcPr>
            <w:tcW w:w="3119" w:type="dxa"/>
          </w:tcPr>
          <w:p w14:paraId="4540EFDC" w14:textId="77777777" w:rsidR="00094656" w:rsidRPr="00640161" w:rsidRDefault="00094656" w:rsidP="0067273F">
            <w:pPr>
              <w:pStyle w:val="TableParagraph"/>
              <w:ind w:left="108" w:right="96"/>
              <w:rPr>
                <w:rFonts w:asciiTheme="minorHAnsi" w:hAnsiTheme="minorHAnsi" w:cstheme="minorHAnsi"/>
              </w:rPr>
            </w:pPr>
            <w:r w:rsidRPr="00C232DC">
              <w:rPr>
                <w:rFonts w:asciiTheme="minorHAnsi" w:hAnsiTheme="minorHAnsi" w:cstheme="minorHAnsi"/>
              </w:rPr>
              <w:t>The 2020 Australian guideline for prevention,</w:t>
            </w:r>
            <w:r w:rsidRPr="00C232DC">
              <w:rPr>
                <w:rFonts w:asciiTheme="minorHAnsi" w:hAnsiTheme="minorHAnsi" w:cstheme="minorHAnsi"/>
                <w:spacing w:val="-7"/>
              </w:rPr>
              <w:t xml:space="preserve"> </w:t>
            </w:r>
            <w:r w:rsidRPr="00C232DC">
              <w:rPr>
                <w:rFonts w:asciiTheme="minorHAnsi" w:hAnsiTheme="minorHAnsi" w:cstheme="minorHAnsi"/>
              </w:rPr>
              <w:t>diagnosis</w:t>
            </w:r>
            <w:r w:rsidRPr="00C232DC">
              <w:rPr>
                <w:rFonts w:asciiTheme="minorHAnsi" w:hAnsiTheme="minorHAnsi" w:cstheme="minorHAnsi"/>
                <w:spacing w:val="-7"/>
              </w:rPr>
              <w:t xml:space="preserve"> </w:t>
            </w:r>
            <w:r w:rsidRPr="00C232DC">
              <w:rPr>
                <w:rFonts w:asciiTheme="minorHAnsi" w:hAnsiTheme="minorHAnsi" w:cstheme="minorHAnsi"/>
              </w:rPr>
              <w:t>and</w:t>
            </w:r>
            <w:r w:rsidRPr="00C232DC">
              <w:rPr>
                <w:rFonts w:asciiTheme="minorHAnsi" w:hAnsiTheme="minorHAnsi" w:cstheme="minorHAnsi"/>
                <w:spacing w:val="-7"/>
              </w:rPr>
              <w:t xml:space="preserve"> </w:t>
            </w:r>
            <w:r w:rsidRPr="00C232DC">
              <w:rPr>
                <w:rFonts w:asciiTheme="minorHAnsi" w:hAnsiTheme="minorHAnsi" w:cstheme="minorHAnsi"/>
              </w:rPr>
              <w:t>management of</w:t>
            </w:r>
            <w:r w:rsidRPr="00C232DC">
              <w:rPr>
                <w:rFonts w:asciiTheme="minorHAnsi" w:hAnsiTheme="minorHAnsi" w:cstheme="minorHAnsi"/>
                <w:spacing w:val="-8"/>
              </w:rPr>
              <w:t xml:space="preserve"> </w:t>
            </w:r>
            <w:r w:rsidRPr="00C232DC">
              <w:rPr>
                <w:rFonts w:asciiTheme="minorHAnsi" w:hAnsiTheme="minorHAnsi" w:cstheme="minorHAnsi"/>
              </w:rPr>
              <w:t>acute</w:t>
            </w:r>
            <w:r w:rsidRPr="00C232DC">
              <w:rPr>
                <w:rFonts w:asciiTheme="minorHAnsi" w:hAnsiTheme="minorHAnsi" w:cstheme="minorHAnsi"/>
                <w:spacing w:val="-8"/>
              </w:rPr>
              <w:t xml:space="preserve"> </w:t>
            </w:r>
            <w:r w:rsidRPr="00C232DC">
              <w:rPr>
                <w:rFonts w:asciiTheme="minorHAnsi" w:hAnsiTheme="minorHAnsi" w:cstheme="minorHAnsi"/>
              </w:rPr>
              <w:t>rheumatic</w:t>
            </w:r>
            <w:r w:rsidRPr="00C232DC">
              <w:rPr>
                <w:rFonts w:asciiTheme="minorHAnsi" w:hAnsiTheme="minorHAnsi" w:cstheme="minorHAnsi"/>
                <w:spacing w:val="-8"/>
              </w:rPr>
              <w:t xml:space="preserve"> </w:t>
            </w:r>
            <w:r w:rsidRPr="00C232DC">
              <w:rPr>
                <w:rFonts w:asciiTheme="minorHAnsi" w:hAnsiTheme="minorHAnsi" w:cstheme="minorHAnsi"/>
              </w:rPr>
              <w:t>fever</w:t>
            </w:r>
            <w:r w:rsidRPr="00C232DC">
              <w:rPr>
                <w:rFonts w:asciiTheme="minorHAnsi" w:hAnsiTheme="minorHAnsi" w:cstheme="minorHAnsi"/>
                <w:spacing w:val="-8"/>
              </w:rPr>
              <w:t xml:space="preserve"> </w:t>
            </w:r>
            <w:r w:rsidRPr="00C232DC">
              <w:rPr>
                <w:rFonts w:asciiTheme="minorHAnsi" w:hAnsiTheme="minorHAnsi" w:cstheme="minorHAnsi"/>
              </w:rPr>
              <w:t>and</w:t>
            </w:r>
            <w:r w:rsidRPr="00C232DC">
              <w:rPr>
                <w:rFonts w:asciiTheme="minorHAnsi" w:hAnsiTheme="minorHAnsi" w:cstheme="minorHAnsi"/>
                <w:spacing w:val="-8"/>
              </w:rPr>
              <w:t xml:space="preserve"> </w:t>
            </w:r>
            <w:r w:rsidRPr="00C232DC">
              <w:rPr>
                <w:rFonts w:asciiTheme="minorHAnsi" w:hAnsiTheme="minorHAnsi" w:cstheme="minorHAnsi"/>
              </w:rPr>
              <w:t>rheumatic heart disease (edition 3.2), 2022</w:t>
            </w:r>
          </w:p>
          <w:p w14:paraId="673EA715" w14:textId="77777777" w:rsidR="00094656" w:rsidRPr="00640161" w:rsidRDefault="00094656" w:rsidP="0067273F">
            <w:pPr>
              <w:pStyle w:val="TableParagraph"/>
              <w:ind w:left="108" w:right="96"/>
              <w:rPr>
                <w:rFonts w:asciiTheme="minorHAnsi" w:hAnsiTheme="minorHAnsi" w:cstheme="minorHAnsi"/>
                <w:b/>
              </w:rPr>
            </w:pPr>
          </w:p>
          <w:p w14:paraId="699CBA80" w14:textId="77777777" w:rsidR="00094656" w:rsidRPr="00640161" w:rsidRDefault="00094656" w:rsidP="0067273F">
            <w:pPr>
              <w:pStyle w:val="TableParagraph"/>
              <w:ind w:left="108" w:right="96"/>
              <w:rPr>
                <w:rFonts w:asciiTheme="minorHAnsi" w:hAnsiTheme="minorHAnsi" w:cstheme="minorHAnsi"/>
              </w:rPr>
            </w:pPr>
            <w:hyperlink r:id="rId48">
              <w:r w:rsidRPr="00640161">
                <w:rPr>
                  <w:rFonts w:asciiTheme="minorHAnsi" w:hAnsiTheme="minorHAnsi" w:cstheme="minorHAnsi"/>
                  <w:color w:val="000000" w:themeColor="text1"/>
                  <w:spacing w:val="-2"/>
                </w:rPr>
                <w:t>https://w</w:t>
              </w:r>
            </w:hyperlink>
            <w:r w:rsidRPr="00640161">
              <w:rPr>
                <w:rFonts w:asciiTheme="minorHAnsi" w:hAnsiTheme="minorHAnsi" w:cstheme="minorHAnsi"/>
                <w:color w:val="000000" w:themeColor="text1"/>
                <w:spacing w:val="-2"/>
              </w:rPr>
              <w:t>ww.</w:t>
            </w:r>
            <w:hyperlink r:id="rId49">
              <w:r w:rsidRPr="00640161">
                <w:rPr>
                  <w:rFonts w:asciiTheme="minorHAnsi" w:hAnsiTheme="minorHAnsi" w:cstheme="minorHAnsi"/>
                  <w:color w:val="000000" w:themeColor="text1"/>
                  <w:spacing w:val="-2"/>
                </w:rPr>
                <w:t>rhdaustral</w:t>
              </w:r>
            </w:hyperlink>
            <w:r w:rsidRPr="00640161">
              <w:rPr>
                <w:rFonts w:asciiTheme="minorHAnsi" w:hAnsiTheme="minorHAnsi" w:cstheme="minorHAnsi"/>
                <w:color w:val="000000" w:themeColor="text1"/>
                <w:spacing w:val="-2"/>
              </w:rPr>
              <w:t>ia.</w:t>
            </w:r>
            <w:hyperlink r:id="rId50">
              <w:r w:rsidRPr="00640161">
                <w:rPr>
                  <w:rFonts w:asciiTheme="minorHAnsi" w:hAnsiTheme="minorHAnsi" w:cstheme="minorHAnsi"/>
                  <w:color w:val="000000" w:themeColor="text1"/>
                  <w:spacing w:val="-2"/>
                </w:rPr>
                <w:t>org</w:t>
              </w:r>
            </w:hyperlink>
            <w:r w:rsidRPr="00640161">
              <w:rPr>
                <w:rFonts w:asciiTheme="minorHAnsi" w:hAnsiTheme="minorHAnsi" w:cstheme="minorHAnsi"/>
                <w:color w:val="000000" w:themeColor="text1"/>
                <w:spacing w:val="-2"/>
              </w:rPr>
              <w:t>.</w:t>
            </w:r>
            <w:hyperlink r:id="rId51">
              <w:r w:rsidRPr="00640161">
                <w:rPr>
                  <w:rFonts w:asciiTheme="minorHAnsi" w:hAnsiTheme="minorHAnsi" w:cstheme="minorHAnsi"/>
                  <w:color w:val="000000" w:themeColor="text1"/>
                  <w:spacing w:val="-2"/>
                </w:rPr>
                <w:t>au/syste</w:t>
              </w:r>
            </w:hyperlink>
            <w:r w:rsidRPr="00640161">
              <w:rPr>
                <w:rFonts w:asciiTheme="minorHAnsi" w:hAnsiTheme="minorHAnsi" w:cstheme="minorHAnsi"/>
                <w:color w:val="000000" w:themeColor="text1"/>
                <w:spacing w:val="-2"/>
              </w:rPr>
              <w:t>m/files/fileuploads/arf_rhd_guidelines_3.2_edition_march_2022.pdf</w:t>
            </w:r>
          </w:p>
        </w:tc>
        <w:tc>
          <w:tcPr>
            <w:tcW w:w="1417" w:type="dxa"/>
          </w:tcPr>
          <w:p w14:paraId="3CABB397"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Endorsed by 24 national organisations.</w:t>
            </w:r>
          </w:p>
        </w:tc>
        <w:tc>
          <w:tcPr>
            <w:tcW w:w="1560" w:type="dxa"/>
          </w:tcPr>
          <w:p w14:paraId="221581B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Cardiology</w:t>
            </w:r>
          </w:p>
        </w:tc>
        <w:tc>
          <w:tcPr>
            <w:tcW w:w="2126" w:type="dxa"/>
          </w:tcPr>
          <w:p w14:paraId="2E1D5B56"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3745CBA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sidRPr="00640161">
              <w:rPr>
                <w:rFonts w:asciiTheme="minorHAnsi" w:hAnsiTheme="minorHAnsi" w:cstheme="minorHAnsi"/>
              </w:rPr>
              <w:t>&amp;</w:t>
            </w:r>
            <w:r w:rsidRPr="00640161">
              <w:rPr>
                <w:rFonts w:asciiTheme="minorHAnsi" w:hAnsiTheme="minorHAnsi" w:cstheme="minorHAnsi"/>
                <w:spacing w:val="-12"/>
              </w:rPr>
              <w:t xml:space="preserve"> </w:t>
            </w:r>
            <w:r w:rsidRPr="00640161">
              <w:rPr>
                <w:rFonts w:asciiTheme="minorHAnsi" w:hAnsiTheme="minorHAnsi" w:cstheme="minorHAnsi"/>
              </w:rPr>
              <w:t>“gender”</w:t>
            </w:r>
            <w:r w:rsidRPr="00640161">
              <w:rPr>
                <w:rFonts w:asciiTheme="minorHAnsi" w:hAnsiTheme="minorHAnsi" w:cstheme="minorHAnsi"/>
                <w:spacing w:val="-13"/>
              </w:rPr>
              <w:t xml:space="preserve"> </w:t>
            </w:r>
            <w:r>
              <w:rPr>
                <w:rFonts w:asciiTheme="minorHAnsi" w:hAnsiTheme="minorHAnsi" w:cstheme="minorHAnsi"/>
                <w:spacing w:val="-13"/>
              </w:rPr>
              <w:t xml:space="preserve">both </w:t>
            </w:r>
            <w:r w:rsidRPr="00640161">
              <w:rPr>
                <w:rFonts w:asciiTheme="minorHAnsi" w:hAnsiTheme="minorHAnsi" w:cstheme="minorHAnsi"/>
              </w:rPr>
              <w:t xml:space="preserve">used </w:t>
            </w:r>
            <w:r>
              <w:rPr>
                <w:rFonts w:asciiTheme="minorHAnsi" w:hAnsiTheme="minorHAnsi" w:cstheme="minorHAnsi"/>
                <w:spacing w:val="-2"/>
              </w:rPr>
              <w:t>for “sex”</w:t>
            </w:r>
            <w:r w:rsidRPr="00640161">
              <w:rPr>
                <w:rFonts w:asciiTheme="minorHAnsi" w:hAnsiTheme="minorHAnsi" w:cstheme="minorHAnsi"/>
                <w:spacing w:val="-2"/>
              </w:rPr>
              <w:t>.</w:t>
            </w:r>
          </w:p>
        </w:tc>
        <w:tc>
          <w:tcPr>
            <w:tcW w:w="1984" w:type="dxa"/>
          </w:tcPr>
          <w:p w14:paraId="0BA1D41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Sex-related prevalence, risk factors,</w:t>
            </w:r>
            <w:r w:rsidRPr="00640161">
              <w:rPr>
                <w:rFonts w:asciiTheme="minorHAnsi" w:hAnsiTheme="minorHAnsi" w:cstheme="minorHAnsi"/>
                <w:spacing w:val="-13"/>
              </w:rPr>
              <w:t xml:space="preserve"> </w:t>
            </w:r>
            <w:r w:rsidRPr="00640161">
              <w:rPr>
                <w:rFonts w:asciiTheme="minorHAnsi" w:hAnsiTheme="minorHAnsi" w:cstheme="minorHAnsi"/>
              </w:rPr>
              <w:t>diagnosis,</w:t>
            </w:r>
            <w:r w:rsidRPr="00640161">
              <w:rPr>
                <w:rFonts w:asciiTheme="minorHAnsi" w:hAnsiTheme="minorHAnsi" w:cstheme="minorHAnsi"/>
                <w:spacing w:val="-12"/>
              </w:rPr>
              <w:t xml:space="preserve"> </w:t>
            </w:r>
            <w:r w:rsidRPr="00640161">
              <w:rPr>
                <w:rFonts w:asciiTheme="minorHAnsi" w:hAnsiTheme="minorHAnsi" w:cstheme="minorHAnsi"/>
              </w:rPr>
              <w:t xml:space="preserve">management, </w:t>
            </w:r>
            <w:r w:rsidRPr="00640161">
              <w:rPr>
                <w:rFonts w:asciiTheme="minorHAnsi" w:hAnsiTheme="minorHAnsi" w:cstheme="minorHAnsi"/>
                <w:spacing w:val="-2"/>
              </w:rPr>
              <w:t>recommendations.</w:t>
            </w:r>
          </w:p>
          <w:p w14:paraId="5A51CF04"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Precautions in relation to pregnancy,</w:t>
            </w:r>
            <w:r w:rsidRPr="00640161">
              <w:rPr>
                <w:rFonts w:asciiTheme="minorHAnsi" w:hAnsiTheme="minorHAnsi" w:cstheme="minorHAnsi"/>
                <w:spacing w:val="-13"/>
              </w:rPr>
              <w:t xml:space="preserve"> </w:t>
            </w:r>
            <w:r w:rsidRPr="00640161">
              <w:rPr>
                <w:rFonts w:asciiTheme="minorHAnsi" w:hAnsiTheme="minorHAnsi" w:cstheme="minorHAnsi"/>
              </w:rPr>
              <w:t>breastfeeding. Focus on women &amp; girls.</w:t>
            </w:r>
          </w:p>
        </w:tc>
        <w:tc>
          <w:tcPr>
            <w:tcW w:w="1843" w:type="dxa"/>
          </w:tcPr>
          <w:p w14:paraId="0F7FBECC"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Cultural</w:t>
            </w:r>
            <w:r w:rsidRPr="00640161">
              <w:rPr>
                <w:rFonts w:asciiTheme="minorHAnsi" w:hAnsiTheme="minorHAnsi" w:cstheme="minorHAnsi"/>
                <w:spacing w:val="-13"/>
              </w:rPr>
              <w:t xml:space="preserve"> </w:t>
            </w:r>
            <w:r w:rsidRPr="00640161">
              <w:rPr>
                <w:rFonts w:asciiTheme="minorHAnsi" w:hAnsiTheme="minorHAnsi" w:cstheme="minorHAnsi"/>
              </w:rPr>
              <w:t>but</w:t>
            </w:r>
            <w:r w:rsidRPr="00640161">
              <w:rPr>
                <w:rFonts w:asciiTheme="minorHAnsi" w:hAnsiTheme="minorHAnsi" w:cstheme="minorHAnsi"/>
                <w:spacing w:val="-12"/>
              </w:rPr>
              <w:t xml:space="preserve"> </w:t>
            </w:r>
            <w:r w:rsidRPr="00640161">
              <w:rPr>
                <w:rFonts w:asciiTheme="minorHAnsi" w:hAnsiTheme="minorHAnsi" w:cstheme="minorHAnsi"/>
              </w:rPr>
              <w:t>not</w:t>
            </w:r>
            <w:r w:rsidRPr="00640161">
              <w:rPr>
                <w:rFonts w:asciiTheme="minorHAnsi" w:hAnsiTheme="minorHAnsi" w:cstheme="minorHAnsi"/>
                <w:spacing w:val="-13"/>
              </w:rPr>
              <w:t xml:space="preserve"> </w:t>
            </w:r>
            <w:r w:rsidRPr="00640161">
              <w:rPr>
                <w:rFonts w:asciiTheme="minorHAnsi" w:hAnsiTheme="minorHAnsi" w:cstheme="minorHAnsi"/>
              </w:rPr>
              <w:t xml:space="preserve">gender </w:t>
            </w:r>
            <w:r w:rsidRPr="00640161">
              <w:rPr>
                <w:rFonts w:asciiTheme="minorHAnsi" w:hAnsiTheme="minorHAnsi" w:cstheme="minorHAnsi"/>
                <w:spacing w:val="-2"/>
              </w:rPr>
              <w:t>considerations.</w:t>
            </w:r>
          </w:p>
        </w:tc>
        <w:tc>
          <w:tcPr>
            <w:tcW w:w="1276" w:type="dxa"/>
          </w:tcPr>
          <w:p w14:paraId="32C752A1"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p w14:paraId="23B9BF02" w14:textId="77777777" w:rsidR="00094656" w:rsidRPr="00640161" w:rsidRDefault="00094656" w:rsidP="0067273F">
            <w:pPr>
              <w:pStyle w:val="TableParagraph"/>
              <w:ind w:left="104"/>
              <w:rPr>
                <w:rFonts w:asciiTheme="minorHAnsi" w:hAnsiTheme="minorHAnsi" w:cstheme="minorHAnsi"/>
              </w:rPr>
            </w:pPr>
          </w:p>
        </w:tc>
      </w:tr>
      <w:tr w:rsidR="00094656" w:rsidRPr="00640161" w14:paraId="02CF5718" w14:textId="77777777" w:rsidTr="0067273F">
        <w:trPr>
          <w:cantSplit/>
        </w:trPr>
        <w:tc>
          <w:tcPr>
            <w:tcW w:w="1575" w:type="dxa"/>
          </w:tcPr>
          <w:p w14:paraId="11C65898" w14:textId="77777777" w:rsidR="00094656" w:rsidRPr="00640161" w:rsidRDefault="00094656" w:rsidP="0067273F">
            <w:pPr>
              <w:pStyle w:val="TableParagraph"/>
              <w:ind w:left="108" w:right="96"/>
              <w:jc w:val="both"/>
              <w:rPr>
                <w:rFonts w:asciiTheme="minorHAnsi" w:hAnsiTheme="minorHAnsi" w:cstheme="minorHAnsi"/>
                <w:b/>
              </w:rPr>
            </w:pPr>
            <w:r>
              <w:rPr>
                <w:rFonts w:asciiTheme="minorHAnsi" w:hAnsiTheme="minorHAnsi" w:cstheme="minorHAnsi"/>
                <w:b/>
              </w:rPr>
              <w:lastRenderedPageBreak/>
              <w:t>Royal Australian and New Zealand College of Obstetricians and Gynaecologists</w:t>
            </w:r>
          </w:p>
        </w:tc>
        <w:tc>
          <w:tcPr>
            <w:tcW w:w="3119" w:type="dxa"/>
          </w:tcPr>
          <w:p w14:paraId="014172D9"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Endometriosis clinical practice guideline, 2021</w:t>
            </w:r>
          </w:p>
          <w:p w14:paraId="46DFA814" w14:textId="77777777" w:rsidR="00094656" w:rsidRDefault="00094656" w:rsidP="0067273F">
            <w:pPr>
              <w:pStyle w:val="TableParagraph"/>
              <w:ind w:left="108" w:right="96"/>
              <w:rPr>
                <w:rFonts w:asciiTheme="minorHAnsi" w:hAnsiTheme="minorHAnsi" w:cstheme="minorHAnsi"/>
              </w:rPr>
            </w:pPr>
          </w:p>
          <w:p w14:paraId="0D3FD86B" w14:textId="77777777" w:rsidR="00094656" w:rsidRPr="00C232DC" w:rsidRDefault="00094656" w:rsidP="0067273F">
            <w:pPr>
              <w:pStyle w:val="TableParagraph"/>
              <w:ind w:left="108" w:right="96"/>
              <w:rPr>
                <w:rFonts w:asciiTheme="minorHAnsi" w:hAnsiTheme="minorHAnsi" w:cstheme="minorHAnsi"/>
              </w:rPr>
            </w:pPr>
            <w:r w:rsidRPr="007A62E9">
              <w:rPr>
                <w:rFonts w:asciiTheme="minorHAnsi" w:hAnsiTheme="minorHAnsi" w:cstheme="minorHAnsi"/>
              </w:rPr>
              <w:t>https://ranzcog.edu.au/resources/endometriosis-clinical-practice-guideline/</w:t>
            </w:r>
          </w:p>
        </w:tc>
        <w:tc>
          <w:tcPr>
            <w:tcW w:w="1417" w:type="dxa"/>
          </w:tcPr>
          <w:p w14:paraId="655E34F2"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RANZCOG</w:t>
            </w:r>
          </w:p>
        </w:tc>
        <w:tc>
          <w:tcPr>
            <w:tcW w:w="1560" w:type="dxa"/>
          </w:tcPr>
          <w:p w14:paraId="6A220AF8"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Gynaecology</w:t>
            </w:r>
          </w:p>
        </w:tc>
        <w:tc>
          <w:tcPr>
            <w:tcW w:w="2126" w:type="dxa"/>
          </w:tcPr>
          <w:p w14:paraId="370BAAE1"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identified once: Target population includes “gender diverse” people, not defined. “Women” occurs frequently.</w:t>
            </w:r>
          </w:p>
          <w:p w14:paraId="55A74AF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 “men”, “female”, “male” not found in text search.</w:t>
            </w:r>
          </w:p>
        </w:tc>
        <w:tc>
          <w:tcPr>
            <w:tcW w:w="1984" w:type="dxa"/>
          </w:tcPr>
          <w:p w14:paraId="0DF39550"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Implicit in biological condition; emphasise “people”.</w:t>
            </w:r>
          </w:p>
        </w:tc>
        <w:tc>
          <w:tcPr>
            <w:tcW w:w="1843" w:type="dxa"/>
          </w:tcPr>
          <w:p w14:paraId="54B3DEA6"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Gender aware. Psychosocial aspects considered.</w:t>
            </w:r>
          </w:p>
        </w:tc>
        <w:tc>
          <w:tcPr>
            <w:tcW w:w="1276" w:type="dxa"/>
          </w:tcPr>
          <w:p w14:paraId="1371762D"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6919C205" w14:textId="77777777" w:rsidTr="0067273F">
        <w:tc>
          <w:tcPr>
            <w:tcW w:w="1575" w:type="dxa"/>
          </w:tcPr>
          <w:p w14:paraId="674CF6C7"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w:t>
            </w:r>
            <w:r w:rsidRPr="00640161">
              <w:rPr>
                <w:rFonts w:asciiTheme="minorHAnsi" w:hAnsiTheme="minorHAnsi" w:cstheme="minorHAnsi"/>
                <w:b/>
                <w:spacing w:val="-13"/>
              </w:rPr>
              <w:t xml:space="preserve"> </w:t>
            </w:r>
            <w:r w:rsidRPr="00640161">
              <w:rPr>
                <w:rFonts w:asciiTheme="minorHAnsi" w:hAnsiTheme="minorHAnsi" w:cstheme="minorHAnsi"/>
                <w:b/>
              </w:rPr>
              <w:t>Australian</w:t>
            </w:r>
            <w:r w:rsidRPr="00640161">
              <w:rPr>
                <w:rFonts w:asciiTheme="minorHAnsi" w:hAnsiTheme="minorHAnsi" w:cstheme="minorHAnsi"/>
                <w:b/>
                <w:spacing w:val="-12"/>
              </w:rPr>
              <w:t xml:space="preserve"> </w:t>
            </w:r>
            <w:r w:rsidRPr="00640161">
              <w:rPr>
                <w:rFonts w:asciiTheme="minorHAnsi" w:hAnsiTheme="minorHAnsi" w:cstheme="minorHAnsi"/>
                <w:b/>
              </w:rPr>
              <w:t>and New Zealand</w:t>
            </w:r>
            <w:r w:rsidRPr="00640161">
              <w:rPr>
                <w:rFonts w:asciiTheme="minorHAnsi" w:hAnsiTheme="minorHAnsi" w:cstheme="minorHAnsi"/>
                <w:b/>
                <w:spacing w:val="40"/>
              </w:rPr>
              <w:t xml:space="preserve"> </w:t>
            </w:r>
            <w:r w:rsidRPr="00640161">
              <w:rPr>
                <w:rFonts w:asciiTheme="minorHAnsi" w:hAnsiTheme="minorHAnsi" w:cstheme="minorHAnsi"/>
                <w:b/>
              </w:rPr>
              <w:t xml:space="preserve">College of </w:t>
            </w:r>
            <w:r w:rsidRPr="00640161">
              <w:rPr>
                <w:rFonts w:asciiTheme="minorHAnsi" w:hAnsiTheme="minorHAnsi" w:cstheme="minorHAnsi"/>
                <w:b/>
                <w:spacing w:val="-2"/>
              </w:rPr>
              <w:t>Ophthalmologists</w:t>
            </w:r>
          </w:p>
        </w:tc>
        <w:tc>
          <w:tcPr>
            <w:tcW w:w="3119" w:type="dxa"/>
          </w:tcPr>
          <w:p w14:paraId="0EA41FF1" w14:textId="77777777" w:rsidR="00094656" w:rsidRPr="00640161" w:rsidRDefault="00094656" w:rsidP="0067273F">
            <w:pPr>
              <w:pStyle w:val="TableParagraph"/>
              <w:keepNext/>
              <w:keepLines/>
              <w:widowControl/>
              <w:ind w:left="108" w:right="96"/>
              <w:rPr>
                <w:rFonts w:asciiTheme="minorHAnsi" w:hAnsiTheme="minorHAnsi" w:cstheme="minorHAnsi"/>
              </w:rPr>
            </w:pPr>
            <w:r w:rsidRPr="00640161">
              <w:rPr>
                <w:rFonts w:asciiTheme="minorHAnsi" w:hAnsiTheme="minorHAnsi" w:cstheme="minorHAnsi"/>
              </w:rPr>
              <w:t>Clinical Practice Guidelines for the Collaborative</w:t>
            </w:r>
            <w:r w:rsidRPr="00640161">
              <w:rPr>
                <w:rFonts w:asciiTheme="minorHAnsi" w:hAnsiTheme="minorHAnsi" w:cstheme="minorHAnsi"/>
                <w:spacing w:val="-10"/>
              </w:rPr>
              <w:t xml:space="preserve"> </w:t>
            </w:r>
            <w:r w:rsidRPr="00640161">
              <w:rPr>
                <w:rFonts w:asciiTheme="minorHAnsi" w:hAnsiTheme="minorHAnsi" w:cstheme="minorHAnsi"/>
              </w:rPr>
              <w:t>Care</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glaucoma</w:t>
            </w:r>
            <w:r w:rsidRPr="00640161">
              <w:rPr>
                <w:rFonts w:asciiTheme="minorHAnsi" w:hAnsiTheme="minorHAnsi" w:cstheme="minorHAnsi"/>
                <w:spacing w:val="-10"/>
              </w:rPr>
              <w:t xml:space="preserve"> </w:t>
            </w:r>
            <w:r w:rsidRPr="00640161">
              <w:rPr>
                <w:rFonts w:asciiTheme="minorHAnsi" w:hAnsiTheme="minorHAnsi" w:cstheme="minorHAnsi"/>
              </w:rPr>
              <w:t>patients and suspects by ophthalmologists and optometrists in Australia, 20</w:t>
            </w:r>
            <w:r>
              <w:rPr>
                <w:rFonts w:asciiTheme="minorHAnsi" w:hAnsiTheme="minorHAnsi" w:cstheme="minorHAnsi"/>
              </w:rPr>
              <w:t>19</w:t>
            </w:r>
            <w:r w:rsidRPr="00640161">
              <w:rPr>
                <w:rFonts w:asciiTheme="minorHAnsi" w:hAnsiTheme="minorHAnsi" w:cstheme="minorHAnsi"/>
              </w:rPr>
              <w:t xml:space="preserve"> </w:t>
            </w:r>
          </w:p>
          <w:p w14:paraId="496A1D64" w14:textId="77777777" w:rsidR="00094656" w:rsidRPr="00640161" w:rsidRDefault="00094656" w:rsidP="0067273F">
            <w:pPr>
              <w:pStyle w:val="TableParagraph"/>
              <w:keepNext/>
              <w:keepLines/>
              <w:widowControl/>
              <w:ind w:left="108" w:right="96"/>
              <w:rPr>
                <w:rFonts w:asciiTheme="minorHAnsi" w:hAnsiTheme="minorHAnsi" w:cstheme="minorHAnsi"/>
                <w:b/>
              </w:rPr>
            </w:pPr>
          </w:p>
          <w:p w14:paraId="06F6720E" w14:textId="77777777" w:rsidR="00094656" w:rsidRPr="00640161" w:rsidRDefault="00094656" w:rsidP="0067273F">
            <w:pPr>
              <w:pStyle w:val="TableParagraph"/>
              <w:ind w:left="108" w:right="96"/>
              <w:rPr>
                <w:rFonts w:asciiTheme="minorHAnsi" w:hAnsiTheme="minorHAnsi" w:cstheme="minorHAnsi"/>
                <w:color w:val="000000" w:themeColor="text1"/>
                <w:spacing w:val="-2"/>
              </w:rPr>
            </w:pPr>
            <w:r w:rsidRPr="00640161">
              <w:rPr>
                <w:rFonts w:asciiTheme="minorHAnsi" w:hAnsiTheme="minorHAnsi" w:cstheme="minorHAnsi"/>
                <w:color w:val="000000" w:themeColor="text1"/>
                <w:spacing w:val="-2"/>
              </w:rPr>
              <w:t>https://ranzco.edu/wp-content/uploads/2018/11/Guidelines-for-the-Collaborative-Care-of-Glaucoma-Patients.pdf</w:t>
            </w:r>
            <w:r w:rsidRPr="00640161" w:rsidDel="00692838">
              <w:rPr>
                <w:rFonts w:asciiTheme="minorHAnsi" w:hAnsiTheme="minorHAnsi" w:cstheme="minorHAnsi"/>
                <w:color w:val="000000" w:themeColor="text1"/>
                <w:spacing w:val="-2"/>
              </w:rPr>
              <w:t xml:space="preserve"> </w:t>
            </w:r>
          </w:p>
        </w:tc>
        <w:tc>
          <w:tcPr>
            <w:tcW w:w="1417" w:type="dxa"/>
          </w:tcPr>
          <w:p w14:paraId="378225B4"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Approved by RANZCO</w:t>
            </w:r>
            <w:r>
              <w:rPr>
                <w:rFonts w:asciiTheme="minorHAnsi" w:hAnsiTheme="minorHAnsi" w:cstheme="minorHAnsi"/>
              </w:rPr>
              <w:t xml:space="preserve"> Board</w:t>
            </w:r>
          </w:p>
        </w:tc>
        <w:tc>
          <w:tcPr>
            <w:tcW w:w="1560" w:type="dxa"/>
          </w:tcPr>
          <w:p w14:paraId="16ED4116" w14:textId="77777777" w:rsidR="00094656" w:rsidRDefault="00094656" w:rsidP="0067273F">
            <w:pPr>
              <w:pStyle w:val="TableParagraph"/>
              <w:rPr>
                <w:rFonts w:asciiTheme="minorHAnsi" w:hAnsiTheme="minorHAnsi" w:cstheme="minorHAnsi"/>
              </w:rPr>
            </w:pPr>
            <w:r>
              <w:rPr>
                <w:rFonts w:asciiTheme="minorHAnsi" w:hAnsiTheme="minorHAnsi" w:cstheme="minorHAnsi"/>
              </w:rPr>
              <w:t>Ophthalmology</w:t>
            </w:r>
          </w:p>
          <w:p w14:paraId="26E6A28A" w14:textId="77777777" w:rsidR="00094656" w:rsidRPr="00640161" w:rsidRDefault="00094656" w:rsidP="0067273F">
            <w:pPr>
              <w:pStyle w:val="TableParagraph"/>
              <w:rPr>
                <w:rFonts w:asciiTheme="minorHAnsi" w:hAnsiTheme="minorHAnsi" w:cstheme="minorHAnsi"/>
              </w:rPr>
            </w:pPr>
          </w:p>
        </w:tc>
        <w:tc>
          <w:tcPr>
            <w:tcW w:w="2126" w:type="dxa"/>
          </w:tcPr>
          <w:p w14:paraId="78F64EC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“women”, “men”, “female’ “male” not</w:t>
            </w:r>
            <w:r w:rsidRPr="00640161">
              <w:rPr>
                <w:rFonts w:asciiTheme="minorHAnsi" w:hAnsiTheme="minorHAnsi" w:cstheme="minorHAnsi"/>
                <w:spacing w:val="-10"/>
              </w:rPr>
              <w:t xml:space="preserve">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tc>
        <w:tc>
          <w:tcPr>
            <w:tcW w:w="1984" w:type="dxa"/>
          </w:tcPr>
          <w:p w14:paraId="1C39803D"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64F96A5E"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F72798E"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Limited details of method.</w:t>
            </w:r>
          </w:p>
          <w:p w14:paraId="75AE1B84" w14:textId="77777777" w:rsidR="00094656" w:rsidRDefault="00094656" w:rsidP="0067273F">
            <w:pPr>
              <w:pStyle w:val="TableParagraph"/>
              <w:ind w:left="108" w:right="96"/>
              <w:rPr>
                <w:rFonts w:asciiTheme="minorHAnsi" w:hAnsiTheme="minorHAnsi" w:cstheme="minorHAnsi"/>
              </w:rPr>
            </w:pPr>
            <w:r>
              <w:rPr>
                <w:rFonts w:asciiTheme="minorHAnsi" w:hAnsiTheme="minorHAnsi" w:cstheme="minorHAnsi"/>
              </w:rPr>
              <w:t>Based on UK assessment of evidence.</w:t>
            </w:r>
          </w:p>
          <w:p w14:paraId="33629C7A" w14:textId="77777777" w:rsidR="00094656" w:rsidRPr="00640161" w:rsidRDefault="00094656" w:rsidP="0067273F">
            <w:pPr>
              <w:pStyle w:val="TableParagraph"/>
              <w:ind w:left="104"/>
              <w:rPr>
                <w:rFonts w:asciiTheme="minorHAnsi" w:hAnsiTheme="minorHAnsi" w:cstheme="minorHAnsi"/>
              </w:rPr>
            </w:pPr>
          </w:p>
        </w:tc>
      </w:tr>
      <w:tr w:rsidR="00094656" w:rsidRPr="00640161" w14:paraId="694FA653" w14:textId="77777777" w:rsidTr="0067273F">
        <w:trPr>
          <w:cantSplit/>
        </w:trPr>
        <w:tc>
          <w:tcPr>
            <w:tcW w:w="1575" w:type="dxa"/>
          </w:tcPr>
          <w:p w14:paraId="1C352185"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Royal</w:t>
            </w:r>
            <w:r w:rsidRPr="00640161">
              <w:rPr>
                <w:rFonts w:asciiTheme="minorHAnsi" w:hAnsiTheme="minorHAnsi" w:cstheme="minorHAnsi"/>
                <w:b/>
                <w:spacing w:val="-13"/>
              </w:rPr>
              <w:t xml:space="preserve"> </w:t>
            </w:r>
            <w:r w:rsidRPr="00640161">
              <w:rPr>
                <w:rFonts w:asciiTheme="minorHAnsi" w:hAnsiTheme="minorHAnsi" w:cstheme="minorHAnsi"/>
                <w:b/>
              </w:rPr>
              <w:t>Australian</w:t>
            </w:r>
            <w:r w:rsidRPr="00640161">
              <w:rPr>
                <w:rFonts w:asciiTheme="minorHAnsi" w:hAnsiTheme="minorHAnsi" w:cstheme="minorHAnsi"/>
                <w:b/>
                <w:spacing w:val="-12"/>
              </w:rPr>
              <w:t xml:space="preserve"> </w:t>
            </w:r>
            <w:r w:rsidRPr="00640161">
              <w:rPr>
                <w:rFonts w:asciiTheme="minorHAnsi" w:hAnsiTheme="minorHAnsi" w:cstheme="minorHAnsi"/>
                <w:b/>
              </w:rPr>
              <w:t>and New Zealand</w:t>
            </w:r>
            <w:r w:rsidRPr="00640161">
              <w:rPr>
                <w:rFonts w:asciiTheme="minorHAnsi" w:hAnsiTheme="minorHAnsi" w:cstheme="minorHAnsi"/>
                <w:b/>
                <w:spacing w:val="40"/>
              </w:rPr>
              <w:t xml:space="preserve"> </w:t>
            </w:r>
            <w:r w:rsidRPr="00640161">
              <w:rPr>
                <w:rFonts w:asciiTheme="minorHAnsi" w:hAnsiTheme="minorHAnsi" w:cstheme="minorHAnsi"/>
                <w:b/>
              </w:rPr>
              <w:t xml:space="preserve">College of </w:t>
            </w:r>
            <w:r w:rsidRPr="00640161">
              <w:rPr>
                <w:rFonts w:asciiTheme="minorHAnsi" w:hAnsiTheme="minorHAnsi" w:cstheme="minorHAnsi"/>
                <w:b/>
                <w:spacing w:val="-2"/>
              </w:rPr>
              <w:t>Psychiatrists</w:t>
            </w:r>
          </w:p>
        </w:tc>
        <w:tc>
          <w:tcPr>
            <w:tcW w:w="3119" w:type="dxa"/>
          </w:tcPr>
          <w:p w14:paraId="3D53ADC7"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Royal Australian and New Zealand College</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Psychiatrists</w:t>
            </w:r>
            <w:r w:rsidRPr="00640161">
              <w:rPr>
                <w:rFonts w:asciiTheme="minorHAnsi" w:hAnsiTheme="minorHAnsi" w:cstheme="minorHAnsi"/>
                <w:spacing w:val="-10"/>
              </w:rPr>
              <w:t xml:space="preserve"> </w:t>
            </w:r>
            <w:r w:rsidRPr="00640161">
              <w:rPr>
                <w:rFonts w:asciiTheme="minorHAnsi" w:hAnsiTheme="minorHAnsi" w:cstheme="minorHAnsi"/>
              </w:rPr>
              <w:t>clinical</w:t>
            </w:r>
            <w:r w:rsidRPr="00640161">
              <w:rPr>
                <w:rFonts w:asciiTheme="minorHAnsi" w:hAnsiTheme="minorHAnsi" w:cstheme="minorHAnsi"/>
                <w:spacing w:val="-9"/>
              </w:rPr>
              <w:t xml:space="preserve"> </w:t>
            </w:r>
            <w:r w:rsidRPr="00640161">
              <w:rPr>
                <w:rFonts w:asciiTheme="minorHAnsi" w:hAnsiTheme="minorHAnsi" w:cstheme="minorHAnsi"/>
              </w:rPr>
              <w:t>practice guidelines for the treatment of panic disorder, social anxiety disorder and generalised anxiety disorder, 2018</w:t>
            </w:r>
          </w:p>
          <w:p w14:paraId="4E3E898D" w14:textId="77777777" w:rsidR="00094656" w:rsidRPr="00640161" w:rsidRDefault="00094656" w:rsidP="0067273F">
            <w:pPr>
              <w:pStyle w:val="TableParagraph"/>
              <w:ind w:left="108" w:right="96"/>
              <w:rPr>
                <w:rFonts w:asciiTheme="minorHAnsi" w:hAnsiTheme="minorHAnsi" w:cstheme="minorHAnsi"/>
                <w:b/>
              </w:rPr>
            </w:pPr>
          </w:p>
          <w:p w14:paraId="502FD364" w14:textId="77777777" w:rsidR="00094656" w:rsidRPr="00640161" w:rsidRDefault="00094656" w:rsidP="0067273F">
            <w:pPr>
              <w:pStyle w:val="TableParagraph"/>
              <w:ind w:left="108" w:right="96"/>
              <w:rPr>
                <w:rFonts w:asciiTheme="minorHAnsi" w:hAnsiTheme="minorHAnsi" w:cstheme="minorHAnsi"/>
                <w:spacing w:val="-2"/>
              </w:rPr>
            </w:pPr>
            <w:r w:rsidRPr="00640161">
              <w:rPr>
                <w:rFonts w:asciiTheme="minorHAnsi" w:hAnsiTheme="minorHAnsi" w:cstheme="minorHAnsi"/>
              </w:rPr>
              <w:t>Andrews et al. (2018). Royal Australian and New Zealand College of Psychiatrists</w:t>
            </w:r>
            <w:r w:rsidRPr="00640161">
              <w:rPr>
                <w:rFonts w:asciiTheme="minorHAnsi" w:hAnsiTheme="minorHAnsi" w:cstheme="minorHAnsi"/>
                <w:spacing w:val="-12"/>
              </w:rPr>
              <w:t xml:space="preserve"> </w:t>
            </w:r>
            <w:r w:rsidRPr="00640161">
              <w:rPr>
                <w:rFonts w:asciiTheme="minorHAnsi" w:hAnsiTheme="minorHAnsi" w:cstheme="minorHAnsi"/>
              </w:rPr>
              <w:t>clinical</w:t>
            </w:r>
            <w:r w:rsidRPr="00640161">
              <w:rPr>
                <w:rFonts w:asciiTheme="minorHAnsi" w:hAnsiTheme="minorHAnsi" w:cstheme="minorHAnsi"/>
                <w:spacing w:val="-12"/>
              </w:rPr>
              <w:t xml:space="preserve"> </w:t>
            </w:r>
            <w:r w:rsidRPr="00640161">
              <w:rPr>
                <w:rFonts w:asciiTheme="minorHAnsi" w:hAnsiTheme="minorHAnsi" w:cstheme="minorHAnsi"/>
              </w:rPr>
              <w:t>practice</w:t>
            </w:r>
            <w:r w:rsidRPr="00640161">
              <w:rPr>
                <w:rFonts w:asciiTheme="minorHAnsi" w:hAnsiTheme="minorHAnsi" w:cstheme="minorHAnsi"/>
                <w:spacing w:val="-12"/>
              </w:rPr>
              <w:t xml:space="preserve"> </w:t>
            </w:r>
            <w:r w:rsidRPr="00640161">
              <w:rPr>
                <w:rFonts w:asciiTheme="minorHAnsi" w:hAnsiTheme="minorHAnsi" w:cstheme="minorHAnsi"/>
              </w:rPr>
              <w:t>guidelines for the treatment of panic disorder, social</w:t>
            </w:r>
            <w:r w:rsidRPr="00640161">
              <w:rPr>
                <w:rFonts w:asciiTheme="minorHAnsi" w:hAnsiTheme="minorHAnsi" w:cstheme="minorHAnsi"/>
                <w:spacing w:val="-2"/>
              </w:rPr>
              <w:t xml:space="preserve"> </w:t>
            </w:r>
            <w:r w:rsidRPr="00640161">
              <w:rPr>
                <w:rFonts w:asciiTheme="minorHAnsi" w:hAnsiTheme="minorHAnsi" w:cstheme="minorHAnsi"/>
              </w:rPr>
              <w:t>anxiety</w:t>
            </w:r>
            <w:r w:rsidRPr="00640161">
              <w:rPr>
                <w:rFonts w:asciiTheme="minorHAnsi" w:hAnsiTheme="minorHAnsi" w:cstheme="minorHAnsi"/>
                <w:spacing w:val="-3"/>
              </w:rPr>
              <w:t xml:space="preserve"> </w:t>
            </w:r>
            <w:r w:rsidRPr="00640161">
              <w:rPr>
                <w:rFonts w:asciiTheme="minorHAnsi" w:hAnsiTheme="minorHAnsi" w:cstheme="minorHAnsi"/>
              </w:rPr>
              <w:t>disorder</w:t>
            </w:r>
            <w:r w:rsidRPr="00640161">
              <w:rPr>
                <w:rFonts w:asciiTheme="minorHAnsi" w:hAnsiTheme="minorHAnsi" w:cstheme="minorHAnsi"/>
                <w:spacing w:val="-3"/>
              </w:rPr>
              <w:t xml:space="preserve"> </w:t>
            </w:r>
            <w:r w:rsidRPr="00640161">
              <w:rPr>
                <w:rFonts w:asciiTheme="minorHAnsi" w:hAnsiTheme="minorHAnsi" w:cstheme="minorHAnsi"/>
              </w:rPr>
              <w:t>and</w:t>
            </w:r>
            <w:r w:rsidRPr="00640161">
              <w:rPr>
                <w:rFonts w:asciiTheme="minorHAnsi" w:hAnsiTheme="minorHAnsi" w:cstheme="minorHAnsi"/>
                <w:spacing w:val="-3"/>
              </w:rPr>
              <w:t xml:space="preserve"> </w:t>
            </w:r>
            <w:r w:rsidRPr="00640161">
              <w:rPr>
                <w:rFonts w:asciiTheme="minorHAnsi" w:hAnsiTheme="minorHAnsi" w:cstheme="minorHAnsi"/>
              </w:rPr>
              <w:t xml:space="preserve">generalised anxiety disorder. </w:t>
            </w:r>
            <w:r w:rsidRPr="00640161">
              <w:rPr>
                <w:rFonts w:asciiTheme="minorHAnsi" w:hAnsiTheme="minorHAnsi" w:cstheme="minorHAnsi"/>
                <w:i/>
              </w:rPr>
              <w:t xml:space="preserve">ANZJ </w:t>
            </w:r>
            <w:proofErr w:type="spellStart"/>
            <w:r w:rsidRPr="00640161">
              <w:rPr>
                <w:rFonts w:asciiTheme="minorHAnsi" w:hAnsiTheme="minorHAnsi" w:cstheme="minorHAnsi"/>
                <w:i/>
              </w:rPr>
              <w:t>Psychiatr</w:t>
            </w:r>
            <w:proofErr w:type="spellEnd"/>
            <w:r w:rsidRPr="00640161">
              <w:rPr>
                <w:rFonts w:asciiTheme="minorHAnsi" w:hAnsiTheme="minorHAnsi" w:cstheme="minorHAnsi"/>
              </w:rPr>
              <w:t xml:space="preserve">, </w:t>
            </w:r>
            <w:r w:rsidRPr="00640161">
              <w:rPr>
                <w:rFonts w:asciiTheme="minorHAnsi" w:hAnsiTheme="minorHAnsi" w:cstheme="minorHAnsi"/>
                <w:spacing w:val="-2"/>
              </w:rPr>
              <w:t>52(12):1109-1172. DOI:10.1177/0004867418799453</w:t>
            </w:r>
          </w:p>
        </w:tc>
        <w:tc>
          <w:tcPr>
            <w:tcW w:w="1417" w:type="dxa"/>
          </w:tcPr>
          <w:p w14:paraId="55CD961E" w14:textId="77777777" w:rsidR="00094656" w:rsidRPr="00780241" w:rsidRDefault="00094656" w:rsidP="0067273F">
            <w:pPr>
              <w:pStyle w:val="TableParagraph"/>
              <w:spacing w:before="0"/>
              <w:rPr>
                <w:rFonts w:asciiTheme="minorHAnsi" w:hAnsiTheme="minorHAnsi" w:cstheme="minorHAnsi"/>
              </w:rPr>
            </w:pPr>
            <w:r w:rsidRPr="00780241">
              <w:rPr>
                <w:rFonts w:asciiTheme="minorHAnsi" w:hAnsiTheme="minorHAnsi" w:cstheme="minorHAnsi"/>
              </w:rPr>
              <w:t xml:space="preserve">Approved by </w:t>
            </w:r>
            <w:r w:rsidRPr="00780241">
              <w:rPr>
                <w:rFonts w:asciiTheme="minorHAnsi" w:eastAsia="TimesNewRomanPSMT" w:hAnsiTheme="minorHAnsi" w:cstheme="minorHAnsi"/>
              </w:rPr>
              <w:t>RANZCP</w:t>
            </w:r>
            <w:r>
              <w:rPr>
                <w:rFonts w:asciiTheme="minorHAnsi" w:eastAsia="TimesNewRomanPSMT" w:hAnsiTheme="minorHAnsi" w:cstheme="minorHAnsi"/>
              </w:rPr>
              <w:t xml:space="preserve"> Board</w:t>
            </w:r>
          </w:p>
        </w:tc>
        <w:tc>
          <w:tcPr>
            <w:tcW w:w="1560" w:type="dxa"/>
          </w:tcPr>
          <w:p w14:paraId="4B04E13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Psychiatry</w:t>
            </w:r>
          </w:p>
        </w:tc>
        <w:tc>
          <w:tcPr>
            <w:tcW w:w="2126" w:type="dxa"/>
          </w:tcPr>
          <w:p w14:paraId="1541503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(once) to mean “sex”. “Sex” not identified in text search. “Women”, “men” used throughout.</w:t>
            </w:r>
          </w:p>
        </w:tc>
        <w:tc>
          <w:tcPr>
            <w:tcW w:w="1984" w:type="dxa"/>
          </w:tcPr>
          <w:p w14:paraId="05AF98F7"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 xml:space="preserve">prevalence, diagnosis, treatment </w:t>
            </w:r>
            <w:r w:rsidRPr="00640161">
              <w:rPr>
                <w:rFonts w:asciiTheme="minorHAnsi" w:hAnsiTheme="minorHAnsi" w:cstheme="minorHAnsi"/>
                <w:spacing w:val="-2"/>
              </w:rPr>
              <w:t>recommendations.</w:t>
            </w:r>
          </w:p>
          <w:p w14:paraId="3C8BF1A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Consideration for special populations</w:t>
            </w:r>
            <w:r w:rsidRPr="00640161">
              <w:rPr>
                <w:rFonts w:asciiTheme="minorHAnsi" w:hAnsiTheme="minorHAnsi" w:cstheme="minorHAnsi"/>
                <w:spacing w:val="-13"/>
              </w:rPr>
              <w:t xml:space="preserve"> </w:t>
            </w:r>
            <w:r w:rsidRPr="00640161">
              <w:rPr>
                <w:rFonts w:asciiTheme="minorHAnsi" w:hAnsiTheme="minorHAnsi" w:cstheme="minorHAnsi"/>
              </w:rPr>
              <w:t>including</w:t>
            </w:r>
            <w:r w:rsidRPr="00640161">
              <w:rPr>
                <w:rFonts w:asciiTheme="minorHAnsi" w:hAnsiTheme="minorHAnsi" w:cstheme="minorHAnsi"/>
                <w:spacing w:val="-12"/>
              </w:rPr>
              <w:t xml:space="preserve"> </w:t>
            </w:r>
            <w:r w:rsidRPr="00640161">
              <w:rPr>
                <w:rFonts w:asciiTheme="minorHAnsi" w:hAnsiTheme="minorHAnsi" w:cstheme="minorHAnsi"/>
              </w:rPr>
              <w:t xml:space="preserve">perinatal </w:t>
            </w:r>
            <w:r w:rsidRPr="00640161">
              <w:rPr>
                <w:rFonts w:asciiTheme="minorHAnsi" w:hAnsiTheme="minorHAnsi" w:cstheme="minorHAnsi"/>
                <w:spacing w:val="-2"/>
              </w:rPr>
              <w:t>women.</w:t>
            </w:r>
          </w:p>
        </w:tc>
        <w:tc>
          <w:tcPr>
            <w:tcW w:w="1843" w:type="dxa"/>
          </w:tcPr>
          <w:p w14:paraId="5FC371A8"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7EC24E0"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NHMRC levels of evidence; “evidence-based”, “consensus-based”.</w:t>
            </w:r>
          </w:p>
        </w:tc>
      </w:tr>
      <w:tr w:rsidR="00094656" w:rsidRPr="00640161" w14:paraId="2E7141F7" w14:textId="77777777" w:rsidTr="0067273F">
        <w:tc>
          <w:tcPr>
            <w:tcW w:w="1575" w:type="dxa"/>
          </w:tcPr>
          <w:p w14:paraId="2FACAF25"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w:t>
            </w:r>
            <w:r w:rsidRPr="00640161">
              <w:rPr>
                <w:rFonts w:asciiTheme="minorHAnsi" w:hAnsiTheme="minorHAnsi" w:cstheme="minorHAnsi"/>
                <w:b/>
                <w:spacing w:val="-13"/>
              </w:rPr>
              <w:t xml:space="preserve"> </w:t>
            </w:r>
            <w:r w:rsidRPr="00640161">
              <w:rPr>
                <w:rFonts w:asciiTheme="minorHAnsi" w:hAnsiTheme="minorHAnsi" w:cstheme="minorHAnsi"/>
                <w:b/>
              </w:rPr>
              <w:t>Australian</w:t>
            </w:r>
            <w:r w:rsidRPr="00640161">
              <w:rPr>
                <w:rFonts w:asciiTheme="minorHAnsi" w:hAnsiTheme="minorHAnsi" w:cstheme="minorHAnsi"/>
                <w:b/>
                <w:spacing w:val="-12"/>
              </w:rPr>
              <w:t xml:space="preserve"> </w:t>
            </w:r>
            <w:r w:rsidRPr="00640161">
              <w:rPr>
                <w:rFonts w:asciiTheme="minorHAnsi" w:hAnsiTheme="minorHAnsi" w:cstheme="minorHAnsi"/>
                <w:b/>
              </w:rPr>
              <w:t>and New Zealand</w:t>
            </w:r>
            <w:r w:rsidRPr="00640161">
              <w:rPr>
                <w:rFonts w:asciiTheme="minorHAnsi" w:hAnsiTheme="minorHAnsi" w:cstheme="minorHAnsi"/>
                <w:b/>
                <w:spacing w:val="40"/>
              </w:rPr>
              <w:t xml:space="preserve"> </w:t>
            </w:r>
            <w:r w:rsidRPr="00640161">
              <w:rPr>
                <w:rFonts w:asciiTheme="minorHAnsi" w:hAnsiTheme="minorHAnsi" w:cstheme="minorHAnsi"/>
                <w:b/>
              </w:rPr>
              <w:t xml:space="preserve">College of </w:t>
            </w:r>
            <w:r w:rsidRPr="00640161">
              <w:rPr>
                <w:rFonts w:asciiTheme="minorHAnsi" w:hAnsiTheme="minorHAnsi" w:cstheme="minorHAnsi"/>
                <w:b/>
                <w:spacing w:val="-2"/>
              </w:rPr>
              <w:t>Psychiatrists</w:t>
            </w:r>
          </w:p>
        </w:tc>
        <w:tc>
          <w:tcPr>
            <w:tcW w:w="3119" w:type="dxa"/>
          </w:tcPr>
          <w:p w14:paraId="0EC7F4FD" w14:textId="147518AD" w:rsidR="00094656" w:rsidRPr="00640161" w:rsidRDefault="00094656" w:rsidP="0067273F">
            <w:pPr>
              <w:pStyle w:val="TableParagraph"/>
              <w:keepNext/>
              <w:keepLines/>
              <w:widowControl/>
              <w:ind w:right="97"/>
              <w:rPr>
                <w:rFonts w:asciiTheme="minorHAnsi" w:hAnsiTheme="minorHAnsi" w:cstheme="minorHAnsi"/>
              </w:rPr>
            </w:pPr>
            <w:r w:rsidRPr="00640161">
              <w:rPr>
                <w:rFonts w:asciiTheme="minorHAnsi" w:hAnsiTheme="minorHAnsi" w:cstheme="minorHAnsi"/>
              </w:rPr>
              <w:t>The 2020 Royal Australian and New Zealand</w:t>
            </w:r>
            <w:r w:rsidRPr="00640161">
              <w:rPr>
                <w:rFonts w:asciiTheme="minorHAnsi" w:hAnsiTheme="minorHAnsi" w:cstheme="minorHAnsi"/>
                <w:spacing w:val="-2"/>
              </w:rPr>
              <w:t xml:space="preserve"> </w:t>
            </w:r>
            <w:r w:rsidRPr="00640161">
              <w:rPr>
                <w:rFonts w:asciiTheme="minorHAnsi" w:hAnsiTheme="minorHAnsi" w:cstheme="minorHAnsi"/>
              </w:rPr>
              <w:t>College</w:t>
            </w:r>
            <w:r w:rsidRPr="00640161">
              <w:rPr>
                <w:rFonts w:asciiTheme="minorHAnsi" w:hAnsiTheme="minorHAnsi" w:cstheme="minorHAnsi"/>
                <w:spacing w:val="-2"/>
              </w:rPr>
              <w:t xml:space="preserve"> </w:t>
            </w:r>
            <w:r w:rsidRPr="00640161">
              <w:rPr>
                <w:rFonts w:asciiTheme="minorHAnsi" w:hAnsiTheme="minorHAnsi" w:cstheme="minorHAnsi"/>
              </w:rPr>
              <w:t>of</w:t>
            </w:r>
            <w:r w:rsidRPr="00640161">
              <w:rPr>
                <w:rFonts w:asciiTheme="minorHAnsi" w:hAnsiTheme="minorHAnsi" w:cstheme="minorHAnsi"/>
                <w:spacing w:val="-2"/>
              </w:rPr>
              <w:t xml:space="preserve"> </w:t>
            </w:r>
            <w:r w:rsidRPr="00640161">
              <w:rPr>
                <w:rFonts w:asciiTheme="minorHAnsi" w:hAnsiTheme="minorHAnsi" w:cstheme="minorHAnsi"/>
              </w:rPr>
              <w:t>Psychiatrists</w:t>
            </w:r>
            <w:r w:rsidRPr="00640161">
              <w:rPr>
                <w:rFonts w:asciiTheme="minorHAnsi" w:hAnsiTheme="minorHAnsi" w:cstheme="minorHAnsi"/>
                <w:spacing w:val="-2"/>
              </w:rPr>
              <w:t xml:space="preserve"> </w:t>
            </w:r>
            <w:r w:rsidRPr="00640161">
              <w:rPr>
                <w:rFonts w:asciiTheme="minorHAnsi" w:hAnsiTheme="minorHAnsi" w:cstheme="minorHAnsi"/>
              </w:rPr>
              <w:t>clinical practice</w:t>
            </w:r>
            <w:r w:rsidRPr="00640161">
              <w:rPr>
                <w:rFonts w:asciiTheme="minorHAnsi" w:hAnsiTheme="minorHAnsi" w:cstheme="minorHAnsi"/>
                <w:spacing w:val="-10"/>
              </w:rPr>
              <w:t xml:space="preserve"> </w:t>
            </w:r>
            <w:r w:rsidRPr="00640161">
              <w:rPr>
                <w:rFonts w:asciiTheme="minorHAnsi" w:hAnsiTheme="minorHAnsi" w:cstheme="minorHAnsi"/>
              </w:rPr>
              <w:t>guidelines</w:t>
            </w:r>
            <w:r w:rsidRPr="00640161">
              <w:rPr>
                <w:rFonts w:asciiTheme="minorHAnsi" w:hAnsiTheme="minorHAnsi" w:cstheme="minorHAnsi"/>
                <w:spacing w:val="-10"/>
              </w:rPr>
              <w:t xml:space="preserve"> </w:t>
            </w:r>
            <w:r w:rsidRPr="00640161">
              <w:rPr>
                <w:rFonts w:asciiTheme="minorHAnsi" w:hAnsiTheme="minorHAnsi" w:cstheme="minorHAnsi"/>
              </w:rPr>
              <w:t>for</w:t>
            </w:r>
            <w:r w:rsidRPr="00640161">
              <w:rPr>
                <w:rFonts w:asciiTheme="minorHAnsi" w:hAnsiTheme="minorHAnsi" w:cstheme="minorHAnsi"/>
                <w:spacing w:val="-10"/>
              </w:rPr>
              <w:t xml:space="preserve"> </w:t>
            </w:r>
            <w:r w:rsidRPr="00640161">
              <w:rPr>
                <w:rFonts w:asciiTheme="minorHAnsi" w:hAnsiTheme="minorHAnsi" w:cstheme="minorHAnsi"/>
              </w:rPr>
              <w:t>mood</w:t>
            </w:r>
            <w:r w:rsidRPr="00640161">
              <w:rPr>
                <w:rFonts w:asciiTheme="minorHAnsi" w:hAnsiTheme="minorHAnsi" w:cstheme="minorHAnsi"/>
                <w:spacing w:val="-10"/>
              </w:rPr>
              <w:t xml:space="preserve"> </w:t>
            </w:r>
            <w:r w:rsidRPr="00640161">
              <w:rPr>
                <w:rFonts w:asciiTheme="minorHAnsi" w:hAnsiTheme="minorHAnsi" w:cstheme="minorHAnsi"/>
              </w:rPr>
              <w:t xml:space="preserve">disorders, </w:t>
            </w:r>
            <w:r w:rsidRPr="00640161">
              <w:rPr>
                <w:rFonts w:asciiTheme="minorHAnsi" w:hAnsiTheme="minorHAnsi" w:cstheme="minorHAnsi"/>
                <w:spacing w:val="-4"/>
              </w:rPr>
              <w:t>202</w:t>
            </w:r>
            <w:r w:rsidR="00801C36">
              <w:rPr>
                <w:rFonts w:asciiTheme="minorHAnsi" w:hAnsiTheme="minorHAnsi" w:cstheme="minorHAnsi"/>
                <w:spacing w:val="-4"/>
              </w:rPr>
              <w:t>1</w:t>
            </w:r>
          </w:p>
          <w:p w14:paraId="280E3985" w14:textId="77777777" w:rsidR="00094656" w:rsidRPr="00640161" w:rsidRDefault="00094656" w:rsidP="0067273F">
            <w:pPr>
              <w:pStyle w:val="TableParagraph"/>
              <w:keepNext/>
              <w:keepLines/>
              <w:widowControl/>
              <w:ind w:left="0"/>
              <w:rPr>
                <w:rFonts w:asciiTheme="minorHAnsi" w:hAnsiTheme="minorHAnsi" w:cstheme="minorHAnsi"/>
                <w:b/>
              </w:rPr>
            </w:pPr>
          </w:p>
          <w:p w14:paraId="44C17237" w14:textId="4EAF9DB9" w:rsidR="00094656" w:rsidRPr="00640161" w:rsidRDefault="00094656" w:rsidP="0067273F">
            <w:pPr>
              <w:pStyle w:val="TableParagraph"/>
              <w:spacing w:before="0"/>
              <w:ind w:right="209"/>
              <w:jc w:val="both"/>
              <w:rPr>
                <w:rFonts w:asciiTheme="minorHAnsi" w:hAnsiTheme="minorHAnsi" w:cstheme="minorHAnsi"/>
              </w:rPr>
            </w:pPr>
            <w:r w:rsidRPr="00640161">
              <w:rPr>
                <w:rFonts w:asciiTheme="minorHAnsi" w:hAnsiTheme="minorHAnsi" w:cstheme="minorHAnsi"/>
              </w:rPr>
              <w:t>Malhi et al. (202</w:t>
            </w:r>
            <w:r w:rsidR="00801C36">
              <w:rPr>
                <w:rFonts w:asciiTheme="minorHAnsi" w:hAnsiTheme="minorHAnsi" w:cstheme="minorHAnsi"/>
              </w:rPr>
              <w:t>1</w:t>
            </w:r>
            <w:r w:rsidRPr="00640161">
              <w:rPr>
                <w:rFonts w:asciiTheme="minorHAnsi" w:hAnsiTheme="minorHAnsi" w:cstheme="minorHAnsi"/>
              </w:rPr>
              <w:t>). The 2020 Royal Australian and New Zealand College of Psychiatrists</w:t>
            </w:r>
            <w:r w:rsidRPr="00640161">
              <w:rPr>
                <w:rFonts w:asciiTheme="minorHAnsi" w:hAnsiTheme="minorHAnsi" w:cstheme="minorHAnsi"/>
                <w:spacing w:val="-12"/>
              </w:rPr>
              <w:t xml:space="preserve"> </w:t>
            </w:r>
            <w:r w:rsidRPr="00640161">
              <w:rPr>
                <w:rFonts w:asciiTheme="minorHAnsi" w:hAnsiTheme="minorHAnsi" w:cstheme="minorHAnsi"/>
              </w:rPr>
              <w:t>clinical</w:t>
            </w:r>
            <w:r w:rsidRPr="00640161">
              <w:rPr>
                <w:rFonts w:asciiTheme="minorHAnsi" w:hAnsiTheme="minorHAnsi" w:cstheme="minorHAnsi"/>
                <w:spacing w:val="-12"/>
              </w:rPr>
              <w:t xml:space="preserve"> </w:t>
            </w:r>
            <w:r w:rsidRPr="00640161">
              <w:rPr>
                <w:rFonts w:asciiTheme="minorHAnsi" w:hAnsiTheme="minorHAnsi" w:cstheme="minorHAnsi"/>
              </w:rPr>
              <w:t>practice</w:t>
            </w:r>
            <w:r w:rsidRPr="00640161">
              <w:rPr>
                <w:rFonts w:asciiTheme="minorHAnsi" w:hAnsiTheme="minorHAnsi" w:cstheme="minorHAnsi"/>
                <w:spacing w:val="-12"/>
              </w:rPr>
              <w:t xml:space="preserve"> </w:t>
            </w:r>
            <w:r w:rsidRPr="00640161">
              <w:rPr>
                <w:rFonts w:asciiTheme="minorHAnsi" w:hAnsiTheme="minorHAnsi" w:cstheme="minorHAnsi"/>
              </w:rPr>
              <w:t xml:space="preserve">guidelines for mood disorders. </w:t>
            </w:r>
            <w:r w:rsidRPr="00640161">
              <w:rPr>
                <w:rFonts w:asciiTheme="minorHAnsi" w:hAnsiTheme="minorHAnsi" w:cstheme="minorHAnsi"/>
                <w:i/>
              </w:rPr>
              <w:t xml:space="preserve">ANZJ </w:t>
            </w:r>
            <w:proofErr w:type="spellStart"/>
            <w:r w:rsidRPr="00640161">
              <w:rPr>
                <w:rFonts w:asciiTheme="minorHAnsi" w:hAnsiTheme="minorHAnsi" w:cstheme="minorHAnsi"/>
                <w:i/>
              </w:rPr>
              <w:t>Psychiatr</w:t>
            </w:r>
            <w:proofErr w:type="spellEnd"/>
            <w:r w:rsidRPr="00640161">
              <w:rPr>
                <w:rFonts w:asciiTheme="minorHAnsi" w:hAnsiTheme="minorHAnsi" w:cstheme="minorHAnsi"/>
                <w:i/>
              </w:rPr>
              <w:t>,</w:t>
            </w:r>
            <w:r w:rsidRPr="00640161">
              <w:rPr>
                <w:rFonts w:asciiTheme="minorHAnsi" w:hAnsiTheme="minorHAnsi" w:cstheme="minorHAnsi"/>
                <w:spacing w:val="-2"/>
              </w:rPr>
              <w:t xml:space="preserve"> 55(1):7-117. doi:10.1177/000486742097935</w:t>
            </w:r>
            <w:r w:rsidRPr="00640161">
              <w:rPr>
                <w:rFonts w:asciiTheme="minorHAnsi" w:hAnsiTheme="minorHAnsi" w:cstheme="minorHAnsi"/>
                <w:spacing w:val="-2"/>
              </w:rPr>
              <w:lastRenderedPageBreak/>
              <w:t>3</w:t>
            </w:r>
          </w:p>
        </w:tc>
        <w:tc>
          <w:tcPr>
            <w:tcW w:w="1417" w:type="dxa"/>
          </w:tcPr>
          <w:p w14:paraId="4C478C16"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lastRenderedPageBreak/>
              <w:t>RANZCP</w:t>
            </w:r>
          </w:p>
        </w:tc>
        <w:tc>
          <w:tcPr>
            <w:tcW w:w="1560" w:type="dxa"/>
          </w:tcPr>
          <w:p w14:paraId="6FD5F53E"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Psychiatry</w:t>
            </w:r>
          </w:p>
        </w:tc>
        <w:tc>
          <w:tcPr>
            <w:tcW w:w="2126" w:type="dxa"/>
          </w:tcPr>
          <w:p w14:paraId="7E2E2FC6"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4CEBC07B"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w:t>
            </w:r>
            <w:r>
              <w:rPr>
                <w:rFonts w:asciiTheme="minorHAnsi" w:hAnsiTheme="minorHAnsi" w:cstheme="minorHAnsi"/>
              </w:rPr>
              <w:t>G</w:t>
            </w:r>
            <w:r w:rsidRPr="00640161">
              <w:rPr>
                <w:rFonts w:asciiTheme="minorHAnsi" w:hAnsiTheme="minorHAnsi" w:cstheme="minorHAnsi"/>
              </w:rPr>
              <w:t>ender”</w:t>
            </w:r>
            <w:r w:rsidRPr="00640161">
              <w:rPr>
                <w:rFonts w:asciiTheme="minorHAnsi" w:hAnsiTheme="minorHAnsi" w:cstheme="minorHAnsi"/>
                <w:spacing w:val="-13"/>
              </w:rPr>
              <w:t xml:space="preserve"> </w:t>
            </w:r>
            <w:r w:rsidRPr="00640161">
              <w:rPr>
                <w:rFonts w:asciiTheme="minorHAnsi" w:hAnsiTheme="minorHAnsi" w:cstheme="minorHAnsi"/>
              </w:rPr>
              <w:t xml:space="preserve">used </w:t>
            </w:r>
            <w:r>
              <w:rPr>
                <w:rFonts w:asciiTheme="minorHAnsi" w:hAnsiTheme="minorHAnsi" w:cstheme="minorHAnsi"/>
                <w:spacing w:val="-2"/>
              </w:rPr>
              <w:t>for “sex”</w:t>
            </w:r>
            <w:r w:rsidRPr="00640161">
              <w:rPr>
                <w:rFonts w:asciiTheme="minorHAnsi" w:hAnsiTheme="minorHAnsi" w:cstheme="minorHAnsi"/>
                <w:spacing w:val="-2"/>
              </w:rPr>
              <w:t>.</w:t>
            </w:r>
            <w:r>
              <w:rPr>
                <w:rFonts w:asciiTheme="minorHAnsi" w:hAnsiTheme="minorHAnsi" w:cstheme="minorHAnsi"/>
                <w:spacing w:val="-2"/>
              </w:rPr>
              <w:t xml:space="preserve"> </w:t>
            </w:r>
          </w:p>
          <w:p w14:paraId="0B440AC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“Women, “men” used throughout.</w:t>
            </w:r>
          </w:p>
        </w:tc>
        <w:tc>
          <w:tcPr>
            <w:tcW w:w="1984" w:type="dxa"/>
          </w:tcPr>
          <w:p w14:paraId="4C5E0A79"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prevalence, diagnosis, treatment recommendations.</w:t>
            </w:r>
          </w:p>
          <w:p w14:paraId="4EC494C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Considerations for special populations</w:t>
            </w:r>
            <w:r w:rsidRPr="00640161">
              <w:rPr>
                <w:rFonts w:asciiTheme="minorHAnsi" w:hAnsiTheme="minorHAnsi" w:cstheme="minorHAnsi"/>
                <w:spacing w:val="-13"/>
              </w:rPr>
              <w:t xml:space="preserve"> </w:t>
            </w:r>
            <w:r w:rsidRPr="00640161">
              <w:rPr>
                <w:rFonts w:asciiTheme="minorHAnsi" w:hAnsiTheme="minorHAnsi" w:cstheme="minorHAnsi"/>
              </w:rPr>
              <w:t>including</w:t>
            </w:r>
            <w:r w:rsidRPr="00640161">
              <w:rPr>
                <w:rFonts w:asciiTheme="minorHAnsi" w:hAnsiTheme="minorHAnsi" w:cstheme="minorHAnsi"/>
                <w:spacing w:val="-12"/>
              </w:rPr>
              <w:t xml:space="preserve"> </w:t>
            </w:r>
            <w:r w:rsidRPr="00640161">
              <w:rPr>
                <w:rFonts w:asciiTheme="minorHAnsi" w:hAnsiTheme="minorHAnsi" w:cstheme="minorHAnsi"/>
              </w:rPr>
              <w:t xml:space="preserve">pregnant </w:t>
            </w:r>
            <w:r w:rsidRPr="00640161">
              <w:rPr>
                <w:rFonts w:asciiTheme="minorHAnsi" w:hAnsiTheme="minorHAnsi" w:cstheme="minorHAnsi"/>
                <w:spacing w:val="-2"/>
              </w:rPr>
              <w:t>women.</w:t>
            </w:r>
          </w:p>
          <w:p w14:paraId="668D7C4C"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Some patients may be better assessed</w:t>
            </w:r>
            <w:r w:rsidRPr="00640161">
              <w:rPr>
                <w:rFonts w:asciiTheme="minorHAnsi" w:hAnsiTheme="minorHAnsi" w:cstheme="minorHAnsi"/>
                <w:spacing w:val="-7"/>
              </w:rPr>
              <w:t xml:space="preserve"> </w:t>
            </w:r>
            <w:r w:rsidRPr="00640161">
              <w:rPr>
                <w:rFonts w:asciiTheme="minorHAnsi" w:hAnsiTheme="minorHAnsi" w:cstheme="minorHAnsi"/>
              </w:rPr>
              <w:t>&amp;</w:t>
            </w:r>
            <w:r w:rsidRPr="00640161">
              <w:rPr>
                <w:rFonts w:asciiTheme="minorHAnsi" w:hAnsiTheme="minorHAnsi" w:cstheme="minorHAnsi"/>
                <w:spacing w:val="-8"/>
              </w:rPr>
              <w:t xml:space="preserve"> </w:t>
            </w:r>
            <w:r w:rsidRPr="00640161">
              <w:rPr>
                <w:rFonts w:asciiTheme="minorHAnsi" w:hAnsiTheme="minorHAnsi" w:cstheme="minorHAnsi"/>
              </w:rPr>
              <w:t>treated</w:t>
            </w:r>
            <w:r w:rsidRPr="00640161">
              <w:rPr>
                <w:rFonts w:asciiTheme="minorHAnsi" w:hAnsiTheme="minorHAnsi" w:cstheme="minorHAnsi"/>
                <w:spacing w:val="-8"/>
              </w:rPr>
              <w:t xml:space="preserve"> </w:t>
            </w:r>
            <w:r w:rsidRPr="00640161">
              <w:rPr>
                <w:rFonts w:asciiTheme="minorHAnsi" w:hAnsiTheme="minorHAnsi" w:cstheme="minorHAnsi"/>
              </w:rPr>
              <w:t>by</w:t>
            </w:r>
            <w:r w:rsidRPr="00640161">
              <w:rPr>
                <w:rFonts w:asciiTheme="minorHAnsi" w:hAnsiTheme="minorHAnsi" w:cstheme="minorHAnsi"/>
                <w:spacing w:val="-8"/>
              </w:rPr>
              <w:t xml:space="preserve"> </w:t>
            </w:r>
            <w:r w:rsidRPr="00640161">
              <w:rPr>
                <w:rFonts w:asciiTheme="minorHAnsi" w:hAnsiTheme="minorHAnsi" w:cstheme="minorHAnsi"/>
              </w:rPr>
              <w:t xml:space="preserve">clinician of same </w:t>
            </w:r>
            <w:r w:rsidRPr="00640161">
              <w:rPr>
                <w:rFonts w:asciiTheme="minorHAnsi" w:hAnsiTheme="minorHAnsi" w:cstheme="minorHAnsi"/>
              </w:rPr>
              <w:lastRenderedPageBreak/>
              <w:t>sex.</w:t>
            </w:r>
          </w:p>
        </w:tc>
        <w:tc>
          <w:tcPr>
            <w:tcW w:w="1843" w:type="dxa"/>
          </w:tcPr>
          <w:p w14:paraId="5CE66B2A"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lastRenderedPageBreak/>
              <w:t>G</w:t>
            </w:r>
            <w:r w:rsidRPr="00640161">
              <w:rPr>
                <w:rFonts w:asciiTheme="minorHAnsi" w:hAnsiTheme="minorHAnsi" w:cstheme="minorHAnsi"/>
              </w:rPr>
              <w:t>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r>
              <w:rPr>
                <w:rFonts w:asciiTheme="minorHAnsi" w:hAnsiTheme="minorHAnsi" w:cstheme="minorHAnsi"/>
                <w:spacing w:val="-2"/>
              </w:rPr>
              <w:t xml:space="preserve"> implied: circumstances of women with postpartum depression</w:t>
            </w:r>
            <w:r w:rsidRPr="00640161">
              <w:rPr>
                <w:rFonts w:asciiTheme="minorHAnsi" w:hAnsiTheme="minorHAnsi" w:cstheme="minorHAnsi"/>
                <w:spacing w:val="-2"/>
              </w:rPr>
              <w:t>.</w:t>
            </w:r>
          </w:p>
        </w:tc>
        <w:tc>
          <w:tcPr>
            <w:tcW w:w="1276" w:type="dxa"/>
          </w:tcPr>
          <w:p w14:paraId="0EAA1842"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“Evidence-based”, “consensus-based”.</w:t>
            </w:r>
          </w:p>
        </w:tc>
      </w:tr>
      <w:tr w:rsidR="00094656" w:rsidRPr="00640161" w14:paraId="6FBEC93F" w14:textId="77777777" w:rsidTr="0067273F">
        <w:tc>
          <w:tcPr>
            <w:tcW w:w="1575" w:type="dxa"/>
          </w:tcPr>
          <w:p w14:paraId="49FC7E17" w14:textId="77777777" w:rsidR="00094656" w:rsidRPr="00640161" w:rsidRDefault="00094656" w:rsidP="0067273F">
            <w:pPr>
              <w:pStyle w:val="TableParagraph"/>
              <w:ind w:left="110" w:right="232"/>
              <w:rPr>
                <w:rFonts w:asciiTheme="minorHAnsi" w:hAnsiTheme="minorHAnsi" w:cstheme="minorHAnsi"/>
                <w:b/>
              </w:rPr>
            </w:pPr>
            <w:r w:rsidRPr="00640161">
              <w:rPr>
                <w:b/>
              </w:rPr>
              <w:t>Royal Australian and New Zealand College of Psychiatrists</w:t>
            </w:r>
          </w:p>
        </w:tc>
        <w:tc>
          <w:tcPr>
            <w:tcW w:w="3119" w:type="dxa"/>
          </w:tcPr>
          <w:p w14:paraId="767E1EA1" w14:textId="77777777" w:rsidR="00094656" w:rsidRPr="00FA0FBC" w:rsidRDefault="00094656" w:rsidP="0067273F">
            <w:pPr>
              <w:pStyle w:val="TableParagraph"/>
              <w:ind w:left="108" w:right="96"/>
              <w:rPr>
                <w:rFonts w:asciiTheme="minorHAnsi" w:hAnsiTheme="minorHAnsi" w:cstheme="minorHAnsi"/>
                <w:spacing w:val="-2"/>
              </w:rPr>
            </w:pPr>
            <w:r w:rsidRPr="00FA0FBC">
              <w:rPr>
                <w:rFonts w:asciiTheme="minorHAnsi" w:hAnsiTheme="minorHAnsi" w:cstheme="minorHAnsi"/>
              </w:rPr>
              <w:t>RANZCP</w:t>
            </w:r>
            <w:r w:rsidRPr="00FA0FBC">
              <w:rPr>
                <w:rFonts w:asciiTheme="minorHAnsi" w:hAnsiTheme="minorHAnsi" w:cstheme="minorHAnsi"/>
                <w:spacing w:val="-6"/>
              </w:rPr>
              <w:t xml:space="preserve"> </w:t>
            </w:r>
            <w:r w:rsidRPr="00FA0FBC">
              <w:rPr>
                <w:rFonts w:asciiTheme="minorHAnsi" w:hAnsiTheme="minorHAnsi" w:cstheme="minorHAnsi"/>
              </w:rPr>
              <w:t>clinical</w:t>
            </w:r>
            <w:r w:rsidRPr="00FA0FBC">
              <w:rPr>
                <w:rFonts w:asciiTheme="minorHAnsi" w:hAnsiTheme="minorHAnsi" w:cstheme="minorHAnsi"/>
                <w:spacing w:val="-5"/>
              </w:rPr>
              <w:t xml:space="preserve"> </w:t>
            </w:r>
            <w:r w:rsidRPr="00FA0FBC">
              <w:rPr>
                <w:rFonts w:asciiTheme="minorHAnsi" w:hAnsiTheme="minorHAnsi" w:cstheme="minorHAnsi"/>
              </w:rPr>
              <w:t>practice</w:t>
            </w:r>
            <w:r w:rsidRPr="00FA0FBC">
              <w:rPr>
                <w:rFonts w:asciiTheme="minorHAnsi" w:hAnsiTheme="minorHAnsi" w:cstheme="minorHAnsi"/>
                <w:spacing w:val="-5"/>
              </w:rPr>
              <w:t xml:space="preserve"> </w:t>
            </w:r>
            <w:r w:rsidRPr="00FA0FBC">
              <w:rPr>
                <w:rFonts w:asciiTheme="minorHAnsi" w:hAnsiTheme="minorHAnsi" w:cstheme="minorHAnsi"/>
              </w:rPr>
              <w:t>guideline</w:t>
            </w:r>
            <w:r w:rsidRPr="00FA0FBC">
              <w:rPr>
                <w:rFonts w:asciiTheme="minorHAnsi" w:hAnsiTheme="minorHAnsi" w:cstheme="minorHAnsi"/>
                <w:spacing w:val="-6"/>
              </w:rPr>
              <w:t xml:space="preserve"> </w:t>
            </w:r>
            <w:r w:rsidRPr="00FA0FBC">
              <w:rPr>
                <w:rFonts w:asciiTheme="minorHAnsi" w:hAnsiTheme="minorHAnsi" w:cstheme="minorHAnsi"/>
              </w:rPr>
              <w:t>for</w:t>
            </w:r>
            <w:r w:rsidRPr="00FA0FBC">
              <w:rPr>
                <w:rFonts w:asciiTheme="minorHAnsi" w:hAnsiTheme="minorHAnsi" w:cstheme="minorHAnsi"/>
                <w:spacing w:val="40"/>
              </w:rPr>
              <w:t xml:space="preserve"> </w:t>
            </w:r>
            <w:r w:rsidRPr="00FA0FBC">
              <w:rPr>
                <w:rFonts w:asciiTheme="minorHAnsi" w:hAnsiTheme="minorHAnsi" w:cstheme="minorHAnsi"/>
              </w:rPr>
              <w:t>the management of deliberate self-harm, 2016</w:t>
            </w:r>
          </w:p>
          <w:p w14:paraId="5F6A045E" w14:textId="77777777" w:rsidR="00094656" w:rsidRPr="00FA0FBC" w:rsidRDefault="00094656" w:rsidP="0067273F">
            <w:pPr>
              <w:pStyle w:val="TableParagraph"/>
              <w:ind w:left="108" w:right="96"/>
              <w:rPr>
                <w:rFonts w:asciiTheme="minorHAnsi" w:hAnsiTheme="minorHAnsi" w:cstheme="minorHAnsi"/>
                <w:spacing w:val="-2"/>
              </w:rPr>
            </w:pPr>
          </w:p>
          <w:p w14:paraId="013669FC" w14:textId="77777777" w:rsidR="00094656" w:rsidRPr="00640161" w:rsidRDefault="00094656" w:rsidP="0067273F">
            <w:pPr>
              <w:shd w:val="clear" w:color="auto" w:fill="FFFFFF"/>
              <w:spacing w:before="1"/>
              <w:ind w:left="108" w:right="96"/>
              <w:rPr>
                <w:rFonts w:eastAsia="Times New Roman" w:cstheme="minorHAnsi"/>
                <w:color w:val="333333"/>
              </w:rPr>
            </w:pPr>
            <w:r w:rsidRPr="00FA0FBC">
              <w:rPr>
                <w:rFonts w:cstheme="minorHAnsi"/>
                <w:shd w:val="clear" w:color="auto" w:fill="FFFFFF"/>
              </w:rPr>
              <w:t xml:space="preserve">Carter et al. (2016). Royal Australian and New Zealand College of Psychiatrists clinical practice guideline for the management of deliberate self-harm. </w:t>
            </w:r>
            <w:r w:rsidRPr="00FA0FBC">
              <w:rPr>
                <w:rFonts w:cstheme="minorHAnsi"/>
                <w:i/>
                <w:iCs/>
                <w:shd w:val="clear" w:color="auto" w:fill="FFFFFF"/>
              </w:rPr>
              <w:t>ANZ Journal of Psychiatry</w:t>
            </w:r>
            <w:r w:rsidRPr="00FA0FBC">
              <w:rPr>
                <w:rFonts w:cstheme="minorHAnsi"/>
                <w:shd w:val="clear" w:color="auto" w:fill="FFFFFF"/>
              </w:rPr>
              <w:t xml:space="preserve">, </w:t>
            </w:r>
            <w:r w:rsidRPr="00FA0FBC">
              <w:rPr>
                <w:rFonts w:cstheme="minorHAnsi"/>
                <w:i/>
                <w:iCs/>
                <w:shd w:val="clear" w:color="auto" w:fill="FFFFFF"/>
              </w:rPr>
              <w:t>50</w:t>
            </w:r>
            <w:r w:rsidRPr="00FA0FBC">
              <w:rPr>
                <w:rFonts w:cstheme="minorHAnsi"/>
                <w:shd w:val="clear" w:color="auto" w:fill="FFFFFF"/>
              </w:rPr>
              <w:t>(10), 939-1000. DOI:</w:t>
            </w:r>
            <w:r w:rsidRPr="00FA0FBC">
              <w:rPr>
                <w:rFonts w:cstheme="minorHAnsi"/>
              </w:rPr>
              <w:t>10.1177/0004867416661039</w:t>
            </w:r>
          </w:p>
        </w:tc>
        <w:tc>
          <w:tcPr>
            <w:tcW w:w="1417" w:type="dxa"/>
          </w:tcPr>
          <w:p w14:paraId="1F8CA83D"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RANZCP Board</w:t>
            </w:r>
          </w:p>
        </w:tc>
        <w:tc>
          <w:tcPr>
            <w:tcW w:w="1560" w:type="dxa"/>
          </w:tcPr>
          <w:p w14:paraId="721EEEC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Psychiatry</w:t>
            </w:r>
          </w:p>
        </w:tc>
        <w:tc>
          <w:tcPr>
            <w:tcW w:w="2126" w:type="dxa"/>
          </w:tcPr>
          <w:p w14:paraId="27BAF344"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for sex &amp; applied to “Māori gender and social roles”. “Sex” used (once) appropriately. No definitions. “Women”, “men”, “female”, “male” used throughout.</w:t>
            </w:r>
          </w:p>
        </w:tc>
        <w:tc>
          <w:tcPr>
            <w:tcW w:w="1984" w:type="dxa"/>
          </w:tcPr>
          <w:p w14:paraId="4A1344F4"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Protective &amp; risk factors of sex.</w:t>
            </w:r>
          </w:p>
        </w:tc>
        <w:tc>
          <w:tcPr>
            <w:tcW w:w="1843" w:type="dxa"/>
          </w:tcPr>
          <w:p w14:paraId="604928E5"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Implicit but not explicit.</w:t>
            </w:r>
          </w:p>
        </w:tc>
        <w:tc>
          <w:tcPr>
            <w:tcW w:w="1276" w:type="dxa"/>
          </w:tcPr>
          <w:p w14:paraId="71B2B460"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NHMRC levels of evidence; “consensus-based”.</w:t>
            </w:r>
          </w:p>
        </w:tc>
      </w:tr>
      <w:tr w:rsidR="00094656" w:rsidRPr="00640161" w14:paraId="5A92EBDB" w14:textId="77777777" w:rsidTr="0067273F">
        <w:trPr>
          <w:cantSplit/>
        </w:trPr>
        <w:tc>
          <w:tcPr>
            <w:tcW w:w="1575" w:type="dxa"/>
          </w:tcPr>
          <w:p w14:paraId="053B7831"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w:t>
            </w:r>
            <w:r w:rsidRPr="00640161">
              <w:rPr>
                <w:rFonts w:asciiTheme="minorHAnsi" w:hAnsiTheme="minorHAnsi" w:cstheme="minorHAnsi"/>
                <w:b/>
                <w:spacing w:val="-13"/>
              </w:rPr>
              <w:t xml:space="preserve"> </w:t>
            </w:r>
            <w:r w:rsidRPr="00640161">
              <w:rPr>
                <w:rFonts w:asciiTheme="minorHAnsi" w:hAnsiTheme="minorHAnsi" w:cstheme="minorHAnsi"/>
                <w:b/>
              </w:rPr>
              <w:t>and</w:t>
            </w:r>
            <w:r w:rsidRPr="00640161">
              <w:rPr>
                <w:rFonts w:asciiTheme="minorHAnsi" w:hAnsiTheme="minorHAnsi" w:cstheme="minorHAnsi"/>
                <w:b/>
                <w:spacing w:val="-12"/>
              </w:rPr>
              <w:t xml:space="preserve"> </w:t>
            </w:r>
            <w:r w:rsidRPr="00640161">
              <w:rPr>
                <w:rFonts w:asciiTheme="minorHAnsi" w:hAnsiTheme="minorHAnsi" w:cstheme="minorHAnsi"/>
                <w:b/>
              </w:rPr>
              <w:t xml:space="preserve">New Zealand College of </w:t>
            </w:r>
            <w:r w:rsidRPr="00640161">
              <w:rPr>
                <w:rFonts w:asciiTheme="minorHAnsi" w:hAnsiTheme="minorHAnsi" w:cstheme="minorHAnsi"/>
                <w:b/>
                <w:spacing w:val="-2"/>
              </w:rPr>
              <w:t>Radiologists</w:t>
            </w:r>
          </w:p>
        </w:tc>
        <w:tc>
          <w:tcPr>
            <w:tcW w:w="3119" w:type="dxa"/>
          </w:tcPr>
          <w:p w14:paraId="557E9E7B"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Guideline</w:t>
            </w:r>
            <w:r w:rsidRPr="00640161">
              <w:rPr>
                <w:rFonts w:asciiTheme="minorHAnsi" w:hAnsiTheme="minorHAnsi" w:cstheme="minorHAnsi"/>
                <w:spacing w:val="-10"/>
              </w:rPr>
              <w:t xml:space="preserve"> </w:t>
            </w:r>
            <w:r w:rsidRPr="00640161">
              <w:rPr>
                <w:rFonts w:asciiTheme="minorHAnsi" w:hAnsiTheme="minorHAnsi" w:cstheme="minorHAnsi"/>
              </w:rPr>
              <w:t>for</w:t>
            </w:r>
            <w:r w:rsidRPr="00640161">
              <w:rPr>
                <w:rFonts w:asciiTheme="minorHAnsi" w:hAnsiTheme="minorHAnsi" w:cstheme="minorHAnsi"/>
                <w:spacing w:val="-10"/>
              </w:rPr>
              <w:t xml:space="preserve"> </w:t>
            </w:r>
            <w:r w:rsidRPr="00640161">
              <w:rPr>
                <w:rFonts w:asciiTheme="minorHAnsi" w:hAnsiTheme="minorHAnsi" w:cstheme="minorHAnsi"/>
              </w:rPr>
              <w:t>Imaging</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Suspected Non-Accidental Injury, 2022</w:t>
            </w:r>
          </w:p>
          <w:p w14:paraId="7592B4BD" w14:textId="77777777" w:rsidR="00094656" w:rsidRPr="00640161" w:rsidRDefault="00094656" w:rsidP="0067273F">
            <w:pPr>
              <w:pStyle w:val="TableParagraph"/>
              <w:ind w:left="108" w:right="96"/>
              <w:rPr>
                <w:rFonts w:asciiTheme="minorHAnsi" w:hAnsiTheme="minorHAnsi" w:cstheme="minorHAnsi"/>
                <w:b/>
              </w:rPr>
            </w:pPr>
          </w:p>
          <w:p w14:paraId="182CB19F" w14:textId="77777777" w:rsidR="00094656" w:rsidRPr="00640161" w:rsidRDefault="00094656" w:rsidP="0067273F">
            <w:pPr>
              <w:pStyle w:val="TableParagraph"/>
              <w:ind w:left="108" w:right="96"/>
              <w:rPr>
                <w:rFonts w:asciiTheme="minorHAnsi" w:hAnsiTheme="minorHAnsi" w:cstheme="minorHAnsi"/>
                <w:spacing w:val="-2"/>
              </w:rPr>
            </w:pPr>
            <w:hyperlink r:id="rId52">
              <w:r w:rsidRPr="00640161">
                <w:rPr>
                  <w:rFonts w:asciiTheme="minorHAnsi" w:hAnsiTheme="minorHAnsi" w:cstheme="minorHAnsi"/>
                  <w:spacing w:val="-2"/>
                </w:rPr>
                <w:t>https://w</w:t>
              </w:r>
            </w:hyperlink>
            <w:r w:rsidRPr="00640161">
              <w:rPr>
                <w:rFonts w:asciiTheme="minorHAnsi" w:hAnsiTheme="minorHAnsi" w:cstheme="minorHAnsi"/>
                <w:spacing w:val="-2"/>
              </w:rPr>
              <w:t>ww.</w:t>
            </w:r>
            <w:hyperlink r:id="rId53">
              <w:r w:rsidRPr="00640161">
                <w:rPr>
                  <w:rFonts w:asciiTheme="minorHAnsi" w:hAnsiTheme="minorHAnsi" w:cstheme="minorHAnsi"/>
                  <w:spacing w:val="-2"/>
                </w:rPr>
                <w:t>ranzcr.</w:t>
              </w:r>
            </w:hyperlink>
            <w:r w:rsidRPr="00640161">
              <w:rPr>
                <w:rFonts w:asciiTheme="minorHAnsi" w:hAnsiTheme="minorHAnsi" w:cstheme="minorHAnsi"/>
                <w:spacing w:val="-2"/>
              </w:rPr>
              <w:t>com</w:t>
            </w:r>
            <w:hyperlink r:id="rId54">
              <w:r w:rsidRPr="00640161">
                <w:rPr>
                  <w:rFonts w:asciiTheme="minorHAnsi" w:hAnsiTheme="minorHAnsi" w:cstheme="minorHAnsi"/>
                  <w:spacing w:val="-2"/>
                </w:rPr>
                <w:t>/component/e</w:t>
              </w:r>
            </w:hyperlink>
            <w:r w:rsidRPr="00640161">
              <w:rPr>
                <w:rFonts w:asciiTheme="minorHAnsi" w:hAnsiTheme="minorHAnsi" w:cstheme="minorHAnsi"/>
                <w:spacing w:val="-2"/>
              </w:rPr>
              <w:t>docman/guideline-for-imaging-of-suspected-non-accidental-injury/viewdocument/1831?Itemid=424</w:t>
            </w:r>
          </w:p>
        </w:tc>
        <w:tc>
          <w:tcPr>
            <w:tcW w:w="1417" w:type="dxa"/>
          </w:tcPr>
          <w:p w14:paraId="05A6D717"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RANZCR</w:t>
            </w:r>
          </w:p>
        </w:tc>
        <w:tc>
          <w:tcPr>
            <w:tcW w:w="1560" w:type="dxa"/>
          </w:tcPr>
          <w:p w14:paraId="6C9634E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Radiology</w:t>
            </w:r>
          </w:p>
        </w:tc>
        <w:tc>
          <w:tcPr>
            <w:tcW w:w="2126" w:type="dxa"/>
          </w:tcPr>
          <w:p w14:paraId="5978F19D" w14:textId="77777777" w:rsidR="00094656" w:rsidRPr="00640161" w:rsidRDefault="00094656" w:rsidP="0067273F">
            <w:pPr>
              <w:pStyle w:val="TableParagraph"/>
              <w:rPr>
                <w:rFonts w:asciiTheme="minorHAnsi" w:hAnsiTheme="minorHAnsi" w:cstheme="minorHAnsi"/>
                <w:spacing w:val="-2"/>
              </w:rPr>
            </w:pPr>
            <w:r>
              <w:rPr>
                <w:rFonts w:asciiTheme="minorHAnsi" w:hAnsiTheme="minorHAnsi" w:cstheme="minorHAnsi"/>
              </w:rPr>
              <w:t>“Gender”, “sex”, “female”, “male” not</w:t>
            </w:r>
            <w:r w:rsidRPr="00640161">
              <w:rPr>
                <w:rFonts w:asciiTheme="minorHAnsi" w:hAnsiTheme="minorHAnsi" w:cstheme="minorHAnsi"/>
                <w:spacing w:val="-10"/>
              </w:rPr>
              <w:t xml:space="preserve">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p w14:paraId="0FD9F09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About children.</w:t>
            </w:r>
          </w:p>
        </w:tc>
        <w:tc>
          <w:tcPr>
            <w:tcW w:w="1984" w:type="dxa"/>
          </w:tcPr>
          <w:p w14:paraId="36EEF764"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089595D1"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DA12846"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 “evidence based”.</w:t>
            </w:r>
          </w:p>
        </w:tc>
      </w:tr>
      <w:tr w:rsidR="00094656" w:rsidRPr="00640161" w14:paraId="49D74320" w14:textId="77777777" w:rsidTr="0067273F">
        <w:trPr>
          <w:cantSplit/>
        </w:trPr>
        <w:tc>
          <w:tcPr>
            <w:tcW w:w="1575" w:type="dxa"/>
          </w:tcPr>
          <w:p w14:paraId="516F1616"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w:t>
            </w:r>
            <w:r w:rsidRPr="00640161">
              <w:rPr>
                <w:rFonts w:asciiTheme="minorHAnsi" w:hAnsiTheme="minorHAnsi" w:cstheme="minorHAnsi"/>
                <w:b/>
                <w:spacing w:val="-13"/>
              </w:rPr>
              <w:t xml:space="preserve"> </w:t>
            </w:r>
            <w:r w:rsidRPr="00640161">
              <w:rPr>
                <w:rFonts w:asciiTheme="minorHAnsi" w:hAnsiTheme="minorHAnsi" w:cstheme="minorHAnsi"/>
                <w:b/>
              </w:rPr>
              <w:t>and</w:t>
            </w:r>
            <w:r w:rsidRPr="00640161">
              <w:rPr>
                <w:rFonts w:asciiTheme="minorHAnsi" w:hAnsiTheme="minorHAnsi" w:cstheme="minorHAnsi"/>
                <w:b/>
                <w:spacing w:val="-12"/>
              </w:rPr>
              <w:t xml:space="preserve"> </w:t>
            </w:r>
            <w:r w:rsidRPr="00640161">
              <w:rPr>
                <w:rFonts w:asciiTheme="minorHAnsi" w:hAnsiTheme="minorHAnsi" w:cstheme="minorHAnsi"/>
                <w:b/>
              </w:rPr>
              <w:t xml:space="preserve">New Zealand College of </w:t>
            </w:r>
            <w:r w:rsidRPr="00640161">
              <w:rPr>
                <w:rFonts w:asciiTheme="minorHAnsi" w:hAnsiTheme="minorHAnsi" w:cstheme="minorHAnsi"/>
                <w:b/>
                <w:spacing w:val="-2"/>
              </w:rPr>
              <w:t>Radiologists</w:t>
            </w:r>
          </w:p>
        </w:tc>
        <w:tc>
          <w:tcPr>
            <w:tcW w:w="3119" w:type="dxa"/>
          </w:tcPr>
          <w:p w14:paraId="2DAF288E"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MRI</w:t>
            </w:r>
            <w:r w:rsidRPr="00640161">
              <w:rPr>
                <w:rFonts w:asciiTheme="minorHAnsi" w:hAnsiTheme="minorHAnsi" w:cstheme="minorHAnsi"/>
                <w:spacing w:val="-7"/>
              </w:rPr>
              <w:t xml:space="preserve"> </w:t>
            </w:r>
            <w:r w:rsidRPr="00640161">
              <w:rPr>
                <w:rFonts w:asciiTheme="minorHAnsi" w:hAnsiTheme="minorHAnsi" w:cstheme="minorHAnsi"/>
              </w:rPr>
              <w:t>Safety</w:t>
            </w:r>
            <w:r w:rsidRPr="00640161">
              <w:rPr>
                <w:rFonts w:asciiTheme="minorHAnsi" w:hAnsiTheme="minorHAnsi" w:cstheme="minorHAnsi"/>
                <w:spacing w:val="-7"/>
              </w:rPr>
              <w:t xml:space="preserve"> </w:t>
            </w:r>
            <w:r w:rsidRPr="00640161">
              <w:rPr>
                <w:rFonts w:asciiTheme="minorHAnsi" w:hAnsiTheme="minorHAnsi" w:cstheme="minorHAnsi"/>
              </w:rPr>
              <w:t>Guidelines,</w:t>
            </w:r>
            <w:r w:rsidRPr="00640161">
              <w:rPr>
                <w:rFonts w:asciiTheme="minorHAnsi" w:hAnsiTheme="minorHAnsi" w:cstheme="minorHAnsi"/>
                <w:spacing w:val="-6"/>
              </w:rPr>
              <w:t xml:space="preserve"> </w:t>
            </w:r>
            <w:r>
              <w:rPr>
                <w:rFonts w:asciiTheme="minorHAnsi" w:hAnsiTheme="minorHAnsi" w:cstheme="minorHAnsi"/>
                <w:spacing w:val="-6"/>
              </w:rPr>
              <w:t xml:space="preserve">version 3.0, </w:t>
            </w:r>
            <w:r w:rsidRPr="00640161">
              <w:rPr>
                <w:rFonts w:asciiTheme="minorHAnsi" w:hAnsiTheme="minorHAnsi" w:cstheme="minorHAnsi"/>
                <w:spacing w:val="-4"/>
              </w:rPr>
              <w:t>2021</w:t>
            </w:r>
          </w:p>
          <w:p w14:paraId="33B38BE7" w14:textId="77777777" w:rsidR="00094656" w:rsidRPr="00640161" w:rsidRDefault="00094656" w:rsidP="0067273F">
            <w:pPr>
              <w:pStyle w:val="TableParagraph"/>
              <w:ind w:left="0"/>
              <w:rPr>
                <w:rFonts w:asciiTheme="minorHAnsi" w:hAnsiTheme="minorHAnsi" w:cstheme="minorHAnsi"/>
                <w:b/>
              </w:rPr>
            </w:pPr>
          </w:p>
          <w:p w14:paraId="0A0AFF3A" w14:textId="77777777" w:rsidR="00094656" w:rsidRPr="00126D18" w:rsidRDefault="00094656" w:rsidP="0067273F">
            <w:pPr>
              <w:pStyle w:val="TableParagraph"/>
              <w:ind w:right="97"/>
              <w:rPr>
                <w:rFonts w:asciiTheme="minorHAnsi" w:hAnsiTheme="minorHAnsi" w:cstheme="minorHAnsi"/>
                <w:color w:val="0563C1"/>
                <w:spacing w:val="-2"/>
              </w:rPr>
            </w:pPr>
            <w:hyperlink r:id="rId55">
              <w:r w:rsidRPr="00126D18">
                <w:rPr>
                  <w:rFonts w:asciiTheme="minorHAnsi" w:hAnsiTheme="minorHAnsi" w:cstheme="minorHAnsi"/>
                  <w:spacing w:val="-2"/>
                </w:rPr>
                <w:t>https://w</w:t>
              </w:r>
            </w:hyperlink>
            <w:r w:rsidRPr="00126D18">
              <w:rPr>
                <w:rFonts w:asciiTheme="minorHAnsi" w:hAnsiTheme="minorHAnsi" w:cstheme="minorHAnsi"/>
                <w:spacing w:val="-2"/>
              </w:rPr>
              <w:t>ww.</w:t>
            </w:r>
            <w:hyperlink r:id="rId56">
              <w:r w:rsidRPr="00126D18">
                <w:rPr>
                  <w:rFonts w:asciiTheme="minorHAnsi" w:hAnsiTheme="minorHAnsi" w:cstheme="minorHAnsi"/>
                  <w:spacing w:val="-2"/>
                </w:rPr>
                <w:t>ranzcr.</w:t>
              </w:r>
            </w:hyperlink>
            <w:r w:rsidRPr="00126D18">
              <w:rPr>
                <w:rFonts w:asciiTheme="minorHAnsi" w:hAnsiTheme="minorHAnsi" w:cstheme="minorHAnsi"/>
                <w:spacing w:val="-2"/>
              </w:rPr>
              <w:t>com</w:t>
            </w:r>
            <w:hyperlink r:id="rId57">
              <w:r w:rsidRPr="00126D18">
                <w:rPr>
                  <w:rFonts w:asciiTheme="minorHAnsi" w:hAnsiTheme="minorHAnsi" w:cstheme="minorHAnsi"/>
                  <w:spacing w:val="-2"/>
                </w:rPr>
                <w:t>/col</w:t>
              </w:r>
            </w:hyperlink>
            <w:r w:rsidRPr="00126D18">
              <w:rPr>
                <w:rFonts w:asciiTheme="minorHAnsi" w:hAnsiTheme="minorHAnsi" w:cstheme="minorHAnsi"/>
                <w:spacing w:val="-2"/>
              </w:rPr>
              <w:t>lege/document-library/mri-safety-guidelines</w:t>
            </w:r>
          </w:p>
        </w:tc>
        <w:tc>
          <w:tcPr>
            <w:tcW w:w="1417" w:type="dxa"/>
          </w:tcPr>
          <w:p w14:paraId="62EE1388"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RANZCR Faculty of Clinical Radiology</w:t>
            </w:r>
          </w:p>
        </w:tc>
        <w:tc>
          <w:tcPr>
            <w:tcW w:w="1560" w:type="dxa"/>
          </w:tcPr>
          <w:p w14:paraId="627042D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Radiology</w:t>
            </w:r>
          </w:p>
        </w:tc>
        <w:tc>
          <w:tcPr>
            <w:tcW w:w="2126" w:type="dxa"/>
          </w:tcPr>
          <w:p w14:paraId="07C1044E"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“men”, “female”, “male” not found in text search.</w:t>
            </w:r>
          </w:p>
          <w:p w14:paraId="12CEE1C8" w14:textId="77777777" w:rsidR="00094656" w:rsidRDefault="00094656" w:rsidP="0067273F">
            <w:pPr>
              <w:pStyle w:val="TableParagraph"/>
              <w:rPr>
                <w:rFonts w:asciiTheme="minorHAnsi" w:hAnsiTheme="minorHAnsi" w:cstheme="minorHAnsi"/>
              </w:rPr>
            </w:pPr>
            <w:r>
              <w:rPr>
                <w:rFonts w:asciiTheme="minorHAnsi" w:hAnsiTheme="minorHAnsi" w:cstheme="minorHAnsi"/>
              </w:rPr>
              <w:t xml:space="preserve">“Sex” used once, appropriately. </w:t>
            </w:r>
          </w:p>
          <w:p w14:paraId="25B8670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“Women” used once with “pregnant”.</w:t>
            </w:r>
          </w:p>
        </w:tc>
        <w:tc>
          <w:tcPr>
            <w:tcW w:w="1984" w:type="dxa"/>
          </w:tcPr>
          <w:p w14:paraId="2E5592A5"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 s</w:t>
            </w:r>
            <w:r w:rsidRPr="00640161">
              <w:rPr>
                <w:rFonts w:asciiTheme="minorHAnsi" w:hAnsiTheme="minorHAnsi" w:cstheme="minorHAnsi"/>
              </w:rPr>
              <w:t>ex-related</w:t>
            </w:r>
            <w:r w:rsidRPr="00640161">
              <w:rPr>
                <w:rFonts w:asciiTheme="minorHAnsi" w:hAnsiTheme="minorHAnsi" w:cstheme="minorHAnsi"/>
                <w:spacing w:val="-13"/>
              </w:rPr>
              <w:t xml:space="preserve"> </w:t>
            </w:r>
            <w:r w:rsidRPr="00640161">
              <w:rPr>
                <w:rFonts w:asciiTheme="minorHAnsi" w:hAnsiTheme="minorHAnsi" w:cstheme="minorHAnsi"/>
              </w:rPr>
              <w:t>risk</w:t>
            </w:r>
            <w:r w:rsidRPr="00640161">
              <w:rPr>
                <w:rFonts w:asciiTheme="minorHAnsi" w:hAnsiTheme="minorHAnsi" w:cstheme="minorHAnsi"/>
                <w:spacing w:val="-12"/>
              </w:rPr>
              <w:t xml:space="preserve"> </w:t>
            </w:r>
            <w:r w:rsidRPr="00640161">
              <w:rPr>
                <w:rFonts w:asciiTheme="minorHAnsi" w:hAnsiTheme="minorHAnsi" w:cstheme="minorHAnsi"/>
              </w:rPr>
              <w:t>factor</w:t>
            </w:r>
            <w:r w:rsidRPr="00640161">
              <w:rPr>
                <w:rFonts w:asciiTheme="minorHAnsi" w:hAnsiTheme="minorHAnsi" w:cstheme="minorHAnsi"/>
                <w:spacing w:val="-12"/>
              </w:rPr>
              <w:t xml:space="preserve"> </w:t>
            </w:r>
            <w:r w:rsidRPr="00640161">
              <w:rPr>
                <w:rFonts w:asciiTheme="minorHAnsi" w:hAnsiTheme="minorHAnsi" w:cstheme="minorHAnsi"/>
              </w:rPr>
              <w:t xml:space="preserve">&amp; </w:t>
            </w:r>
            <w:r w:rsidRPr="00640161">
              <w:rPr>
                <w:rFonts w:asciiTheme="minorHAnsi" w:hAnsiTheme="minorHAnsi" w:cstheme="minorHAnsi"/>
                <w:spacing w:val="-2"/>
              </w:rPr>
              <w:t>management.</w:t>
            </w:r>
          </w:p>
        </w:tc>
        <w:tc>
          <w:tcPr>
            <w:tcW w:w="1843" w:type="dxa"/>
          </w:tcPr>
          <w:p w14:paraId="23E79DA2"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07971397"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No details of method. “Evidence-based culture”.</w:t>
            </w:r>
          </w:p>
        </w:tc>
      </w:tr>
      <w:tr w:rsidR="00094656" w:rsidRPr="00640161" w14:paraId="0124448C" w14:textId="77777777" w:rsidTr="0067273F">
        <w:trPr>
          <w:cantSplit/>
        </w:trPr>
        <w:tc>
          <w:tcPr>
            <w:tcW w:w="1575" w:type="dxa"/>
          </w:tcPr>
          <w:p w14:paraId="6236F019"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70A5E83D" w14:textId="77777777" w:rsidR="00094656" w:rsidRPr="00640161" w:rsidRDefault="00094656" w:rsidP="0067273F">
            <w:pPr>
              <w:pStyle w:val="TableParagraph"/>
              <w:spacing w:before="0"/>
              <w:ind w:left="108" w:right="96"/>
              <w:rPr>
                <w:rFonts w:asciiTheme="minorHAnsi" w:hAnsiTheme="minorHAnsi" w:cstheme="minorHAnsi"/>
              </w:rPr>
            </w:pPr>
            <w:r w:rsidRPr="00640161">
              <w:rPr>
                <w:rFonts w:asciiTheme="minorHAnsi" w:hAnsiTheme="minorHAnsi" w:cstheme="minorHAnsi"/>
              </w:rPr>
              <w:t>Smoking,</w:t>
            </w:r>
            <w:r w:rsidRPr="00640161">
              <w:rPr>
                <w:rFonts w:asciiTheme="minorHAnsi" w:hAnsiTheme="minorHAnsi" w:cstheme="minorHAnsi"/>
                <w:spacing w:val="-13"/>
              </w:rPr>
              <w:t xml:space="preserve"> </w:t>
            </w:r>
            <w:r w:rsidRPr="00640161">
              <w:rPr>
                <w:rFonts w:asciiTheme="minorHAnsi" w:hAnsiTheme="minorHAnsi" w:cstheme="minorHAnsi"/>
              </w:rPr>
              <w:t>nutrition,</w:t>
            </w:r>
            <w:r w:rsidRPr="00640161">
              <w:rPr>
                <w:rFonts w:asciiTheme="minorHAnsi" w:hAnsiTheme="minorHAnsi" w:cstheme="minorHAnsi"/>
                <w:spacing w:val="-12"/>
              </w:rPr>
              <w:t xml:space="preserve"> </w:t>
            </w:r>
            <w:r w:rsidRPr="00640161">
              <w:rPr>
                <w:rFonts w:asciiTheme="minorHAnsi" w:hAnsiTheme="minorHAnsi" w:cstheme="minorHAnsi"/>
              </w:rPr>
              <w:t>alcohol,</w:t>
            </w:r>
            <w:r w:rsidRPr="00640161">
              <w:rPr>
                <w:rFonts w:asciiTheme="minorHAnsi" w:hAnsiTheme="minorHAnsi" w:cstheme="minorHAnsi"/>
                <w:spacing w:val="-12"/>
              </w:rPr>
              <w:t xml:space="preserve"> </w:t>
            </w:r>
            <w:r w:rsidRPr="00640161">
              <w:rPr>
                <w:rFonts w:asciiTheme="minorHAnsi" w:hAnsiTheme="minorHAnsi" w:cstheme="minorHAnsi"/>
              </w:rPr>
              <w:t>physical activity (SNAP), 2</w:t>
            </w:r>
            <w:r w:rsidRPr="00640161">
              <w:rPr>
                <w:rFonts w:asciiTheme="minorHAnsi" w:hAnsiTheme="minorHAnsi" w:cstheme="minorHAnsi"/>
                <w:vertAlign w:val="superscript"/>
              </w:rPr>
              <w:t>nd</w:t>
            </w:r>
            <w:r w:rsidRPr="00640161">
              <w:rPr>
                <w:rFonts w:asciiTheme="minorHAnsi" w:hAnsiTheme="minorHAnsi" w:cstheme="minorHAnsi"/>
              </w:rPr>
              <w:t xml:space="preserve"> edition, 2015</w:t>
            </w:r>
          </w:p>
          <w:p w14:paraId="27CB615A" w14:textId="77777777" w:rsidR="00094656" w:rsidRPr="00640161" w:rsidRDefault="00094656" w:rsidP="0067273F">
            <w:pPr>
              <w:pStyle w:val="TableParagraph"/>
              <w:ind w:left="108" w:right="96"/>
              <w:rPr>
                <w:rFonts w:asciiTheme="minorHAnsi" w:hAnsiTheme="minorHAnsi" w:cstheme="minorHAnsi"/>
                <w:b/>
              </w:rPr>
            </w:pPr>
          </w:p>
          <w:p w14:paraId="40627078" w14:textId="77777777" w:rsidR="00094656" w:rsidRPr="00640161" w:rsidRDefault="00094656" w:rsidP="0067273F">
            <w:pPr>
              <w:pStyle w:val="TableParagraph"/>
              <w:keepNext/>
              <w:keepLines/>
              <w:widowControl/>
              <w:ind w:left="108" w:right="96"/>
              <w:rPr>
                <w:rFonts w:asciiTheme="minorHAnsi" w:hAnsiTheme="minorHAnsi" w:cstheme="minorHAnsi"/>
              </w:rPr>
            </w:pPr>
            <w:hyperlink r:id="rId58">
              <w:r w:rsidRPr="00640161">
                <w:rPr>
                  <w:rFonts w:asciiTheme="minorHAnsi" w:hAnsiTheme="minorHAnsi" w:cstheme="minorHAnsi"/>
                  <w:spacing w:val="-2"/>
                </w:rPr>
                <w:t>https://w</w:t>
              </w:r>
            </w:hyperlink>
            <w:r w:rsidRPr="00640161">
              <w:rPr>
                <w:rFonts w:asciiTheme="minorHAnsi" w:hAnsiTheme="minorHAnsi" w:cstheme="minorHAnsi"/>
                <w:spacing w:val="-2"/>
              </w:rPr>
              <w:t>ww.racg</w:t>
            </w:r>
            <w:hyperlink r:id="rId59">
              <w:r w:rsidRPr="00640161">
                <w:rPr>
                  <w:rFonts w:asciiTheme="minorHAnsi" w:hAnsiTheme="minorHAnsi" w:cstheme="minorHAnsi"/>
                  <w:spacing w:val="-2"/>
                </w:rPr>
                <w:t>p.org</w:t>
              </w:r>
            </w:hyperlink>
            <w:r w:rsidRPr="00640161">
              <w:rPr>
                <w:rFonts w:asciiTheme="minorHAnsi" w:hAnsiTheme="minorHAnsi" w:cstheme="minorHAnsi"/>
                <w:spacing w:val="-2"/>
              </w:rPr>
              <w:t>.</w:t>
            </w:r>
            <w:hyperlink r:id="rId60">
              <w:r w:rsidRPr="00640161">
                <w:rPr>
                  <w:rFonts w:asciiTheme="minorHAnsi" w:hAnsiTheme="minorHAnsi" w:cstheme="minorHAnsi"/>
                  <w:spacing w:val="-2"/>
                </w:rPr>
                <w:t>au/clinical-</w:t>
              </w:r>
            </w:hyperlink>
            <w:r w:rsidRPr="00640161">
              <w:rPr>
                <w:rFonts w:asciiTheme="minorHAnsi" w:hAnsiTheme="minorHAnsi" w:cstheme="minorHAnsi"/>
                <w:spacing w:val="-2"/>
              </w:rPr>
              <w:t>resources/clinical-guidelines/key-racgp-guidelines/view-all-racgp-guidelines/snap</w:t>
            </w:r>
          </w:p>
        </w:tc>
        <w:tc>
          <w:tcPr>
            <w:tcW w:w="1417" w:type="dxa"/>
          </w:tcPr>
          <w:p w14:paraId="1B817CF8"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RACGP</w:t>
            </w:r>
          </w:p>
        </w:tc>
        <w:tc>
          <w:tcPr>
            <w:tcW w:w="1560" w:type="dxa"/>
          </w:tcPr>
          <w:p w14:paraId="51A3F39C"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19C58662"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49C127DB"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used (once) for “sex”.</w:t>
            </w:r>
          </w:p>
          <w:p w14:paraId="1222D6A0"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“Sex</w:t>
            </w:r>
            <w:r>
              <w:rPr>
                <w:rFonts w:asciiTheme="minorHAnsi" w:hAnsiTheme="minorHAnsi" w:cstheme="minorHAnsi"/>
              </w:rPr>
              <w:t xml:space="preserve">” </w:t>
            </w:r>
            <w:r w:rsidRPr="00640161">
              <w:rPr>
                <w:rFonts w:asciiTheme="minorHAnsi" w:hAnsiTheme="minorHAnsi" w:cstheme="minorHAnsi"/>
              </w:rPr>
              <w:t xml:space="preserve">used </w:t>
            </w:r>
            <w:r>
              <w:rPr>
                <w:rFonts w:asciiTheme="minorHAnsi" w:hAnsiTheme="minorHAnsi" w:cstheme="minorHAnsi"/>
                <w:spacing w:val="-2"/>
              </w:rPr>
              <w:t>once</w:t>
            </w:r>
            <w:r w:rsidRPr="00640161">
              <w:rPr>
                <w:rFonts w:asciiTheme="minorHAnsi" w:hAnsiTheme="minorHAnsi" w:cstheme="minorHAnsi"/>
                <w:spacing w:val="-2"/>
              </w:rPr>
              <w:t>.</w:t>
            </w:r>
          </w:p>
          <w:p w14:paraId="5D90785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“Women”, “men” used.</w:t>
            </w:r>
          </w:p>
        </w:tc>
        <w:tc>
          <w:tcPr>
            <w:tcW w:w="1984" w:type="dxa"/>
          </w:tcPr>
          <w:p w14:paraId="0A656EA3"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risk factors in smoking,</w:t>
            </w:r>
            <w:r w:rsidRPr="00640161">
              <w:rPr>
                <w:rFonts w:asciiTheme="minorHAnsi" w:hAnsiTheme="minorHAnsi" w:cstheme="minorHAnsi"/>
                <w:spacing w:val="-13"/>
              </w:rPr>
              <w:t xml:space="preserve"> </w:t>
            </w:r>
            <w:r w:rsidRPr="00640161">
              <w:rPr>
                <w:rFonts w:asciiTheme="minorHAnsi" w:hAnsiTheme="minorHAnsi" w:cstheme="minorHAnsi"/>
              </w:rPr>
              <w:t>overweight,</w:t>
            </w:r>
            <w:r w:rsidRPr="00640161">
              <w:rPr>
                <w:rFonts w:asciiTheme="minorHAnsi" w:hAnsiTheme="minorHAnsi" w:cstheme="minorHAnsi"/>
                <w:spacing w:val="-12"/>
              </w:rPr>
              <w:t xml:space="preserve"> </w:t>
            </w:r>
            <w:r w:rsidRPr="00640161">
              <w:rPr>
                <w:rFonts w:asciiTheme="minorHAnsi" w:hAnsiTheme="minorHAnsi" w:cstheme="minorHAnsi"/>
              </w:rPr>
              <w:t>nutrition, alcohol, physical activities</w:t>
            </w:r>
            <w:r>
              <w:rPr>
                <w:rFonts w:asciiTheme="minorHAnsi" w:hAnsiTheme="minorHAnsi" w:cstheme="minorHAnsi"/>
              </w:rPr>
              <w:t xml:space="preserve">, </w:t>
            </w:r>
            <w:r w:rsidRPr="00640161">
              <w:rPr>
                <w:rFonts w:asciiTheme="minorHAnsi" w:hAnsiTheme="minorHAnsi" w:cstheme="minorHAnsi"/>
              </w:rPr>
              <w:t>information management in clinic or organisation.</w:t>
            </w:r>
          </w:p>
        </w:tc>
        <w:tc>
          <w:tcPr>
            <w:tcW w:w="1843" w:type="dxa"/>
          </w:tcPr>
          <w:p w14:paraId="70520C33"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Implied</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r>
              <w:rPr>
                <w:rFonts w:asciiTheme="minorHAnsi" w:hAnsiTheme="minorHAnsi" w:cstheme="minorHAnsi"/>
                <w:spacing w:val="-2"/>
              </w:rPr>
              <w:t>: Socioeconomically disadvantaged women</w:t>
            </w:r>
            <w:r w:rsidRPr="00640161">
              <w:rPr>
                <w:rFonts w:asciiTheme="minorHAnsi" w:hAnsiTheme="minorHAnsi" w:cstheme="minorHAnsi"/>
                <w:spacing w:val="-2"/>
              </w:rPr>
              <w:t>.</w:t>
            </w:r>
          </w:p>
        </w:tc>
        <w:tc>
          <w:tcPr>
            <w:tcW w:w="1276" w:type="dxa"/>
          </w:tcPr>
          <w:p w14:paraId="16AAE815" w14:textId="77777777" w:rsidR="00094656" w:rsidRDefault="00094656" w:rsidP="0067273F">
            <w:pPr>
              <w:pStyle w:val="TableParagraph"/>
              <w:spacing w:before="0"/>
              <w:ind w:left="104"/>
              <w:rPr>
                <w:rFonts w:asciiTheme="minorHAnsi" w:hAnsiTheme="minorHAnsi" w:cstheme="minorHAnsi"/>
              </w:rPr>
            </w:pPr>
            <w:r>
              <w:rPr>
                <w:rFonts w:asciiTheme="minorHAnsi" w:hAnsiTheme="minorHAnsi" w:cstheme="minorHAnsi"/>
              </w:rPr>
              <w:t>Limited details of method.</w:t>
            </w:r>
          </w:p>
          <w:p w14:paraId="35962228" w14:textId="77777777" w:rsidR="00094656" w:rsidRPr="00640161" w:rsidRDefault="00094656" w:rsidP="0067273F">
            <w:pPr>
              <w:pStyle w:val="TableParagraph"/>
              <w:spacing w:before="0"/>
              <w:ind w:left="104"/>
              <w:rPr>
                <w:rFonts w:asciiTheme="minorHAnsi" w:hAnsiTheme="minorHAnsi" w:cstheme="minorHAnsi"/>
              </w:rPr>
            </w:pPr>
            <w:r w:rsidRPr="00640161">
              <w:rPr>
                <w:rFonts w:asciiTheme="minorHAnsi" w:hAnsiTheme="minorHAnsi" w:cstheme="minorHAnsi"/>
              </w:rPr>
              <w:t>NHMRC levels of evidence.</w:t>
            </w:r>
          </w:p>
          <w:p w14:paraId="5BA918AB" w14:textId="77777777" w:rsidR="00094656" w:rsidRPr="00640161" w:rsidRDefault="00094656" w:rsidP="0067273F">
            <w:pPr>
              <w:pStyle w:val="TableParagraph"/>
              <w:ind w:left="104"/>
              <w:rPr>
                <w:rFonts w:asciiTheme="minorHAnsi" w:hAnsiTheme="minorHAnsi" w:cstheme="minorHAnsi"/>
              </w:rPr>
            </w:pPr>
          </w:p>
        </w:tc>
      </w:tr>
      <w:tr w:rsidR="00094656" w:rsidRPr="00640161" w14:paraId="7F60178E" w14:textId="77777777" w:rsidTr="0067273F">
        <w:tc>
          <w:tcPr>
            <w:tcW w:w="1575" w:type="dxa"/>
          </w:tcPr>
          <w:p w14:paraId="67665BF7"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5CE2F9E8" w14:textId="77777777" w:rsidR="00094656" w:rsidRPr="00640161" w:rsidRDefault="00094656" w:rsidP="0067273F">
            <w:pPr>
              <w:pStyle w:val="TableParagraph"/>
              <w:keepNext/>
              <w:keepLines/>
              <w:widowControl/>
              <w:ind w:left="108" w:right="96"/>
              <w:rPr>
                <w:rFonts w:asciiTheme="minorHAnsi" w:hAnsiTheme="minorHAnsi" w:cstheme="minorHAnsi"/>
              </w:rPr>
            </w:pPr>
            <w:r w:rsidRPr="00640161">
              <w:rPr>
                <w:rFonts w:asciiTheme="minorHAnsi" w:hAnsiTheme="minorHAnsi" w:cstheme="minorHAnsi"/>
              </w:rPr>
              <w:t>Osteoporosis</w:t>
            </w:r>
            <w:r w:rsidRPr="00640161">
              <w:rPr>
                <w:rFonts w:asciiTheme="minorHAnsi" w:hAnsiTheme="minorHAnsi" w:cstheme="minorHAnsi"/>
                <w:spacing w:val="-12"/>
              </w:rPr>
              <w:t xml:space="preserve"> </w:t>
            </w:r>
            <w:r w:rsidRPr="00640161">
              <w:rPr>
                <w:rFonts w:asciiTheme="minorHAnsi" w:hAnsiTheme="minorHAnsi" w:cstheme="minorHAnsi"/>
              </w:rPr>
              <w:t>prevention,</w:t>
            </w:r>
            <w:r w:rsidRPr="00640161">
              <w:rPr>
                <w:rFonts w:asciiTheme="minorHAnsi" w:hAnsiTheme="minorHAnsi" w:cstheme="minorHAnsi"/>
                <w:spacing w:val="-12"/>
              </w:rPr>
              <w:t xml:space="preserve"> </w:t>
            </w:r>
            <w:r w:rsidRPr="00640161">
              <w:rPr>
                <w:rFonts w:asciiTheme="minorHAnsi" w:hAnsiTheme="minorHAnsi" w:cstheme="minorHAnsi"/>
              </w:rPr>
              <w:t>diagnosis</w:t>
            </w:r>
            <w:r w:rsidRPr="00640161">
              <w:rPr>
                <w:rFonts w:asciiTheme="minorHAnsi" w:hAnsiTheme="minorHAnsi" w:cstheme="minorHAnsi"/>
                <w:spacing w:val="-12"/>
              </w:rPr>
              <w:t xml:space="preserve"> </w:t>
            </w:r>
            <w:r w:rsidRPr="00640161">
              <w:rPr>
                <w:rFonts w:asciiTheme="minorHAnsi" w:hAnsiTheme="minorHAnsi" w:cstheme="minorHAnsi"/>
              </w:rPr>
              <w:t xml:space="preserve">and management in postmenopausal women and men over 50 years of age, </w:t>
            </w:r>
            <w:r w:rsidRPr="00640161">
              <w:rPr>
                <w:rFonts w:asciiTheme="minorHAnsi" w:hAnsiTheme="minorHAnsi" w:cstheme="minorHAnsi"/>
                <w:spacing w:val="-4"/>
              </w:rPr>
              <w:t>2024</w:t>
            </w:r>
          </w:p>
          <w:p w14:paraId="0A9A2329" w14:textId="77777777" w:rsidR="00094656" w:rsidRPr="00640161" w:rsidRDefault="00094656" w:rsidP="0067273F">
            <w:pPr>
              <w:pStyle w:val="TableParagraph"/>
              <w:keepNext/>
              <w:keepLines/>
              <w:widowControl/>
              <w:ind w:left="108" w:right="96"/>
              <w:rPr>
                <w:rFonts w:asciiTheme="minorHAnsi" w:hAnsiTheme="minorHAnsi" w:cstheme="minorHAnsi"/>
                <w:b/>
              </w:rPr>
            </w:pPr>
          </w:p>
          <w:p w14:paraId="56438242" w14:textId="77777777" w:rsidR="00094656" w:rsidRPr="00640161" w:rsidRDefault="00094656" w:rsidP="0067273F">
            <w:pPr>
              <w:pStyle w:val="TableParagraph"/>
              <w:keepNext/>
              <w:keepLines/>
              <w:widowControl/>
              <w:ind w:left="108" w:right="96"/>
              <w:rPr>
                <w:rFonts w:asciiTheme="minorHAnsi" w:hAnsiTheme="minorHAnsi" w:cstheme="minorHAnsi"/>
              </w:rPr>
            </w:pPr>
            <w:r w:rsidRPr="00CF7374">
              <w:t>https://healthybonesaustralia.org.au/wp-content/uploads/2024/03/hba-racgp-guidelines-2024.pdf</w:t>
            </w:r>
            <w:r>
              <w:t xml:space="preserve"> </w:t>
            </w:r>
          </w:p>
        </w:tc>
        <w:tc>
          <w:tcPr>
            <w:tcW w:w="1417" w:type="dxa"/>
          </w:tcPr>
          <w:p w14:paraId="76E8F7D0" w14:textId="77777777" w:rsidR="00094656" w:rsidRPr="001F2A94" w:rsidRDefault="00094656" w:rsidP="0067273F">
            <w:pPr>
              <w:pStyle w:val="TableParagraph"/>
              <w:ind w:left="108" w:right="96"/>
              <w:rPr>
                <w:rFonts w:asciiTheme="minorHAnsi" w:hAnsiTheme="minorHAnsi" w:cstheme="minorHAnsi"/>
              </w:rPr>
            </w:pPr>
            <w:r w:rsidRPr="001F2A94">
              <w:rPr>
                <w:rFonts w:asciiTheme="minorHAnsi" w:eastAsia="Roboto-Regular" w:hAnsiTheme="minorHAnsi" w:cstheme="minorHAnsi"/>
              </w:rPr>
              <w:t>Endorsed by RACGP Board</w:t>
            </w:r>
          </w:p>
        </w:tc>
        <w:tc>
          <w:tcPr>
            <w:tcW w:w="1560" w:type="dxa"/>
          </w:tcPr>
          <w:p w14:paraId="6277DE9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2BA36CF9"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37985AA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(once) for “sex”.</w:t>
            </w:r>
          </w:p>
          <w:p w14:paraId="6ADBB75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Pr>
                <w:rFonts w:asciiTheme="minorHAnsi" w:hAnsiTheme="minorHAnsi" w:cstheme="minorHAnsi"/>
              </w:rPr>
              <w:t>”, “women”, “men” used throughout.</w:t>
            </w:r>
          </w:p>
        </w:tc>
        <w:tc>
          <w:tcPr>
            <w:tcW w:w="1984" w:type="dxa"/>
          </w:tcPr>
          <w:p w14:paraId="0A14DD7F"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prevalence, risk factors,</w:t>
            </w:r>
            <w:r w:rsidRPr="00640161">
              <w:rPr>
                <w:rFonts w:asciiTheme="minorHAnsi" w:hAnsiTheme="minorHAnsi" w:cstheme="minorHAnsi"/>
                <w:spacing w:val="-13"/>
              </w:rPr>
              <w:t xml:space="preserve"> </w:t>
            </w:r>
            <w:r w:rsidRPr="00640161">
              <w:rPr>
                <w:rFonts w:asciiTheme="minorHAnsi" w:hAnsiTheme="minorHAnsi" w:cstheme="minorHAnsi"/>
              </w:rPr>
              <w:t>prevention,</w:t>
            </w:r>
            <w:r w:rsidRPr="00640161">
              <w:rPr>
                <w:rFonts w:asciiTheme="minorHAnsi" w:hAnsiTheme="minorHAnsi" w:cstheme="minorHAnsi"/>
                <w:spacing w:val="-12"/>
              </w:rPr>
              <w:t xml:space="preserve"> </w:t>
            </w:r>
            <w:r w:rsidRPr="00640161">
              <w:rPr>
                <w:rFonts w:asciiTheme="minorHAnsi" w:hAnsiTheme="minorHAnsi" w:cstheme="minorHAnsi"/>
              </w:rPr>
              <w:t xml:space="preserve">treatment </w:t>
            </w:r>
            <w:r w:rsidRPr="00640161">
              <w:rPr>
                <w:rFonts w:asciiTheme="minorHAnsi" w:hAnsiTheme="minorHAnsi" w:cstheme="minorHAnsi"/>
                <w:spacing w:val="-2"/>
              </w:rPr>
              <w:t>recommendations.</w:t>
            </w:r>
          </w:p>
        </w:tc>
        <w:tc>
          <w:tcPr>
            <w:tcW w:w="1843" w:type="dxa"/>
          </w:tcPr>
          <w:p w14:paraId="5D820BA7"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106008C" w14:textId="77777777" w:rsidR="00094656" w:rsidRDefault="00094656" w:rsidP="0067273F">
            <w:pPr>
              <w:pStyle w:val="TableParagraph"/>
              <w:spacing w:before="0"/>
              <w:ind w:left="104"/>
              <w:rPr>
                <w:rFonts w:asciiTheme="minorHAnsi" w:hAnsiTheme="minorHAnsi" w:cstheme="minorHAnsi"/>
              </w:rPr>
            </w:pPr>
            <w:r>
              <w:rPr>
                <w:rFonts w:asciiTheme="minorHAnsi" w:hAnsiTheme="minorHAnsi" w:cstheme="minorHAnsi"/>
              </w:rPr>
              <w:t>Limited details of method.</w:t>
            </w:r>
          </w:p>
          <w:p w14:paraId="3E4FF6DE" w14:textId="77777777" w:rsidR="00094656" w:rsidRDefault="00094656" w:rsidP="0067273F">
            <w:pPr>
              <w:pStyle w:val="TableParagraph"/>
              <w:spacing w:before="0"/>
              <w:ind w:left="104"/>
              <w:rPr>
                <w:rFonts w:asciiTheme="minorHAnsi" w:hAnsiTheme="minorHAnsi" w:cstheme="minorHAnsi"/>
              </w:rPr>
            </w:pPr>
            <w:r w:rsidRPr="00640161">
              <w:rPr>
                <w:rFonts w:asciiTheme="minorHAnsi" w:hAnsiTheme="minorHAnsi" w:cstheme="minorHAnsi"/>
              </w:rPr>
              <w:t>NHMRC levels of evidence.</w:t>
            </w:r>
          </w:p>
          <w:p w14:paraId="1CBE6DBB" w14:textId="77777777" w:rsidR="00094656" w:rsidRPr="00640161" w:rsidRDefault="00094656" w:rsidP="0067273F">
            <w:pPr>
              <w:pStyle w:val="TableParagraph"/>
              <w:spacing w:before="0"/>
              <w:ind w:left="104"/>
              <w:rPr>
                <w:rFonts w:asciiTheme="minorHAnsi" w:hAnsiTheme="minorHAnsi" w:cstheme="minorHAnsi"/>
              </w:rPr>
            </w:pPr>
            <w:r>
              <w:rPr>
                <w:rFonts w:asciiTheme="minorHAnsi" w:hAnsiTheme="minorHAnsi" w:cstheme="minorHAnsi"/>
              </w:rPr>
              <w:t>Consensus implied.</w:t>
            </w:r>
          </w:p>
          <w:p w14:paraId="5084528F" w14:textId="77777777" w:rsidR="00094656" w:rsidRPr="00640161" w:rsidRDefault="00094656" w:rsidP="0067273F">
            <w:pPr>
              <w:pStyle w:val="TableParagraph"/>
              <w:ind w:left="104"/>
              <w:rPr>
                <w:rFonts w:asciiTheme="minorHAnsi" w:hAnsiTheme="minorHAnsi" w:cstheme="minorHAnsi"/>
              </w:rPr>
            </w:pPr>
          </w:p>
        </w:tc>
      </w:tr>
      <w:tr w:rsidR="00094656" w:rsidRPr="00640161" w14:paraId="33715189" w14:textId="77777777" w:rsidTr="0067273F">
        <w:trPr>
          <w:cantSplit/>
        </w:trPr>
        <w:tc>
          <w:tcPr>
            <w:tcW w:w="1575" w:type="dxa"/>
          </w:tcPr>
          <w:p w14:paraId="24749A19"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28488022"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e-Mental</w:t>
            </w:r>
            <w:r w:rsidRPr="00640161">
              <w:rPr>
                <w:rFonts w:asciiTheme="minorHAnsi" w:hAnsiTheme="minorHAnsi" w:cstheme="minorHAnsi"/>
                <w:spacing w:val="-5"/>
              </w:rPr>
              <w:t xml:space="preserve"> </w:t>
            </w:r>
            <w:r w:rsidRPr="00640161">
              <w:rPr>
                <w:rFonts w:asciiTheme="minorHAnsi" w:hAnsiTheme="minorHAnsi" w:cstheme="minorHAnsi"/>
              </w:rPr>
              <w:t>health:</w:t>
            </w:r>
            <w:r w:rsidRPr="00640161">
              <w:rPr>
                <w:rFonts w:asciiTheme="minorHAnsi" w:hAnsiTheme="minorHAnsi" w:cstheme="minorHAnsi"/>
                <w:spacing w:val="-5"/>
              </w:rPr>
              <w:t xml:space="preserve"> </w:t>
            </w:r>
            <w:r w:rsidRPr="00640161">
              <w:rPr>
                <w:rFonts w:asciiTheme="minorHAnsi" w:hAnsiTheme="minorHAnsi" w:cstheme="minorHAnsi"/>
              </w:rPr>
              <w:t>A</w:t>
            </w:r>
            <w:r w:rsidRPr="00640161">
              <w:rPr>
                <w:rFonts w:asciiTheme="minorHAnsi" w:hAnsiTheme="minorHAnsi" w:cstheme="minorHAnsi"/>
                <w:spacing w:val="-4"/>
              </w:rPr>
              <w:t xml:space="preserve"> </w:t>
            </w:r>
            <w:r w:rsidRPr="00640161">
              <w:rPr>
                <w:rFonts w:asciiTheme="minorHAnsi" w:hAnsiTheme="minorHAnsi" w:cstheme="minorHAnsi"/>
              </w:rPr>
              <w:t>guide</w:t>
            </w:r>
            <w:r w:rsidRPr="00640161">
              <w:rPr>
                <w:rFonts w:asciiTheme="minorHAnsi" w:hAnsiTheme="minorHAnsi" w:cstheme="minorHAnsi"/>
                <w:spacing w:val="-5"/>
              </w:rPr>
              <w:t xml:space="preserve"> </w:t>
            </w:r>
            <w:r w:rsidRPr="00640161">
              <w:rPr>
                <w:rFonts w:asciiTheme="minorHAnsi" w:hAnsiTheme="minorHAnsi" w:cstheme="minorHAnsi"/>
              </w:rPr>
              <w:t>for</w:t>
            </w:r>
            <w:r w:rsidRPr="00640161">
              <w:rPr>
                <w:rFonts w:asciiTheme="minorHAnsi" w:hAnsiTheme="minorHAnsi" w:cstheme="minorHAnsi"/>
                <w:spacing w:val="-5"/>
              </w:rPr>
              <w:t xml:space="preserve"> </w:t>
            </w:r>
            <w:r w:rsidRPr="00640161">
              <w:rPr>
                <w:rFonts w:asciiTheme="minorHAnsi" w:hAnsiTheme="minorHAnsi" w:cstheme="minorHAnsi"/>
              </w:rPr>
              <w:t>GPs,</w:t>
            </w:r>
            <w:r w:rsidRPr="00640161">
              <w:rPr>
                <w:rFonts w:asciiTheme="minorHAnsi" w:hAnsiTheme="minorHAnsi" w:cstheme="minorHAnsi"/>
                <w:spacing w:val="-4"/>
              </w:rPr>
              <w:t xml:space="preserve"> 2018</w:t>
            </w:r>
          </w:p>
          <w:p w14:paraId="00686409" w14:textId="77777777" w:rsidR="00094656" w:rsidRPr="00640161" w:rsidRDefault="00094656" w:rsidP="0067273F">
            <w:pPr>
              <w:pStyle w:val="TableParagraph"/>
              <w:spacing w:before="3"/>
              <w:ind w:left="108" w:right="96"/>
              <w:rPr>
                <w:rFonts w:asciiTheme="minorHAnsi" w:hAnsiTheme="minorHAnsi" w:cstheme="minorHAnsi"/>
                <w:b/>
              </w:rPr>
            </w:pPr>
          </w:p>
          <w:p w14:paraId="3FD24BEA" w14:textId="77777777" w:rsidR="00094656" w:rsidRPr="00640161" w:rsidRDefault="00094656" w:rsidP="0067273F">
            <w:pPr>
              <w:pStyle w:val="TableParagraph"/>
              <w:ind w:left="108" w:right="96"/>
              <w:rPr>
                <w:rFonts w:asciiTheme="minorHAnsi" w:hAnsiTheme="minorHAnsi" w:cstheme="minorHAnsi"/>
                <w:spacing w:val="-2"/>
              </w:rPr>
            </w:pPr>
            <w:hyperlink r:id="rId61">
              <w:r w:rsidRPr="00640161">
                <w:rPr>
                  <w:rFonts w:asciiTheme="minorHAnsi" w:hAnsiTheme="minorHAnsi" w:cstheme="minorHAnsi"/>
                  <w:spacing w:val="-2"/>
                </w:rPr>
                <w:t>https://w</w:t>
              </w:r>
            </w:hyperlink>
            <w:proofErr w:type="gramStart"/>
            <w:r w:rsidRPr="00640161">
              <w:rPr>
                <w:rFonts w:asciiTheme="minorHAnsi" w:hAnsiTheme="minorHAnsi" w:cstheme="minorHAnsi"/>
                <w:spacing w:val="-2"/>
              </w:rPr>
              <w:t>ww.racg</w:t>
            </w:r>
            <w:proofErr w:type="gramEnd"/>
            <w:r>
              <w:fldChar w:fldCharType="begin"/>
            </w:r>
            <w:r>
              <w:instrText>HYPERLINK "http://www.racgp.org.au/getattachme" \h</w:instrText>
            </w:r>
            <w:r>
              <w:fldChar w:fldCharType="separate"/>
            </w:r>
            <w:r w:rsidRPr="00640161">
              <w:rPr>
                <w:rFonts w:asciiTheme="minorHAnsi" w:hAnsiTheme="minorHAnsi" w:cstheme="minorHAnsi"/>
                <w:spacing w:val="-2"/>
              </w:rPr>
              <w:t>p.org</w:t>
            </w:r>
            <w:r>
              <w:rPr>
                <w:rFonts w:asciiTheme="minorHAnsi" w:hAnsiTheme="minorHAnsi" w:cstheme="minorHAnsi"/>
                <w:spacing w:val="-2"/>
              </w:rPr>
              <w:fldChar w:fldCharType="end"/>
            </w:r>
            <w:r w:rsidRPr="00640161">
              <w:rPr>
                <w:rFonts w:asciiTheme="minorHAnsi" w:hAnsiTheme="minorHAnsi" w:cstheme="minorHAnsi"/>
                <w:spacing w:val="-2"/>
              </w:rPr>
              <w:t>.au/clinical-resources/clinical-guidelines/guidelines-by-topic/mental-health-1/e-mental-health</w:t>
            </w:r>
          </w:p>
        </w:tc>
        <w:tc>
          <w:tcPr>
            <w:tcW w:w="1417" w:type="dxa"/>
          </w:tcPr>
          <w:p w14:paraId="01B73504"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RACGP</w:t>
            </w:r>
          </w:p>
        </w:tc>
        <w:tc>
          <w:tcPr>
            <w:tcW w:w="1560" w:type="dxa"/>
          </w:tcPr>
          <w:p w14:paraId="6C79969E"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0F942623"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“Gender”, “sex”, “woman”, “man”, “female”, “male” not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tc>
        <w:tc>
          <w:tcPr>
            <w:tcW w:w="1984" w:type="dxa"/>
          </w:tcPr>
          <w:p w14:paraId="4187C4FC"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109CE133"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6D781959"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103000BE" w14:textId="77777777" w:rsidTr="0067273F">
        <w:trPr>
          <w:cantSplit/>
        </w:trPr>
        <w:tc>
          <w:tcPr>
            <w:tcW w:w="1575" w:type="dxa"/>
          </w:tcPr>
          <w:p w14:paraId="1D51C552"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650B9861" w14:textId="77777777" w:rsidR="00094656" w:rsidRPr="00640161" w:rsidRDefault="00094656" w:rsidP="0067273F">
            <w:pPr>
              <w:pStyle w:val="TableParagraph"/>
              <w:ind w:right="97"/>
              <w:rPr>
                <w:rFonts w:asciiTheme="minorHAnsi" w:hAnsiTheme="minorHAnsi" w:cstheme="minorHAnsi"/>
              </w:rPr>
            </w:pPr>
            <w:r w:rsidRPr="000C16B4">
              <w:rPr>
                <w:rFonts w:asciiTheme="minorHAnsi" w:hAnsiTheme="minorHAnsi" w:cstheme="minorHAnsi"/>
              </w:rPr>
              <w:t>Guideline for the management of knee and</w:t>
            </w:r>
            <w:r w:rsidRPr="000C16B4">
              <w:rPr>
                <w:rFonts w:asciiTheme="minorHAnsi" w:hAnsiTheme="minorHAnsi" w:cstheme="minorHAnsi"/>
                <w:spacing w:val="-8"/>
              </w:rPr>
              <w:t xml:space="preserve"> </w:t>
            </w:r>
            <w:r w:rsidRPr="000C16B4">
              <w:rPr>
                <w:rFonts w:asciiTheme="minorHAnsi" w:hAnsiTheme="minorHAnsi" w:cstheme="minorHAnsi"/>
              </w:rPr>
              <w:t>hip</w:t>
            </w:r>
            <w:r w:rsidRPr="000C16B4">
              <w:rPr>
                <w:rFonts w:asciiTheme="minorHAnsi" w:hAnsiTheme="minorHAnsi" w:cstheme="minorHAnsi"/>
                <w:spacing w:val="-8"/>
              </w:rPr>
              <w:t xml:space="preserve"> </w:t>
            </w:r>
            <w:r w:rsidRPr="000C16B4">
              <w:rPr>
                <w:rFonts w:asciiTheme="minorHAnsi" w:hAnsiTheme="minorHAnsi" w:cstheme="minorHAnsi"/>
              </w:rPr>
              <w:t>osteoarthritis,</w:t>
            </w:r>
            <w:r w:rsidRPr="000C16B4">
              <w:rPr>
                <w:rFonts w:asciiTheme="minorHAnsi" w:hAnsiTheme="minorHAnsi" w:cstheme="minorHAnsi"/>
                <w:spacing w:val="-7"/>
              </w:rPr>
              <w:t xml:space="preserve"> </w:t>
            </w:r>
            <w:r w:rsidRPr="000C16B4">
              <w:rPr>
                <w:rFonts w:asciiTheme="minorHAnsi" w:hAnsiTheme="minorHAnsi" w:cstheme="minorHAnsi"/>
              </w:rPr>
              <w:t>2</w:t>
            </w:r>
            <w:r w:rsidRPr="000C16B4">
              <w:rPr>
                <w:rFonts w:asciiTheme="minorHAnsi" w:hAnsiTheme="minorHAnsi" w:cstheme="minorHAnsi"/>
                <w:vertAlign w:val="superscript"/>
              </w:rPr>
              <w:t>nd</w:t>
            </w:r>
            <w:r w:rsidRPr="000C16B4">
              <w:rPr>
                <w:rFonts w:asciiTheme="minorHAnsi" w:hAnsiTheme="minorHAnsi" w:cstheme="minorHAnsi"/>
                <w:spacing w:val="-8"/>
              </w:rPr>
              <w:t xml:space="preserve"> </w:t>
            </w:r>
            <w:r w:rsidRPr="000C16B4">
              <w:rPr>
                <w:rFonts w:asciiTheme="minorHAnsi" w:hAnsiTheme="minorHAnsi" w:cstheme="minorHAnsi"/>
              </w:rPr>
              <w:t>edition,</w:t>
            </w:r>
            <w:r w:rsidRPr="000C16B4">
              <w:rPr>
                <w:rFonts w:asciiTheme="minorHAnsi" w:hAnsiTheme="minorHAnsi" w:cstheme="minorHAnsi"/>
                <w:spacing w:val="-8"/>
              </w:rPr>
              <w:t xml:space="preserve"> </w:t>
            </w:r>
            <w:r w:rsidRPr="000C16B4">
              <w:rPr>
                <w:rFonts w:asciiTheme="minorHAnsi" w:hAnsiTheme="minorHAnsi" w:cstheme="minorHAnsi"/>
              </w:rPr>
              <w:t>2018</w:t>
            </w:r>
          </w:p>
          <w:p w14:paraId="08E1A6EB" w14:textId="77777777" w:rsidR="00094656" w:rsidRPr="00640161" w:rsidRDefault="00094656" w:rsidP="0067273F">
            <w:pPr>
              <w:pStyle w:val="TableParagraph"/>
              <w:spacing w:before="4"/>
              <w:ind w:left="0"/>
              <w:rPr>
                <w:rFonts w:asciiTheme="minorHAnsi" w:hAnsiTheme="minorHAnsi" w:cstheme="minorHAnsi"/>
                <w:b/>
              </w:rPr>
            </w:pPr>
          </w:p>
          <w:p w14:paraId="53CD4B81" w14:textId="77777777" w:rsidR="00094656" w:rsidRPr="00640161" w:rsidRDefault="00094656" w:rsidP="0067273F">
            <w:pPr>
              <w:pStyle w:val="TableParagraph"/>
              <w:keepNext/>
              <w:keepLines/>
              <w:widowControl/>
              <w:ind w:right="97"/>
              <w:rPr>
                <w:rFonts w:asciiTheme="minorHAnsi" w:hAnsiTheme="minorHAnsi" w:cstheme="minorHAnsi"/>
                <w:spacing w:val="-2"/>
              </w:rPr>
            </w:pPr>
            <w:hyperlink r:id="rId62">
              <w:r w:rsidRPr="00640161">
                <w:rPr>
                  <w:rFonts w:asciiTheme="minorHAnsi" w:hAnsiTheme="minorHAnsi" w:cstheme="minorHAnsi"/>
                  <w:spacing w:val="-2"/>
                </w:rPr>
                <w:t>https://w</w:t>
              </w:r>
            </w:hyperlink>
            <w:r w:rsidRPr="00640161">
              <w:rPr>
                <w:rFonts w:asciiTheme="minorHAnsi" w:hAnsiTheme="minorHAnsi" w:cstheme="minorHAnsi"/>
                <w:spacing w:val="-2"/>
              </w:rPr>
              <w:t>ww.racg</w:t>
            </w:r>
            <w:hyperlink r:id="rId63">
              <w:r w:rsidRPr="00640161">
                <w:rPr>
                  <w:rFonts w:asciiTheme="minorHAnsi" w:hAnsiTheme="minorHAnsi" w:cstheme="minorHAnsi"/>
                  <w:spacing w:val="-2"/>
                </w:rPr>
                <w:t>p.org</w:t>
              </w:r>
            </w:hyperlink>
            <w:r w:rsidRPr="00640161">
              <w:rPr>
                <w:rFonts w:asciiTheme="minorHAnsi" w:hAnsiTheme="minorHAnsi" w:cstheme="minorHAnsi"/>
                <w:spacing w:val="-2"/>
              </w:rPr>
              <w:t>.</w:t>
            </w:r>
            <w:hyperlink r:id="rId64">
              <w:r w:rsidRPr="00640161">
                <w:rPr>
                  <w:rFonts w:asciiTheme="minorHAnsi" w:hAnsiTheme="minorHAnsi" w:cstheme="minorHAnsi"/>
                  <w:spacing w:val="-2"/>
                </w:rPr>
                <w:t>au/getattachme</w:t>
              </w:r>
            </w:hyperlink>
            <w:r w:rsidRPr="00640161">
              <w:rPr>
                <w:rFonts w:asciiTheme="minorHAnsi" w:hAnsiTheme="minorHAnsi" w:cstheme="minorHAnsi"/>
                <w:spacing w:val="-2"/>
              </w:rPr>
              <w:t>nt/71ab5b77-afdf-4b01-90c3-04f61a910be6/Guideline-for-the-management-of-knee-and-hip-osteoarthritis.aspx</w:t>
            </w:r>
          </w:p>
        </w:tc>
        <w:tc>
          <w:tcPr>
            <w:tcW w:w="1417" w:type="dxa"/>
          </w:tcPr>
          <w:p w14:paraId="05D66E4E"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NHMRC</w:t>
            </w:r>
          </w:p>
        </w:tc>
        <w:tc>
          <w:tcPr>
            <w:tcW w:w="1560" w:type="dxa"/>
          </w:tcPr>
          <w:p w14:paraId="0E526308"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09ADE255"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6ED081BC" w14:textId="77777777" w:rsidR="00094656" w:rsidRDefault="00094656" w:rsidP="0067273F">
            <w:pPr>
              <w:pStyle w:val="TableParagraph"/>
              <w:rPr>
                <w:rFonts w:asciiTheme="minorHAnsi" w:hAnsiTheme="minorHAnsi" w:cstheme="minorHAnsi"/>
              </w:rPr>
            </w:pPr>
            <w:r>
              <w:rPr>
                <w:rFonts w:asciiTheme="minorHAnsi" w:hAnsiTheme="minorHAnsi" w:cstheme="minorHAnsi"/>
              </w:rPr>
              <w:t>“Gender” used (twice) for “sex”.</w:t>
            </w:r>
          </w:p>
          <w:p w14:paraId="500E059A"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“Sex”</w:t>
            </w:r>
            <w:r w:rsidRPr="00640161">
              <w:rPr>
                <w:rFonts w:asciiTheme="minorHAnsi" w:hAnsiTheme="minorHAnsi" w:cstheme="minorHAnsi"/>
                <w:spacing w:val="-13"/>
              </w:rPr>
              <w:t xml:space="preserve"> </w:t>
            </w:r>
            <w:r>
              <w:rPr>
                <w:rFonts w:asciiTheme="minorHAnsi" w:hAnsiTheme="minorHAnsi" w:cstheme="minorHAnsi"/>
              </w:rPr>
              <w:t>not found in text search</w:t>
            </w:r>
            <w:r w:rsidRPr="00640161">
              <w:rPr>
                <w:rFonts w:asciiTheme="minorHAnsi" w:hAnsiTheme="minorHAnsi" w:cstheme="minorHAnsi"/>
                <w:spacing w:val="-2"/>
              </w:rPr>
              <w:t>.</w:t>
            </w:r>
          </w:p>
          <w:p w14:paraId="44F9CBF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“Women”, “men” used.</w:t>
            </w:r>
          </w:p>
        </w:tc>
        <w:tc>
          <w:tcPr>
            <w:tcW w:w="1984" w:type="dxa"/>
          </w:tcPr>
          <w:p w14:paraId="3E12DFE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prevalence,</w:t>
            </w:r>
            <w:r w:rsidRPr="00640161">
              <w:rPr>
                <w:rFonts w:asciiTheme="minorHAnsi" w:hAnsiTheme="minorHAnsi" w:cstheme="minorHAnsi"/>
                <w:spacing w:val="-12"/>
              </w:rPr>
              <w:t xml:space="preserve"> </w:t>
            </w:r>
            <w:r w:rsidRPr="00640161">
              <w:rPr>
                <w:rFonts w:asciiTheme="minorHAnsi" w:hAnsiTheme="minorHAnsi" w:cstheme="minorHAnsi"/>
              </w:rPr>
              <w:t>risk factors, diagnosis.</w:t>
            </w:r>
          </w:p>
        </w:tc>
        <w:tc>
          <w:tcPr>
            <w:tcW w:w="1843" w:type="dxa"/>
          </w:tcPr>
          <w:p w14:paraId="75258A72"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C3D2137"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4F5A26F6" w14:textId="77777777" w:rsidTr="0067273F">
        <w:trPr>
          <w:cantSplit/>
        </w:trPr>
        <w:tc>
          <w:tcPr>
            <w:tcW w:w="1575" w:type="dxa"/>
          </w:tcPr>
          <w:p w14:paraId="1C99309F"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3BEB150F"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Management of type 2 diabetes: A handbook</w:t>
            </w:r>
            <w:r w:rsidRPr="00640161">
              <w:rPr>
                <w:rFonts w:asciiTheme="minorHAnsi" w:hAnsiTheme="minorHAnsi" w:cstheme="minorHAnsi"/>
                <w:spacing w:val="-10"/>
              </w:rPr>
              <w:t xml:space="preserve"> </w:t>
            </w:r>
            <w:r w:rsidRPr="00640161">
              <w:rPr>
                <w:rFonts w:asciiTheme="minorHAnsi" w:hAnsiTheme="minorHAnsi" w:cstheme="minorHAnsi"/>
              </w:rPr>
              <w:t>for</w:t>
            </w:r>
            <w:r w:rsidRPr="00640161">
              <w:rPr>
                <w:rFonts w:asciiTheme="minorHAnsi" w:hAnsiTheme="minorHAnsi" w:cstheme="minorHAnsi"/>
                <w:spacing w:val="-10"/>
              </w:rPr>
              <w:t xml:space="preserve"> </w:t>
            </w:r>
            <w:r w:rsidRPr="00640161">
              <w:rPr>
                <w:rFonts w:asciiTheme="minorHAnsi" w:hAnsiTheme="minorHAnsi" w:cstheme="minorHAnsi"/>
              </w:rPr>
              <w:t>general</w:t>
            </w:r>
            <w:r w:rsidRPr="00640161">
              <w:rPr>
                <w:rFonts w:asciiTheme="minorHAnsi" w:hAnsiTheme="minorHAnsi" w:cstheme="minorHAnsi"/>
                <w:spacing w:val="-9"/>
              </w:rPr>
              <w:t xml:space="preserve"> </w:t>
            </w:r>
            <w:r w:rsidRPr="00640161">
              <w:rPr>
                <w:rFonts w:asciiTheme="minorHAnsi" w:hAnsiTheme="minorHAnsi" w:cstheme="minorHAnsi"/>
              </w:rPr>
              <w:t>practice,</w:t>
            </w:r>
            <w:r w:rsidRPr="00640161">
              <w:rPr>
                <w:rFonts w:asciiTheme="minorHAnsi" w:hAnsiTheme="minorHAnsi" w:cstheme="minorHAnsi"/>
                <w:spacing w:val="-10"/>
              </w:rPr>
              <w:t xml:space="preserve"> </w:t>
            </w:r>
            <w:r w:rsidRPr="00640161">
              <w:rPr>
                <w:rFonts w:asciiTheme="minorHAnsi" w:hAnsiTheme="minorHAnsi" w:cstheme="minorHAnsi"/>
              </w:rPr>
              <w:t>2020</w:t>
            </w:r>
          </w:p>
          <w:p w14:paraId="4493BD5C" w14:textId="77777777" w:rsidR="00094656" w:rsidRPr="00640161" w:rsidRDefault="00094656" w:rsidP="0067273F">
            <w:pPr>
              <w:pStyle w:val="TableParagraph"/>
              <w:spacing w:before="4"/>
              <w:ind w:left="108" w:right="96"/>
              <w:rPr>
                <w:rFonts w:asciiTheme="minorHAnsi" w:hAnsiTheme="minorHAnsi" w:cstheme="minorHAnsi"/>
                <w:b/>
              </w:rPr>
            </w:pPr>
          </w:p>
          <w:p w14:paraId="72D45540" w14:textId="77777777" w:rsidR="00094656" w:rsidRPr="00640161" w:rsidRDefault="00094656" w:rsidP="0067273F">
            <w:pPr>
              <w:pStyle w:val="TableParagraph"/>
              <w:ind w:left="108" w:right="96"/>
              <w:rPr>
                <w:rFonts w:asciiTheme="minorHAnsi" w:hAnsiTheme="minorHAnsi" w:cstheme="minorHAnsi"/>
                <w:spacing w:val="-2"/>
              </w:rPr>
            </w:pPr>
            <w:hyperlink r:id="rId65">
              <w:r w:rsidRPr="00640161">
                <w:rPr>
                  <w:rFonts w:asciiTheme="minorHAnsi" w:hAnsiTheme="minorHAnsi" w:cstheme="minorHAnsi"/>
                  <w:spacing w:val="-2"/>
                </w:rPr>
                <w:t>https://w</w:t>
              </w:r>
            </w:hyperlink>
            <w:r w:rsidRPr="00640161">
              <w:rPr>
                <w:rFonts w:asciiTheme="minorHAnsi" w:hAnsiTheme="minorHAnsi" w:cstheme="minorHAnsi"/>
                <w:spacing w:val="-2"/>
              </w:rPr>
              <w:t>ww.racg</w:t>
            </w:r>
            <w:hyperlink r:id="rId66">
              <w:r w:rsidRPr="00640161">
                <w:rPr>
                  <w:rFonts w:asciiTheme="minorHAnsi" w:hAnsiTheme="minorHAnsi" w:cstheme="minorHAnsi"/>
                  <w:spacing w:val="-2"/>
                </w:rPr>
                <w:t>p.org</w:t>
              </w:r>
            </w:hyperlink>
            <w:r w:rsidRPr="00640161">
              <w:rPr>
                <w:rFonts w:asciiTheme="minorHAnsi" w:hAnsiTheme="minorHAnsi" w:cstheme="minorHAnsi"/>
                <w:spacing w:val="-2"/>
              </w:rPr>
              <w:t>.</w:t>
            </w:r>
            <w:hyperlink r:id="rId67">
              <w:r w:rsidRPr="00640161">
                <w:rPr>
                  <w:rFonts w:asciiTheme="minorHAnsi" w:hAnsiTheme="minorHAnsi" w:cstheme="minorHAnsi"/>
                  <w:spacing w:val="-2"/>
                </w:rPr>
                <w:t>au/getattachme</w:t>
              </w:r>
            </w:hyperlink>
            <w:r w:rsidRPr="00640161">
              <w:rPr>
                <w:rFonts w:asciiTheme="minorHAnsi" w:hAnsiTheme="minorHAnsi" w:cstheme="minorHAnsi"/>
                <w:spacing w:val="-2"/>
              </w:rPr>
              <w:t>nt/41fee8dc-7f97-4f87-9d90-b7af337af778/Management-of-type-2-diabetes-A-handbook-for-general-practice.aspx</w:t>
            </w:r>
          </w:p>
        </w:tc>
        <w:tc>
          <w:tcPr>
            <w:tcW w:w="1417" w:type="dxa"/>
          </w:tcPr>
          <w:p w14:paraId="56D7687E"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RACGP,</w:t>
            </w:r>
          </w:p>
          <w:p w14:paraId="20D0875C"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Diabetes Australia</w:t>
            </w:r>
          </w:p>
        </w:tc>
        <w:tc>
          <w:tcPr>
            <w:tcW w:w="1560" w:type="dxa"/>
          </w:tcPr>
          <w:p w14:paraId="7AE5A93D" w14:textId="77777777" w:rsidR="00094656" w:rsidRPr="00640161" w:rsidRDefault="00094656" w:rsidP="0067273F">
            <w:pPr>
              <w:spacing w:before="1"/>
              <w:ind w:left="108" w:right="96"/>
            </w:pPr>
            <w:r w:rsidRPr="00640161">
              <w:rPr>
                <w:rFonts w:cstheme="minorHAnsi"/>
              </w:rPr>
              <w:t>General practice</w:t>
            </w:r>
          </w:p>
        </w:tc>
        <w:tc>
          <w:tcPr>
            <w:tcW w:w="2126" w:type="dxa"/>
          </w:tcPr>
          <w:p w14:paraId="579A7AAD"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5C611FE1"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“Gender” used once to mean “sex”.</w:t>
            </w:r>
          </w:p>
          <w:p w14:paraId="1510DD32"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Pr>
                <w:rFonts w:asciiTheme="minorHAnsi" w:hAnsiTheme="minorHAnsi" w:cstheme="minorHAnsi"/>
              </w:rPr>
              <w:t>not found in text search. “Women”, “men”, “female”, “male” used.</w:t>
            </w:r>
          </w:p>
        </w:tc>
        <w:tc>
          <w:tcPr>
            <w:tcW w:w="1984" w:type="dxa"/>
          </w:tcPr>
          <w:p w14:paraId="43029491"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diagnosis, management,</w:t>
            </w:r>
            <w:r w:rsidRPr="00640161">
              <w:rPr>
                <w:rFonts w:asciiTheme="minorHAnsi" w:hAnsiTheme="minorHAnsi" w:cstheme="minorHAnsi"/>
                <w:spacing w:val="-13"/>
              </w:rPr>
              <w:t xml:space="preserve"> </w:t>
            </w:r>
            <w:r w:rsidRPr="00640161">
              <w:rPr>
                <w:rFonts w:asciiTheme="minorHAnsi" w:hAnsiTheme="minorHAnsi" w:cstheme="minorHAnsi"/>
              </w:rPr>
              <w:t>risk</w:t>
            </w:r>
            <w:r w:rsidRPr="00640161">
              <w:rPr>
                <w:rFonts w:asciiTheme="minorHAnsi" w:hAnsiTheme="minorHAnsi" w:cstheme="minorHAnsi"/>
                <w:spacing w:val="-12"/>
              </w:rPr>
              <w:t xml:space="preserve"> </w:t>
            </w:r>
            <w:r w:rsidRPr="00640161">
              <w:rPr>
                <w:rFonts w:asciiTheme="minorHAnsi" w:hAnsiTheme="minorHAnsi" w:cstheme="minorHAnsi"/>
              </w:rPr>
              <w:t xml:space="preserve">factors, </w:t>
            </w:r>
            <w:r w:rsidRPr="00640161">
              <w:rPr>
                <w:rFonts w:asciiTheme="minorHAnsi" w:hAnsiTheme="minorHAnsi" w:cstheme="minorHAnsi"/>
                <w:spacing w:val="-2"/>
              </w:rPr>
              <w:t>recommendations.</w:t>
            </w:r>
          </w:p>
        </w:tc>
        <w:tc>
          <w:tcPr>
            <w:tcW w:w="1843" w:type="dxa"/>
          </w:tcPr>
          <w:p w14:paraId="550A4A81"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 xml:space="preserve">“Psychosocial” factors discussed, not explicitly </w:t>
            </w:r>
            <w:proofErr w:type="gramStart"/>
            <w:r>
              <w:rPr>
                <w:rFonts w:asciiTheme="minorHAnsi" w:hAnsiTheme="minorHAnsi" w:cstheme="minorHAnsi"/>
              </w:rPr>
              <w:t>gender-aware</w:t>
            </w:r>
            <w:proofErr w:type="gramEnd"/>
            <w:r>
              <w:rPr>
                <w:rFonts w:asciiTheme="minorHAnsi" w:hAnsiTheme="minorHAnsi" w:cstheme="minorHAnsi"/>
              </w:rPr>
              <w:t>.</w:t>
            </w:r>
          </w:p>
        </w:tc>
        <w:tc>
          <w:tcPr>
            <w:tcW w:w="1276" w:type="dxa"/>
          </w:tcPr>
          <w:p w14:paraId="06D909D0"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 xml:space="preserve">Minimal details of method; used </w:t>
            </w:r>
            <w:r w:rsidRPr="00640161">
              <w:rPr>
                <w:rFonts w:asciiTheme="minorHAnsi" w:hAnsiTheme="minorHAnsi" w:cstheme="minorHAnsi"/>
              </w:rPr>
              <w:t>NHMRC</w:t>
            </w:r>
            <w:r>
              <w:rPr>
                <w:rFonts w:asciiTheme="minorHAnsi" w:hAnsiTheme="minorHAnsi" w:cstheme="minorHAnsi"/>
              </w:rPr>
              <w:t>, USA, Canadian</w:t>
            </w:r>
            <w:r w:rsidRPr="00640161">
              <w:rPr>
                <w:rFonts w:asciiTheme="minorHAnsi" w:hAnsiTheme="minorHAnsi" w:cstheme="minorHAnsi"/>
              </w:rPr>
              <w:t xml:space="preserve"> levels of evidence.</w:t>
            </w:r>
          </w:p>
        </w:tc>
      </w:tr>
      <w:tr w:rsidR="00094656" w:rsidRPr="00640161" w14:paraId="16DCAA3B" w14:textId="77777777" w:rsidTr="0067273F">
        <w:trPr>
          <w:cantSplit/>
        </w:trPr>
        <w:tc>
          <w:tcPr>
            <w:tcW w:w="1575" w:type="dxa"/>
          </w:tcPr>
          <w:p w14:paraId="50958043"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12665C77" w14:textId="77777777" w:rsidR="00094656" w:rsidRPr="00640161" w:rsidRDefault="00094656" w:rsidP="0067273F">
            <w:pPr>
              <w:pStyle w:val="TableParagraph"/>
              <w:keepNext/>
              <w:keepLines/>
              <w:widowControl/>
              <w:ind w:left="108" w:right="96"/>
              <w:rPr>
                <w:rFonts w:asciiTheme="minorHAnsi" w:hAnsiTheme="minorHAnsi" w:cstheme="minorHAnsi"/>
              </w:rPr>
            </w:pPr>
            <w:r w:rsidRPr="00640161">
              <w:rPr>
                <w:rFonts w:asciiTheme="minorHAnsi" w:hAnsiTheme="minorHAnsi" w:cstheme="minorHAnsi"/>
              </w:rPr>
              <w:t>Prescribing drugs of dependence in general practice, Part A Clinical governance</w:t>
            </w:r>
            <w:r w:rsidRPr="00640161">
              <w:rPr>
                <w:rFonts w:asciiTheme="minorHAnsi" w:hAnsiTheme="minorHAnsi" w:cstheme="minorHAnsi"/>
                <w:spacing w:val="-10"/>
              </w:rPr>
              <w:t xml:space="preserve"> </w:t>
            </w:r>
            <w:r w:rsidRPr="00640161">
              <w:rPr>
                <w:rFonts w:asciiTheme="minorHAnsi" w:hAnsiTheme="minorHAnsi" w:cstheme="minorHAnsi"/>
              </w:rPr>
              <w:t>framework,</w:t>
            </w:r>
            <w:r w:rsidRPr="00640161">
              <w:rPr>
                <w:rFonts w:asciiTheme="minorHAnsi" w:hAnsiTheme="minorHAnsi" w:cstheme="minorHAnsi"/>
                <w:spacing w:val="-10"/>
              </w:rPr>
              <w:t xml:space="preserve"> </w:t>
            </w:r>
            <w:r w:rsidRPr="00640161">
              <w:rPr>
                <w:rFonts w:asciiTheme="minorHAnsi" w:hAnsiTheme="minorHAnsi" w:cstheme="minorHAnsi"/>
              </w:rPr>
              <w:t>20</w:t>
            </w:r>
            <w:r>
              <w:rPr>
                <w:rFonts w:asciiTheme="minorHAnsi" w:hAnsiTheme="minorHAnsi" w:cstheme="minorHAnsi"/>
              </w:rPr>
              <w:t>15 (updated 2019)</w:t>
            </w:r>
            <w:r w:rsidRPr="00640161">
              <w:rPr>
                <w:rFonts w:asciiTheme="minorHAnsi" w:hAnsiTheme="minorHAnsi" w:cstheme="minorHAnsi"/>
              </w:rPr>
              <w:t>;</w:t>
            </w:r>
            <w:r w:rsidRPr="00640161">
              <w:rPr>
                <w:rFonts w:asciiTheme="minorHAnsi" w:hAnsiTheme="minorHAnsi" w:cstheme="minorHAnsi"/>
                <w:spacing w:val="-10"/>
              </w:rPr>
              <w:t xml:space="preserve"> </w:t>
            </w:r>
            <w:r w:rsidRPr="00640161">
              <w:rPr>
                <w:rFonts w:asciiTheme="minorHAnsi" w:hAnsiTheme="minorHAnsi" w:cstheme="minorHAnsi"/>
              </w:rPr>
              <w:t>Part</w:t>
            </w:r>
            <w:r w:rsidRPr="00640161">
              <w:rPr>
                <w:rFonts w:asciiTheme="minorHAnsi" w:hAnsiTheme="minorHAnsi" w:cstheme="minorHAnsi"/>
                <w:spacing w:val="-10"/>
              </w:rPr>
              <w:t xml:space="preserve"> </w:t>
            </w:r>
            <w:r w:rsidRPr="00640161">
              <w:rPr>
                <w:rFonts w:asciiTheme="minorHAnsi" w:hAnsiTheme="minorHAnsi" w:cstheme="minorHAnsi"/>
              </w:rPr>
              <w:t>B Benzodiazepines, 20</w:t>
            </w:r>
            <w:r>
              <w:rPr>
                <w:rFonts w:asciiTheme="minorHAnsi" w:hAnsiTheme="minorHAnsi" w:cstheme="minorHAnsi"/>
              </w:rPr>
              <w:t>15 (updated 2019)</w:t>
            </w:r>
          </w:p>
          <w:p w14:paraId="7BF5F7B3" w14:textId="77777777" w:rsidR="00094656" w:rsidRPr="00640161" w:rsidRDefault="00094656" w:rsidP="0067273F">
            <w:pPr>
              <w:pStyle w:val="TableParagraph"/>
              <w:keepNext/>
              <w:keepLines/>
              <w:widowControl/>
              <w:ind w:left="108" w:right="96"/>
              <w:rPr>
                <w:rFonts w:asciiTheme="minorHAnsi" w:hAnsiTheme="minorHAnsi" w:cstheme="minorHAnsi"/>
                <w:b/>
              </w:rPr>
            </w:pPr>
          </w:p>
          <w:p w14:paraId="262C9041" w14:textId="77777777" w:rsidR="00094656" w:rsidRDefault="00094656" w:rsidP="0067273F">
            <w:pPr>
              <w:pStyle w:val="TableParagraph"/>
              <w:keepNext/>
              <w:keepLines/>
              <w:widowControl/>
              <w:ind w:left="108" w:right="96"/>
            </w:pPr>
            <w:hyperlink r:id="rId68" w:history="1">
              <w:r w:rsidRPr="00A95ABB">
                <w:rPr>
                  <w:rStyle w:val="Hyperlink"/>
                </w:rPr>
                <w:t>https://www.racgp.org.au/getattachment/b1dc3adb-e3bc-4e0d-a872-8b53e7b59aee/Part-A.aspx</w:t>
              </w:r>
            </w:hyperlink>
          </w:p>
          <w:p w14:paraId="16A6DB9E" w14:textId="77777777" w:rsidR="00094656" w:rsidRPr="00640161" w:rsidRDefault="00094656" w:rsidP="0067273F">
            <w:pPr>
              <w:pStyle w:val="TableParagraph"/>
              <w:keepNext/>
              <w:keepLines/>
              <w:widowControl/>
              <w:ind w:left="108" w:right="96"/>
              <w:rPr>
                <w:rFonts w:asciiTheme="minorHAnsi" w:hAnsiTheme="minorHAnsi" w:cstheme="minorHAnsi"/>
                <w:b/>
              </w:rPr>
            </w:pPr>
          </w:p>
          <w:p w14:paraId="1A43F340" w14:textId="77777777" w:rsidR="00094656" w:rsidRPr="00640161" w:rsidRDefault="00094656" w:rsidP="0067273F">
            <w:pPr>
              <w:pStyle w:val="TableParagraph"/>
              <w:ind w:left="108" w:right="96"/>
              <w:rPr>
                <w:rFonts w:asciiTheme="minorHAnsi" w:hAnsiTheme="minorHAnsi" w:cstheme="minorHAnsi"/>
                <w:color w:val="0563C1"/>
                <w:spacing w:val="-10"/>
                <w:u w:val="single" w:color="0563C1"/>
              </w:rPr>
            </w:pPr>
            <w:r w:rsidRPr="00BA08CF">
              <w:t>https://www.racgp.org.au/getattachment/1beeb924-cf7b-4de4-911e-f7dda3e3f6e9/Part-B.aspx</w:t>
            </w:r>
          </w:p>
        </w:tc>
        <w:tc>
          <w:tcPr>
            <w:tcW w:w="1417" w:type="dxa"/>
          </w:tcPr>
          <w:p w14:paraId="3BD7903A"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RACGP</w:t>
            </w:r>
          </w:p>
        </w:tc>
        <w:tc>
          <w:tcPr>
            <w:tcW w:w="1560" w:type="dxa"/>
          </w:tcPr>
          <w:p w14:paraId="57C4E0D4"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36F2041A" w14:textId="77777777" w:rsidR="00094656" w:rsidRDefault="00094656" w:rsidP="0067273F">
            <w:pPr>
              <w:pStyle w:val="TableParagraph"/>
              <w:rPr>
                <w:rFonts w:asciiTheme="minorHAnsi" w:hAnsiTheme="minorHAnsi" w:cstheme="minorHAnsi"/>
              </w:rPr>
            </w:pPr>
            <w:r>
              <w:rPr>
                <w:rFonts w:asciiTheme="minorHAnsi" w:hAnsiTheme="minorHAnsi" w:cstheme="minorHAnsi"/>
              </w:rPr>
              <w:t>Part A: “Gender”, “female” not found in text search. “Sexes” found once. “Women”, “men” used occasionally.</w:t>
            </w:r>
          </w:p>
          <w:p w14:paraId="7D94202D" w14:textId="77777777" w:rsidR="00094656" w:rsidRDefault="00094656" w:rsidP="0067273F">
            <w:pPr>
              <w:pStyle w:val="TableParagraph"/>
              <w:rPr>
                <w:rFonts w:asciiTheme="minorHAnsi" w:hAnsiTheme="minorHAnsi" w:cstheme="minorHAnsi"/>
              </w:rPr>
            </w:pPr>
          </w:p>
          <w:p w14:paraId="36A34A2C"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Part B: “Gender”, “female” each found once, meaning sex. “Sex” not found in text search. “Women”, “men” used.</w:t>
            </w:r>
          </w:p>
        </w:tc>
        <w:tc>
          <w:tcPr>
            <w:tcW w:w="1984" w:type="dxa"/>
          </w:tcPr>
          <w:p w14:paraId="31613C26"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Sex-related prevalence, pharmaceutical</w:t>
            </w:r>
            <w:r w:rsidRPr="00640161">
              <w:rPr>
                <w:rFonts w:asciiTheme="minorHAnsi" w:hAnsiTheme="minorHAnsi" w:cstheme="minorHAnsi"/>
                <w:spacing w:val="-13"/>
              </w:rPr>
              <w:t xml:space="preserve"> </w:t>
            </w:r>
            <w:r w:rsidRPr="00640161">
              <w:rPr>
                <w:rFonts w:asciiTheme="minorHAnsi" w:hAnsiTheme="minorHAnsi" w:cstheme="minorHAnsi"/>
              </w:rPr>
              <w:t>misuse,</w:t>
            </w:r>
            <w:r w:rsidRPr="00640161">
              <w:rPr>
                <w:rFonts w:asciiTheme="minorHAnsi" w:hAnsiTheme="minorHAnsi" w:cstheme="minorHAnsi"/>
                <w:spacing w:val="-12"/>
              </w:rPr>
              <w:t xml:space="preserve"> </w:t>
            </w:r>
            <w:r w:rsidRPr="00640161">
              <w:rPr>
                <w:rFonts w:asciiTheme="minorHAnsi" w:hAnsiTheme="minorHAnsi" w:cstheme="minorHAnsi"/>
              </w:rPr>
              <w:t xml:space="preserve">risk factors, management </w:t>
            </w:r>
            <w:r w:rsidRPr="00640161">
              <w:rPr>
                <w:rFonts w:asciiTheme="minorHAnsi" w:hAnsiTheme="minorHAnsi" w:cstheme="minorHAnsi"/>
                <w:spacing w:val="-2"/>
              </w:rPr>
              <w:t>recommendations.</w:t>
            </w:r>
          </w:p>
          <w:p w14:paraId="7A4D4030"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Precautions</w:t>
            </w:r>
            <w:r w:rsidRPr="00640161">
              <w:rPr>
                <w:rFonts w:asciiTheme="minorHAnsi" w:hAnsiTheme="minorHAnsi" w:cstheme="minorHAnsi"/>
                <w:spacing w:val="-13"/>
              </w:rPr>
              <w:t xml:space="preserve"> </w:t>
            </w:r>
            <w:r w:rsidRPr="00640161">
              <w:rPr>
                <w:rFonts w:asciiTheme="minorHAnsi" w:hAnsiTheme="minorHAnsi" w:cstheme="minorHAnsi"/>
              </w:rPr>
              <w:t>about</w:t>
            </w:r>
            <w:r w:rsidRPr="00640161">
              <w:rPr>
                <w:rFonts w:asciiTheme="minorHAnsi" w:hAnsiTheme="minorHAnsi" w:cstheme="minorHAnsi"/>
                <w:spacing w:val="-12"/>
              </w:rPr>
              <w:t xml:space="preserve"> </w:t>
            </w:r>
            <w:r w:rsidRPr="00640161">
              <w:rPr>
                <w:rFonts w:asciiTheme="minorHAnsi" w:hAnsiTheme="minorHAnsi" w:cstheme="minorHAnsi"/>
              </w:rPr>
              <w:t xml:space="preserve">pregnant </w:t>
            </w:r>
            <w:r w:rsidRPr="00640161">
              <w:rPr>
                <w:rFonts w:asciiTheme="minorHAnsi" w:hAnsiTheme="minorHAnsi" w:cstheme="minorHAnsi"/>
                <w:spacing w:val="-2"/>
              </w:rPr>
              <w:t>women.</w:t>
            </w:r>
          </w:p>
        </w:tc>
        <w:tc>
          <w:tcPr>
            <w:tcW w:w="1843" w:type="dxa"/>
          </w:tcPr>
          <w:p w14:paraId="00A46F19"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Pr>
                <w:rFonts w:asciiTheme="minorHAnsi" w:hAnsiTheme="minorHAnsi" w:cstheme="minorHAnsi"/>
                <w:spacing w:val="-4"/>
              </w:rPr>
              <w:t xml:space="preserve">explicit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F46B6B9"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 xml:space="preserve">Limited details of method; </w:t>
            </w:r>
            <w:r w:rsidRPr="00640161">
              <w:rPr>
                <w:rFonts w:asciiTheme="minorHAnsi" w:hAnsiTheme="minorHAnsi" w:cstheme="minorHAnsi"/>
              </w:rPr>
              <w:t>NHMRC levels of evidence.</w:t>
            </w:r>
          </w:p>
        </w:tc>
      </w:tr>
      <w:tr w:rsidR="00094656" w:rsidRPr="00640161" w14:paraId="6B36C0A5" w14:textId="77777777" w:rsidTr="0067273F">
        <w:trPr>
          <w:cantSplit/>
        </w:trPr>
        <w:tc>
          <w:tcPr>
            <w:tcW w:w="1575" w:type="dxa"/>
          </w:tcPr>
          <w:p w14:paraId="2A7B6244"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5A759375" w14:textId="77777777" w:rsidR="00094656" w:rsidRPr="00640161" w:rsidRDefault="00094656" w:rsidP="0067273F">
            <w:pPr>
              <w:pStyle w:val="TableParagraph"/>
              <w:ind w:right="97"/>
              <w:rPr>
                <w:rFonts w:asciiTheme="minorHAnsi" w:hAnsiTheme="minorHAnsi" w:cstheme="minorHAnsi"/>
              </w:rPr>
            </w:pPr>
            <w:r w:rsidRPr="00120EB8">
              <w:rPr>
                <w:rFonts w:asciiTheme="minorHAnsi" w:hAnsiTheme="minorHAnsi" w:cstheme="minorHAnsi"/>
              </w:rPr>
              <w:t>Guidelines</w:t>
            </w:r>
            <w:r w:rsidRPr="00120EB8">
              <w:rPr>
                <w:rFonts w:asciiTheme="minorHAnsi" w:hAnsiTheme="minorHAnsi" w:cstheme="minorHAnsi"/>
                <w:spacing w:val="-9"/>
              </w:rPr>
              <w:t xml:space="preserve"> </w:t>
            </w:r>
            <w:r w:rsidRPr="00120EB8">
              <w:rPr>
                <w:rFonts w:asciiTheme="minorHAnsi" w:hAnsiTheme="minorHAnsi" w:cstheme="minorHAnsi"/>
              </w:rPr>
              <w:t>for</w:t>
            </w:r>
            <w:r w:rsidRPr="00120EB8">
              <w:rPr>
                <w:rFonts w:asciiTheme="minorHAnsi" w:hAnsiTheme="minorHAnsi" w:cstheme="minorHAnsi"/>
                <w:spacing w:val="-9"/>
              </w:rPr>
              <w:t xml:space="preserve"> </w:t>
            </w:r>
            <w:r w:rsidRPr="00120EB8">
              <w:rPr>
                <w:rFonts w:asciiTheme="minorHAnsi" w:hAnsiTheme="minorHAnsi" w:cstheme="minorHAnsi"/>
              </w:rPr>
              <w:t>preventive</w:t>
            </w:r>
            <w:r w:rsidRPr="00120EB8">
              <w:rPr>
                <w:rFonts w:asciiTheme="minorHAnsi" w:hAnsiTheme="minorHAnsi" w:cstheme="minorHAnsi"/>
                <w:spacing w:val="-9"/>
              </w:rPr>
              <w:t xml:space="preserve"> </w:t>
            </w:r>
            <w:r w:rsidRPr="00120EB8">
              <w:rPr>
                <w:rFonts w:asciiTheme="minorHAnsi" w:hAnsiTheme="minorHAnsi" w:cstheme="minorHAnsi"/>
              </w:rPr>
              <w:t>activities</w:t>
            </w:r>
            <w:r w:rsidRPr="00120EB8">
              <w:rPr>
                <w:rFonts w:asciiTheme="minorHAnsi" w:hAnsiTheme="minorHAnsi" w:cstheme="minorHAnsi"/>
                <w:spacing w:val="-9"/>
              </w:rPr>
              <w:t xml:space="preserve"> </w:t>
            </w:r>
            <w:r w:rsidRPr="00120EB8">
              <w:rPr>
                <w:rFonts w:asciiTheme="minorHAnsi" w:hAnsiTheme="minorHAnsi" w:cstheme="minorHAnsi"/>
              </w:rPr>
              <w:t>in general practice</w:t>
            </w:r>
            <w:r>
              <w:rPr>
                <w:rFonts w:asciiTheme="minorHAnsi" w:hAnsiTheme="minorHAnsi" w:cstheme="minorHAnsi"/>
              </w:rPr>
              <w:t>, 9</w:t>
            </w:r>
            <w:r w:rsidRPr="00120EB8">
              <w:rPr>
                <w:rFonts w:asciiTheme="minorHAnsi" w:hAnsiTheme="minorHAnsi" w:cstheme="minorHAnsi"/>
                <w:vertAlign w:val="superscript"/>
              </w:rPr>
              <w:t>th</w:t>
            </w:r>
            <w:r>
              <w:rPr>
                <w:rFonts w:asciiTheme="minorHAnsi" w:hAnsiTheme="minorHAnsi" w:cstheme="minorHAnsi"/>
              </w:rPr>
              <w:t xml:space="preserve"> edition</w:t>
            </w:r>
            <w:r w:rsidRPr="00120EB8">
              <w:rPr>
                <w:rFonts w:asciiTheme="minorHAnsi" w:hAnsiTheme="minorHAnsi" w:cstheme="minorHAnsi"/>
              </w:rPr>
              <w:t>. Updated 2021</w:t>
            </w:r>
          </w:p>
          <w:p w14:paraId="6BA6D7A7" w14:textId="77777777" w:rsidR="00094656" w:rsidRPr="00640161" w:rsidRDefault="00094656" w:rsidP="0067273F">
            <w:pPr>
              <w:pStyle w:val="TableParagraph"/>
              <w:spacing w:before="4"/>
              <w:ind w:left="0"/>
              <w:rPr>
                <w:rFonts w:asciiTheme="minorHAnsi" w:hAnsiTheme="minorHAnsi" w:cstheme="minorHAnsi"/>
                <w:b/>
              </w:rPr>
            </w:pPr>
          </w:p>
          <w:p w14:paraId="7AAC0DF0" w14:textId="77777777" w:rsidR="00094656" w:rsidRPr="00640161" w:rsidRDefault="00094656" w:rsidP="0067273F">
            <w:pPr>
              <w:pStyle w:val="TableParagraph"/>
              <w:ind w:right="97"/>
              <w:rPr>
                <w:rFonts w:asciiTheme="minorHAnsi" w:hAnsiTheme="minorHAnsi" w:cstheme="minorHAnsi"/>
                <w:spacing w:val="-2"/>
              </w:rPr>
            </w:pPr>
            <w:hyperlink r:id="rId69">
              <w:r w:rsidRPr="00640161">
                <w:rPr>
                  <w:rFonts w:asciiTheme="minorHAnsi" w:hAnsiTheme="minorHAnsi" w:cstheme="minorHAnsi"/>
                  <w:spacing w:val="-2"/>
                </w:rPr>
                <w:t>https://w</w:t>
              </w:r>
            </w:hyperlink>
            <w:r w:rsidRPr="00640161">
              <w:rPr>
                <w:rFonts w:asciiTheme="minorHAnsi" w:hAnsiTheme="minorHAnsi" w:cstheme="minorHAnsi"/>
                <w:spacing w:val="-2"/>
              </w:rPr>
              <w:t>ww.racg</w:t>
            </w:r>
            <w:hyperlink r:id="rId70">
              <w:r w:rsidRPr="00640161">
                <w:rPr>
                  <w:rFonts w:asciiTheme="minorHAnsi" w:hAnsiTheme="minorHAnsi" w:cstheme="minorHAnsi"/>
                  <w:spacing w:val="-2"/>
                </w:rPr>
                <w:t>p.org</w:t>
              </w:r>
            </w:hyperlink>
            <w:r w:rsidRPr="00640161">
              <w:rPr>
                <w:rFonts w:asciiTheme="minorHAnsi" w:hAnsiTheme="minorHAnsi" w:cstheme="minorHAnsi"/>
                <w:spacing w:val="-2"/>
              </w:rPr>
              <w:t>.</w:t>
            </w:r>
            <w:hyperlink r:id="rId71">
              <w:r w:rsidRPr="00640161">
                <w:rPr>
                  <w:rFonts w:asciiTheme="minorHAnsi" w:hAnsiTheme="minorHAnsi" w:cstheme="minorHAnsi"/>
                  <w:spacing w:val="-2"/>
                </w:rPr>
                <w:t>au/getattachme</w:t>
              </w:r>
            </w:hyperlink>
            <w:r w:rsidRPr="00640161">
              <w:rPr>
                <w:rFonts w:asciiTheme="minorHAnsi" w:hAnsiTheme="minorHAnsi" w:cstheme="minorHAnsi"/>
                <w:spacing w:val="-2"/>
              </w:rPr>
              <w:t>nt/1ad1a26f-9c8b-4e3c-b45b-3237272b3a04/Guidelines-for-preventive-activities-in-general-practice.aspx</w:t>
            </w:r>
          </w:p>
          <w:p w14:paraId="359F9C29" w14:textId="77777777" w:rsidR="00094656" w:rsidRPr="00640161" w:rsidRDefault="00094656" w:rsidP="0067273F">
            <w:pPr>
              <w:pStyle w:val="TableParagraph"/>
              <w:ind w:right="97"/>
              <w:rPr>
                <w:rFonts w:asciiTheme="minorHAnsi" w:hAnsiTheme="minorHAnsi" w:cstheme="minorHAnsi"/>
                <w:highlight w:val="yellow"/>
              </w:rPr>
            </w:pPr>
          </w:p>
        </w:tc>
        <w:tc>
          <w:tcPr>
            <w:tcW w:w="1417" w:type="dxa"/>
          </w:tcPr>
          <w:p w14:paraId="4736A0FE"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NHMRC</w:t>
            </w:r>
          </w:p>
        </w:tc>
        <w:tc>
          <w:tcPr>
            <w:tcW w:w="1560" w:type="dxa"/>
          </w:tcPr>
          <w:p w14:paraId="15CB10C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2A4FA0B3"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4BD4B6E9"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“Gender” used twice: gender-based violence.</w:t>
            </w:r>
          </w:p>
          <w:p w14:paraId="3A79F837"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“Sex”</w:t>
            </w:r>
            <w:r>
              <w:rPr>
                <w:rFonts w:asciiTheme="minorHAnsi" w:hAnsiTheme="minorHAnsi" w:cstheme="minorHAnsi"/>
              </w:rPr>
              <w:t xml:space="preserve"> not found in text search</w:t>
            </w:r>
            <w:r w:rsidRPr="00640161">
              <w:rPr>
                <w:rFonts w:asciiTheme="minorHAnsi" w:hAnsiTheme="minorHAnsi" w:cstheme="minorHAnsi"/>
                <w:spacing w:val="-2"/>
              </w:rPr>
              <w:t>.</w:t>
            </w:r>
          </w:p>
          <w:p w14:paraId="74341B3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spacing w:val="-2"/>
              </w:rPr>
              <w:t>“Female”, “male”, “women”, “men” used.</w:t>
            </w:r>
          </w:p>
        </w:tc>
        <w:tc>
          <w:tcPr>
            <w:tcW w:w="1984" w:type="dxa"/>
          </w:tcPr>
          <w:p w14:paraId="0E04E087"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prevalence, risk factors,</w:t>
            </w:r>
            <w:r w:rsidRPr="00640161">
              <w:rPr>
                <w:rFonts w:asciiTheme="minorHAnsi" w:hAnsiTheme="minorHAnsi" w:cstheme="minorHAnsi"/>
                <w:spacing w:val="-13"/>
              </w:rPr>
              <w:t xml:space="preserve"> </w:t>
            </w:r>
            <w:r w:rsidRPr="00640161">
              <w:rPr>
                <w:rFonts w:asciiTheme="minorHAnsi" w:hAnsiTheme="minorHAnsi" w:cstheme="minorHAnsi"/>
              </w:rPr>
              <w:t>preventive</w:t>
            </w:r>
            <w:r w:rsidRPr="00640161">
              <w:rPr>
                <w:rFonts w:asciiTheme="minorHAnsi" w:hAnsiTheme="minorHAnsi" w:cstheme="minorHAnsi"/>
                <w:spacing w:val="-12"/>
              </w:rPr>
              <w:t xml:space="preserve"> </w:t>
            </w:r>
            <w:r w:rsidRPr="00640161">
              <w:rPr>
                <w:rFonts w:asciiTheme="minorHAnsi" w:hAnsiTheme="minorHAnsi" w:cstheme="minorHAnsi"/>
              </w:rPr>
              <w:t xml:space="preserve">measures, </w:t>
            </w:r>
            <w:r w:rsidRPr="00640161">
              <w:rPr>
                <w:rFonts w:asciiTheme="minorHAnsi" w:hAnsiTheme="minorHAnsi" w:cstheme="minorHAnsi"/>
                <w:spacing w:val="-2"/>
              </w:rPr>
              <w:t>management.</w:t>
            </w:r>
          </w:p>
        </w:tc>
        <w:tc>
          <w:tcPr>
            <w:tcW w:w="1843" w:type="dxa"/>
          </w:tcPr>
          <w:p w14:paraId="6C2662E6" w14:textId="77777777" w:rsidR="00094656" w:rsidRPr="00640161" w:rsidRDefault="00094656" w:rsidP="0067273F">
            <w:pPr>
              <w:pStyle w:val="TableParagraph"/>
              <w:ind w:left="104"/>
              <w:rPr>
                <w:rFonts w:asciiTheme="minorHAnsi" w:hAnsiTheme="minorHAnsi" w:cstheme="minorHAnsi"/>
              </w:rPr>
            </w:pPr>
            <w:r w:rsidRPr="00640161">
              <w:rPr>
                <w:rFonts w:asciiTheme="minorHAnsi" w:hAnsiTheme="minorHAnsi" w:cstheme="minorHAnsi"/>
              </w:rPr>
              <w:t>GPs’ important role in identifying psychosocial factors, particularly</w:t>
            </w:r>
            <w:r w:rsidRPr="00640161">
              <w:rPr>
                <w:rFonts w:asciiTheme="minorHAnsi" w:hAnsiTheme="minorHAnsi" w:cstheme="minorHAnsi"/>
                <w:spacing w:val="-13"/>
              </w:rPr>
              <w:t xml:space="preserve"> </w:t>
            </w:r>
            <w:r w:rsidRPr="00640161">
              <w:rPr>
                <w:rFonts w:asciiTheme="minorHAnsi" w:hAnsiTheme="minorHAnsi" w:cstheme="minorHAnsi"/>
              </w:rPr>
              <w:t>women</w:t>
            </w:r>
            <w:r w:rsidRPr="00640161">
              <w:rPr>
                <w:rFonts w:asciiTheme="minorHAnsi" w:hAnsiTheme="minorHAnsi" w:cstheme="minorHAnsi"/>
                <w:spacing w:val="-12"/>
              </w:rPr>
              <w:t xml:space="preserve"> </w:t>
            </w:r>
            <w:r w:rsidRPr="00640161">
              <w:rPr>
                <w:rFonts w:asciiTheme="minorHAnsi" w:hAnsiTheme="minorHAnsi" w:cstheme="minorHAnsi"/>
              </w:rPr>
              <w:t>experiencing intimate partner violence, postpartum depression.</w:t>
            </w:r>
          </w:p>
          <w:p w14:paraId="17ACF2D0"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Consideration</w:t>
            </w:r>
            <w:r w:rsidRPr="00640161">
              <w:rPr>
                <w:rFonts w:asciiTheme="minorHAnsi" w:hAnsiTheme="minorHAnsi" w:cstheme="minorHAnsi"/>
                <w:spacing w:val="-13"/>
              </w:rPr>
              <w:t xml:space="preserve"> </w:t>
            </w:r>
            <w:r w:rsidRPr="00640161">
              <w:rPr>
                <w:rFonts w:asciiTheme="minorHAnsi" w:hAnsiTheme="minorHAnsi" w:cstheme="minorHAnsi"/>
              </w:rPr>
              <w:t>of</w:t>
            </w:r>
            <w:r w:rsidRPr="00640161">
              <w:rPr>
                <w:rFonts w:asciiTheme="minorHAnsi" w:hAnsiTheme="minorHAnsi" w:cstheme="minorHAnsi"/>
                <w:spacing w:val="-12"/>
              </w:rPr>
              <w:t xml:space="preserve"> </w:t>
            </w:r>
            <w:r w:rsidRPr="00640161">
              <w:rPr>
                <w:rFonts w:asciiTheme="minorHAnsi" w:hAnsiTheme="minorHAnsi" w:cstheme="minorHAnsi"/>
              </w:rPr>
              <w:t>cultural</w:t>
            </w:r>
            <w:r w:rsidRPr="00640161">
              <w:rPr>
                <w:rFonts w:asciiTheme="minorHAnsi" w:hAnsiTheme="minorHAnsi" w:cstheme="minorHAnsi"/>
                <w:spacing w:val="-13"/>
              </w:rPr>
              <w:t xml:space="preserve"> </w:t>
            </w:r>
            <w:r w:rsidRPr="00640161">
              <w:rPr>
                <w:rFonts w:asciiTheme="minorHAnsi" w:hAnsiTheme="minorHAnsi" w:cstheme="minorHAnsi"/>
              </w:rPr>
              <w:t>&amp; linguistic diversity.</w:t>
            </w:r>
          </w:p>
        </w:tc>
        <w:tc>
          <w:tcPr>
            <w:tcW w:w="1276" w:type="dxa"/>
          </w:tcPr>
          <w:p w14:paraId="60EBE68F" w14:textId="77777777" w:rsidR="00094656" w:rsidRDefault="00094656" w:rsidP="0067273F">
            <w:pPr>
              <w:pStyle w:val="TableParagraph"/>
              <w:ind w:left="104"/>
              <w:rPr>
                <w:rFonts w:asciiTheme="minorHAnsi" w:hAnsiTheme="minorHAnsi" w:cstheme="minorHAnsi"/>
              </w:rPr>
            </w:pPr>
            <w:r>
              <w:rPr>
                <w:rFonts w:asciiTheme="minorHAnsi" w:hAnsiTheme="minorHAnsi" w:cstheme="minorHAnsi"/>
              </w:rPr>
              <w:t>AGREE tool.</w:t>
            </w:r>
          </w:p>
          <w:p w14:paraId="54F8E359"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NHMRC levels of evidence</w:t>
            </w:r>
          </w:p>
        </w:tc>
      </w:tr>
      <w:tr w:rsidR="00094656" w:rsidRPr="00640161" w14:paraId="3D3380A8" w14:textId="77777777" w:rsidTr="0067273F">
        <w:trPr>
          <w:cantSplit/>
        </w:trPr>
        <w:tc>
          <w:tcPr>
            <w:tcW w:w="1575" w:type="dxa"/>
          </w:tcPr>
          <w:p w14:paraId="2E8968B0"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6881ED3E" w14:textId="77777777" w:rsidR="00094656" w:rsidRPr="00640161" w:rsidRDefault="00094656" w:rsidP="0067273F">
            <w:pPr>
              <w:pStyle w:val="TableParagraph"/>
              <w:ind w:right="216"/>
              <w:rPr>
                <w:rFonts w:asciiTheme="minorHAnsi" w:hAnsiTheme="minorHAnsi" w:cstheme="minorHAnsi"/>
              </w:rPr>
            </w:pPr>
            <w:r w:rsidRPr="00502E75">
              <w:rPr>
                <w:rFonts w:asciiTheme="minorHAnsi" w:hAnsiTheme="minorHAnsi" w:cstheme="minorHAnsi"/>
              </w:rPr>
              <w:t>Supporting smoking cessation: A guide for</w:t>
            </w:r>
            <w:r w:rsidRPr="00502E75">
              <w:rPr>
                <w:rFonts w:asciiTheme="minorHAnsi" w:hAnsiTheme="minorHAnsi" w:cstheme="minorHAnsi"/>
                <w:spacing w:val="-10"/>
              </w:rPr>
              <w:t xml:space="preserve"> </w:t>
            </w:r>
            <w:r w:rsidRPr="00502E75">
              <w:rPr>
                <w:rFonts w:asciiTheme="minorHAnsi" w:hAnsiTheme="minorHAnsi" w:cstheme="minorHAnsi"/>
              </w:rPr>
              <w:t>health</w:t>
            </w:r>
            <w:r w:rsidRPr="00502E75">
              <w:rPr>
                <w:rFonts w:asciiTheme="minorHAnsi" w:hAnsiTheme="minorHAnsi" w:cstheme="minorHAnsi"/>
                <w:spacing w:val="-10"/>
              </w:rPr>
              <w:t xml:space="preserve"> </w:t>
            </w:r>
            <w:r w:rsidRPr="00502E75">
              <w:rPr>
                <w:rFonts w:asciiTheme="minorHAnsi" w:hAnsiTheme="minorHAnsi" w:cstheme="minorHAnsi"/>
              </w:rPr>
              <w:t xml:space="preserve">professionals. Updated </w:t>
            </w:r>
            <w:r w:rsidRPr="00502E75">
              <w:rPr>
                <w:rFonts w:asciiTheme="minorHAnsi" w:hAnsiTheme="minorHAnsi" w:cstheme="minorHAnsi"/>
                <w:spacing w:val="-4"/>
              </w:rPr>
              <w:t>2024</w:t>
            </w:r>
          </w:p>
          <w:p w14:paraId="5B776466" w14:textId="77777777" w:rsidR="00094656" w:rsidRPr="00640161" w:rsidRDefault="00094656" w:rsidP="0067273F">
            <w:pPr>
              <w:pStyle w:val="TableParagraph"/>
              <w:spacing w:before="11"/>
              <w:ind w:left="108" w:right="96"/>
              <w:rPr>
                <w:rFonts w:asciiTheme="minorHAnsi" w:hAnsiTheme="minorHAnsi" w:cstheme="minorHAnsi"/>
                <w:b/>
              </w:rPr>
            </w:pPr>
          </w:p>
          <w:p w14:paraId="0E538715" w14:textId="77777777" w:rsidR="00094656" w:rsidRPr="00640161" w:rsidRDefault="00094656" w:rsidP="0067273F">
            <w:pPr>
              <w:pStyle w:val="TableParagraph"/>
              <w:ind w:left="108" w:right="96"/>
              <w:rPr>
                <w:rFonts w:asciiTheme="minorHAnsi" w:hAnsiTheme="minorHAnsi" w:cstheme="minorHAnsi"/>
                <w:spacing w:val="-2"/>
              </w:rPr>
            </w:pPr>
            <w:hyperlink r:id="rId72">
              <w:r w:rsidRPr="00640161">
                <w:rPr>
                  <w:rFonts w:asciiTheme="minorHAnsi" w:hAnsiTheme="minorHAnsi" w:cstheme="minorHAnsi"/>
                  <w:spacing w:val="-2"/>
                </w:rPr>
                <w:t>https://w</w:t>
              </w:r>
            </w:hyperlink>
            <w:r w:rsidRPr="00640161">
              <w:rPr>
                <w:rFonts w:asciiTheme="minorHAnsi" w:hAnsiTheme="minorHAnsi" w:cstheme="minorHAnsi"/>
                <w:spacing w:val="-2"/>
              </w:rPr>
              <w:t>ww.racg</w:t>
            </w:r>
            <w:hyperlink r:id="rId73">
              <w:r w:rsidRPr="00640161">
                <w:rPr>
                  <w:rFonts w:asciiTheme="minorHAnsi" w:hAnsiTheme="minorHAnsi" w:cstheme="minorHAnsi"/>
                  <w:spacing w:val="-2"/>
                </w:rPr>
                <w:t>p.org</w:t>
              </w:r>
            </w:hyperlink>
            <w:r w:rsidRPr="00640161">
              <w:rPr>
                <w:rFonts w:asciiTheme="minorHAnsi" w:hAnsiTheme="minorHAnsi" w:cstheme="minorHAnsi"/>
                <w:spacing w:val="-2"/>
              </w:rPr>
              <w:t>.</w:t>
            </w:r>
            <w:hyperlink r:id="rId74">
              <w:r w:rsidRPr="00640161">
                <w:rPr>
                  <w:rFonts w:asciiTheme="minorHAnsi" w:hAnsiTheme="minorHAnsi" w:cstheme="minorHAnsi"/>
                  <w:spacing w:val="-2"/>
                </w:rPr>
                <w:t>au/clinical-</w:t>
              </w:r>
            </w:hyperlink>
            <w:r w:rsidRPr="00640161">
              <w:rPr>
                <w:rFonts w:asciiTheme="minorHAnsi" w:hAnsiTheme="minorHAnsi" w:cstheme="minorHAnsi"/>
                <w:spacing w:val="-2"/>
              </w:rPr>
              <w:t>resources/clinical-guidelines/key-racgp-guidelines/view-all-racgp-guidelines/supporting-smoking-cessation</w:t>
            </w:r>
          </w:p>
        </w:tc>
        <w:tc>
          <w:tcPr>
            <w:tcW w:w="1417" w:type="dxa"/>
          </w:tcPr>
          <w:p w14:paraId="3571E4EE"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RACGP</w:t>
            </w:r>
          </w:p>
        </w:tc>
        <w:tc>
          <w:tcPr>
            <w:tcW w:w="1560" w:type="dxa"/>
          </w:tcPr>
          <w:p w14:paraId="6D68500E"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55D421DF"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not found in text search; 2 references to care of people who are transgender. “Sex” found once. Use “women”, “men”.</w:t>
            </w:r>
          </w:p>
        </w:tc>
        <w:tc>
          <w:tcPr>
            <w:tcW w:w="1984" w:type="dxa"/>
          </w:tcPr>
          <w:p w14:paraId="46243A5C"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risk factors, treatment,</w:t>
            </w:r>
            <w:r w:rsidRPr="00640161">
              <w:rPr>
                <w:rFonts w:asciiTheme="minorHAnsi" w:hAnsiTheme="minorHAnsi" w:cstheme="minorHAnsi"/>
                <w:spacing w:val="-13"/>
              </w:rPr>
              <w:t xml:space="preserve"> </w:t>
            </w:r>
            <w:r w:rsidRPr="00640161">
              <w:rPr>
                <w:rFonts w:asciiTheme="minorHAnsi" w:hAnsiTheme="minorHAnsi" w:cstheme="minorHAnsi"/>
              </w:rPr>
              <w:t>recommendations.</w:t>
            </w:r>
          </w:p>
        </w:tc>
        <w:tc>
          <w:tcPr>
            <w:tcW w:w="1843" w:type="dxa"/>
          </w:tcPr>
          <w:p w14:paraId="76DFA6CC"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Pr>
                <w:rFonts w:asciiTheme="minorHAnsi" w:hAnsiTheme="minorHAnsi" w:cstheme="minorHAnsi"/>
                <w:spacing w:val="-4"/>
              </w:rPr>
              <w:t xml:space="preserve">explicit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r>
              <w:rPr>
                <w:rFonts w:asciiTheme="minorHAnsi" w:hAnsiTheme="minorHAnsi" w:cstheme="minorHAnsi"/>
                <w:spacing w:val="-2"/>
              </w:rPr>
              <w:t>; psychosocial &amp; cultural awareness</w:t>
            </w:r>
            <w:r w:rsidRPr="00640161">
              <w:rPr>
                <w:rFonts w:asciiTheme="minorHAnsi" w:hAnsiTheme="minorHAnsi" w:cstheme="minorHAnsi"/>
                <w:spacing w:val="-2"/>
              </w:rPr>
              <w:t>.</w:t>
            </w:r>
          </w:p>
        </w:tc>
        <w:tc>
          <w:tcPr>
            <w:tcW w:w="1276" w:type="dxa"/>
          </w:tcPr>
          <w:p w14:paraId="7D0ED5F8"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2B475162" w14:textId="77777777" w:rsidTr="0067273F">
        <w:tc>
          <w:tcPr>
            <w:tcW w:w="1575" w:type="dxa"/>
          </w:tcPr>
          <w:p w14:paraId="7BDB86B8"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2FCC2AF2"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First</w:t>
            </w:r>
            <w:r w:rsidRPr="00640161">
              <w:rPr>
                <w:rFonts w:asciiTheme="minorHAnsi" w:hAnsiTheme="minorHAnsi" w:cstheme="minorHAnsi"/>
                <w:spacing w:val="-5"/>
              </w:rPr>
              <w:t xml:space="preserve"> </w:t>
            </w:r>
            <w:r w:rsidRPr="00640161">
              <w:rPr>
                <w:rFonts w:asciiTheme="minorHAnsi" w:hAnsiTheme="minorHAnsi" w:cstheme="minorHAnsi"/>
              </w:rPr>
              <w:t>do</w:t>
            </w:r>
            <w:r w:rsidRPr="00640161">
              <w:rPr>
                <w:rFonts w:asciiTheme="minorHAnsi" w:hAnsiTheme="minorHAnsi" w:cstheme="minorHAnsi"/>
                <w:spacing w:val="-6"/>
              </w:rPr>
              <w:t xml:space="preserve"> </w:t>
            </w:r>
            <w:r w:rsidRPr="00640161">
              <w:rPr>
                <w:rFonts w:asciiTheme="minorHAnsi" w:hAnsiTheme="minorHAnsi" w:cstheme="minorHAnsi"/>
              </w:rPr>
              <w:t>no</w:t>
            </w:r>
            <w:r w:rsidRPr="00640161">
              <w:rPr>
                <w:rFonts w:asciiTheme="minorHAnsi" w:hAnsiTheme="minorHAnsi" w:cstheme="minorHAnsi"/>
                <w:spacing w:val="-6"/>
              </w:rPr>
              <w:t xml:space="preserve"> </w:t>
            </w:r>
            <w:r w:rsidRPr="00640161">
              <w:rPr>
                <w:rFonts w:asciiTheme="minorHAnsi" w:hAnsiTheme="minorHAnsi" w:cstheme="minorHAnsi"/>
              </w:rPr>
              <w:t>harm:</w:t>
            </w:r>
            <w:r w:rsidRPr="00640161">
              <w:rPr>
                <w:rFonts w:asciiTheme="minorHAnsi" w:hAnsiTheme="minorHAnsi" w:cstheme="minorHAnsi"/>
                <w:spacing w:val="-5"/>
              </w:rPr>
              <w:t xml:space="preserve"> </w:t>
            </w:r>
            <w:r w:rsidRPr="00640161">
              <w:rPr>
                <w:rFonts w:asciiTheme="minorHAnsi" w:hAnsiTheme="minorHAnsi" w:cstheme="minorHAnsi"/>
              </w:rPr>
              <w:t>A</w:t>
            </w:r>
            <w:r w:rsidRPr="00640161">
              <w:rPr>
                <w:rFonts w:asciiTheme="minorHAnsi" w:hAnsiTheme="minorHAnsi" w:cstheme="minorHAnsi"/>
                <w:spacing w:val="-6"/>
              </w:rPr>
              <w:t xml:space="preserve"> </w:t>
            </w:r>
            <w:r w:rsidRPr="00640161">
              <w:rPr>
                <w:rFonts w:asciiTheme="minorHAnsi" w:hAnsiTheme="minorHAnsi" w:cstheme="minorHAnsi"/>
              </w:rPr>
              <w:t>guide</w:t>
            </w:r>
            <w:r w:rsidRPr="00640161">
              <w:rPr>
                <w:rFonts w:asciiTheme="minorHAnsi" w:hAnsiTheme="minorHAnsi" w:cstheme="minorHAnsi"/>
                <w:spacing w:val="-6"/>
              </w:rPr>
              <w:t xml:space="preserve"> </w:t>
            </w:r>
            <w:r w:rsidRPr="00640161">
              <w:rPr>
                <w:rFonts w:asciiTheme="minorHAnsi" w:hAnsiTheme="minorHAnsi" w:cstheme="minorHAnsi"/>
              </w:rPr>
              <w:t>to</w:t>
            </w:r>
            <w:r w:rsidRPr="00640161">
              <w:rPr>
                <w:rFonts w:asciiTheme="minorHAnsi" w:hAnsiTheme="minorHAnsi" w:cstheme="minorHAnsi"/>
                <w:spacing w:val="-6"/>
              </w:rPr>
              <w:t xml:space="preserve"> </w:t>
            </w:r>
            <w:r w:rsidRPr="00640161">
              <w:rPr>
                <w:rFonts w:asciiTheme="minorHAnsi" w:hAnsiTheme="minorHAnsi" w:cstheme="minorHAnsi"/>
              </w:rPr>
              <w:t>choosing wisely in general practice, 2022</w:t>
            </w:r>
          </w:p>
          <w:p w14:paraId="4698412F" w14:textId="77777777" w:rsidR="00094656" w:rsidRPr="00640161" w:rsidRDefault="00094656" w:rsidP="0067273F">
            <w:pPr>
              <w:pStyle w:val="TableParagraph"/>
              <w:ind w:left="0"/>
              <w:rPr>
                <w:rFonts w:asciiTheme="minorHAnsi" w:hAnsiTheme="minorHAnsi" w:cstheme="minorHAnsi"/>
                <w:b/>
              </w:rPr>
            </w:pPr>
          </w:p>
          <w:p w14:paraId="5A09758C" w14:textId="77777777" w:rsidR="00094656" w:rsidRPr="00640161" w:rsidRDefault="00094656" w:rsidP="0067273F">
            <w:pPr>
              <w:pStyle w:val="TableParagraph"/>
              <w:ind w:right="97"/>
              <w:rPr>
                <w:rFonts w:asciiTheme="minorHAnsi" w:hAnsiTheme="minorHAnsi" w:cstheme="minorHAnsi"/>
                <w:color w:val="0563C1"/>
                <w:spacing w:val="-2"/>
                <w:u w:val="single" w:color="0563C1"/>
              </w:rPr>
            </w:pPr>
            <w:hyperlink r:id="rId75">
              <w:r w:rsidRPr="00640161">
                <w:rPr>
                  <w:rFonts w:asciiTheme="minorHAnsi" w:hAnsiTheme="minorHAnsi" w:cstheme="minorHAnsi"/>
                  <w:color w:val="0563C1"/>
                  <w:spacing w:val="-2"/>
                  <w:u w:val="single" w:color="0563C1"/>
                </w:rPr>
                <w:t>https://w</w:t>
              </w:r>
            </w:hyperlink>
            <w:r w:rsidRPr="00640161">
              <w:rPr>
                <w:rFonts w:asciiTheme="minorHAnsi" w:hAnsiTheme="minorHAnsi" w:cstheme="minorHAnsi"/>
                <w:color w:val="0563C1"/>
                <w:spacing w:val="-2"/>
                <w:u w:val="single" w:color="0563C1"/>
              </w:rPr>
              <w:t>ww.racg</w:t>
            </w:r>
            <w:hyperlink r:id="rId76">
              <w:r w:rsidRPr="00640161">
                <w:rPr>
                  <w:rFonts w:asciiTheme="minorHAnsi" w:hAnsiTheme="minorHAnsi" w:cstheme="minorHAnsi"/>
                  <w:color w:val="0563C1"/>
                  <w:spacing w:val="-2"/>
                  <w:u w:val="single" w:color="0563C1"/>
                </w:rPr>
                <w:t>p.org</w:t>
              </w:r>
            </w:hyperlink>
            <w:r w:rsidRPr="00640161">
              <w:rPr>
                <w:rFonts w:asciiTheme="minorHAnsi" w:hAnsiTheme="minorHAnsi" w:cstheme="minorHAnsi"/>
                <w:color w:val="0563C1"/>
                <w:spacing w:val="-2"/>
                <w:u w:val="single" w:color="0563C1"/>
              </w:rPr>
              <w:t>.</w:t>
            </w:r>
            <w:hyperlink r:id="rId77">
              <w:r w:rsidRPr="00640161">
                <w:rPr>
                  <w:rFonts w:asciiTheme="minorHAnsi" w:hAnsiTheme="minorHAnsi" w:cstheme="minorHAnsi"/>
                  <w:color w:val="0563C1"/>
                  <w:spacing w:val="-2"/>
                  <w:u w:val="single" w:color="0563C1"/>
                </w:rPr>
                <w:t>au/clinical-</w:t>
              </w:r>
            </w:hyperlink>
            <w:r w:rsidRPr="00640161">
              <w:rPr>
                <w:rFonts w:asciiTheme="minorHAnsi" w:hAnsiTheme="minorHAnsi" w:cstheme="minorHAnsi"/>
                <w:color w:val="0563C1"/>
                <w:spacing w:val="-2"/>
                <w:u w:val="single" w:color="0563C1"/>
              </w:rPr>
              <w:t>resources/clinical-guidelines/key-racgp-guidelines/view-all-racgp-guidelines/first-do-no-harm/about-first-do-no-harm/</w:t>
            </w:r>
          </w:p>
        </w:tc>
        <w:tc>
          <w:tcPr>
            <w:tcW w:w="1417" w:type="dxa"/>
          </w:tcPr>
          <w:p w14:paraId="37EF7505"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 xml:space="preserve">RACGP </w:t>
            </w:r>
          </w:p>
        </w:tc>
        <w:tc>
          <w:tcPr>
            <w:tcW w:w="1560" w:type="dxa"/>
          </w:tcPr>
          <w:p w14:paraId="78690FA3"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7189E3B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w:t>
            </w:r>
            <w:r w:rsidRPr="00640161">
              <w:rPr>
                <w:rFonts w:asciiTheme="minorHAnsi" w:hAnsiTheme="minorHAnsi" w:cstheme="minorHAnsi"/>
                <w:spacing w:val="-10"/>
              </w:rPr>
              <w:t xml:space="preserve"> </w:t>
            </w:r>
            <w:r>
              <w:rPr>
                <w:rFonts w:asciiTheme="minorHAnsi" w:hAnsiTheme="minorHAnsi" w:cstheme="minorHAnsi"/>
              </w:rPr>
              <w:t>not</w:t>
            </w:r>
            <w:r w:rsidRPr="00640161">
              <w:rPr>
                <w:rFonts w:asciiTheme="minorHAnsi" w:hAnsiTheme="minorHAnsi" w:cstheme="minorHAnsi"/>
                <w:spacing w:val="-10"/>
              </w:rPr>
              <w:t xml:space="preserve">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text search; use only “women”.</w:t>
            </w:r>
          </w:p>
        </w:tc>
        <w:tc>
          <w:tcPr>
            <w:tcW w:w="1984" w:type="dxa"/>
          </w:tcPr>
          <w:p w14:paraId="51F1B4ED"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“Women”</w:t>
            </w:r>
            <w:r w:rsidRPr="00640161">
              <w:rPr>
                <w:rFonts w:asciiTheme="minorHAnsi" w:hAnsiTheme="minorHAnsi" w:cstheme="minorHAnsi"/>
                <w:spacing w:val="-12"/>
              </w:rPr>
              <w:t xml:space="preserve"> </w:t>
            </w:r>
            <w:r w:rsidRPr="00640161">
              <w:rPr>
                <w:rFonts w:asciiTheme="minorHAnsi" w:hAnsiTheme="minorHAnsi" w:cstheme="minorHAnsi"/>
              </w:rPr>
              <w:t>mentioned</w:t>
            </w:r>
            <w:r w:rsidRPr="00640161">
              <w:rPr>
                <w:rFonts w:asciiTheme="minorHAnsi" w:hAnsiTheme="minorHAnsi" w:cstheme="minorHAnsi"/>
                <w:spacing w:val="-13"/>
              </w:rPr>
              <w:t xml:space="preserve"> </w:t>
            </w:r>
            <w:r w:rsidRPr="00640161">
              <w:rPr>
                <w:rFonts w:asciiTheme="minorHAnsi" w:hAnsiTheme="minorHAnsi" w:cstheme="minorHAnsi"/>
              </w:rPr>
              <w:t>in</w:t>
            </w:r>
            <w:r w:rsidRPr="00640161">
              <w:rPr>
                <w:rFonts w:asciiTheme="minorHAnsi" w:hAnsiTheme="minorHAnsi" w:cstheme="minorHAnsi"/>
                <w:spacing w:val="-12"/>
              </w:rPr>
              <w:t xml:space="preserve"> </w:t>
            </w:r>
            <w:r w:rsidRPr="00640161">
              <w:rPr>
                <w:rFonts w:asciiTheme="minorHAnsi" w:hAnsiTheme="minorHAnsi" w:cstheme="minorHAnsi"/>
              </w:rPr>
              <w:t>relation to management of thyroid test.</w:t>
            </w:r>
          </w:p>
        </w:tc>
        <w:tc>
          <w:tcPr>
            <w:tcW w:w="1843" w:type="dxa"/>
          </w:tcPr>
          <w:p w14:paraId="40B6D305"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0CA4860"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 details of method; “evidence-based”, consultation process.</w:t>
            </w:r>
          </w:p>
        </w:tc>
      </w:tr>
      <w:tr w:rsidR="00094656" w:rsidRPr="00640161" w14:paraId="144A9EF8" w14:textId="77777777" w:rsidTr="0067273F">
        <w:trPr>
          <w:cantSplit/>
        </w:trPr>
        <w:tc>
          <w:tcPr>
            <w:tcW w:w="1575" w:type="dxa"/>
          </w:tcPr>
          <w:p w14:paraId="6A09F384"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1AD003C5" w14:textId="77777777" w:rsidR="00094656" w:rsidRPr="00640161" w:rsidRDefault="00094656" w:rsidP="0067273F">
            <w:pPr>
              <w:pStyle w:val="TableParagraph"/>
              <w:ind w:right="97"/>
              <w:rPr>
                <w:rFonts w:asciiTheme="minorHAnsi" w:hAnsiTheme="minorHAnsi" w:cstheme="minorHAnsi"/>
              </w:rPr>
            </w:pPr>
            <w:r w:rsidRPr="000F2375">
              <w:rPr>
                <w:rFonts w:asciiTheme="minorHAnsi" w:hAnsiTheme="minorHAnsi" w:cstheme="minorHAnsi"/>
              </w:rPr>
              <w:t>Abuse</w:t>
            </w:r>
            <w:r w:rsidRPr="000F2375">
              <w:rPr>
                <w:rFonts w:asciiTheme="minorHAnsi" w:hAnsiTheme="minorHAnsi" w:cstheme="minorHAnsi"/>
                <w:spacing w:val="-7"/>
              </w:rPr>
              <w:t xml:space="preserve"> </w:t>
            </w:r>
            <w:r w:rsidRPr="000F2375">
              <w:rPr>
                <w:rFonts w:asciiTheme="minorHAnsi" w:hAnsiTheme="minorHAnsi" w:cstheme="minorHAnsi"/>
              </w:rPr>
              <w:t>and</w:t>
            </w:r>
            <w:r w:rsidRPr="000F2375">
              <w:rPr>
                <w:rFonts w:asciiTheme="minorHAnsi" w:hAnsiTheme="minorHAnsi" w:cstheme="minorHAnsi"/>
                <w:spacing w:val="-7"/>
              </w:rPr>
              <w:t xml:space="preserve"> </w:t>
            </w:r>
            <w:r w:rsidRPr="000F2375">
              <w:rPr>
                <w:rFonts w:asciiTheme="minorHAnsi" w:hAnsiTheme="minorHAnsi" w:cstheme="minorHAnsi"/>
              </w:rPr>
              <w:t>violence</w:t>
            </w:r>
            <w:r w:rsidRPr="000F2375">
              <w:rPr>
                <w:rFonts w:asciiTheme="minorHAnsi" w:hAnsiTheme="minorHAnsi" w:cstheme="minorHAnsi"/>
                <w:spacing w:val="-7"/>
              </w:rPr>
              <w:t xml:space="preserve"> </w:t>
            </w:r>
            <w:r w:rsidRPr="000F2375">
              <w:rPr>
                <w:rFonts w:asciiTheme="minorHAnsi" w:hAnsiTheme="minorHAnsi" w:cstheme="minorHAnsi"/>
              </w:rPr>
              <w:t>-</w:t>
            </w:r>
            <w:r w:rsidRPr="000F2375">
              <w:rPr>
                <w:rFonts w:asciiTheme="minorHAnsi" w:hAnsiTheme="minorHAnsi" w:cstheme="minorHAnsi"/>
                <w:spacing w:val="-7"/>
              </w:rPr>
              <w:t xml:space="preserve"> </w:t>
            </w:r>
            <w:r w:rsidRPr="000F2375">
              <w:rPr>
                <w:rFonts w:asciiTheme="minorHAnsi" w:hAnsiTheme="minorHAnsi" w:cstheme="minorHAnsi"/>
              </w:rPr>
              <w:t>Working</w:t>
            </w:r>
            <w:r w:rsidRPr="000F2375">
              <w:rPr>
                <w:rFonts w:asciiTheme="minorHAnsi" w:hAnsiTheme="minorHAnsi" w:cstheme="minorHAnsi"/>
                <w:spacing w:val="-7"/>
              </w:rPr>
              <w:t xml:space="preserve"> </w:t>
            </w:r>
            <w:r w:rsidRPr="000F2375">
              <w:rPr>
                <w:rFonts w:asciiTheme="minorHAnsi" w:hAnsiTheme="minorHAnsi" w:cstheme="minorHAnsi"/>
              </w:rPr>
              <w:t>with</w:t>
            </w:r>
            <w:r w:rsidRPr="000F2375">
              <w:rPr>
                <w:rFonts w:asciiTheme="minorHAnsi" w:hAnsiTheme="minorHAnsi" w:cstheme="minorHAnsi"/>
                <w:spacing w:val="-7"/>
              </w:rPr>
              <w:t xml:space="preserve"> </w:t>
            </w:r>
            <w:r w:rsidRPr="000F2375">
              <w:rPr>
                <w:rFonts w:asciiTheme="minorHAnsi" w:hAnsiTheme="minorHAnsi" w:cstheme="minorHAnsi"/>
              </w:rPr>
              <w:t>our patients in general practice, 2022</w:t>
            </w:r>
          </w:p>
          <w:p w14:paraId="392D56DD" w14:textId="77777777" w:rsidR="00094656" w:rsidRPr="00640161" w:rsidRDefault="00094656" w:rsidP="0067273F">
            <w:pPr>
              <w:pStyle w:val="TableParagraph"/>
              <w:ind w:left="0"/>
              <w:rPr>
                <w:rFonts w:asciiTheme="minorHAnsi" w:hAnsiTheme="minorHAnsi" w:cstheme="minorHAnsi"/>
                <w:b/>
              </w:rPr>
            </w:pPr>
          </w:p>
          <w:p w14:paraId="1B6A1BE7" w14:textId="77777777" w:rsidR="00094656" w:rsidRPr="00640161" w:rsidRDefault="00094656" w:rsidP="0067273F">
            <w:pPr>
              <w:pStyle w:val="TableParagraph"/>
              <w:ind w:right="97"/>
              <w:rPr>
                <w:rFonts w:asciiTheme="minorHAnsi" w:hAnsiTheme="minorHAnsi" w:cstheme="minorHAnsi"/>
                <w:color w:val="0563C1"/>
                <w:spacing w:val="-2"/>
                <w:u w:val="single" w:color="0563C1"/>
              </w:rPr>
            </w:pPr>
            <w:hyperlink r:id="rId78">
              <w:r w:rsidRPr="00640161">
                <w:rPr>
                  <w:rFonts w:asciiTheme="minorHAnsi" w:hAnsiTheme="minorHAnsi" w:cstheme="minorHAnsi"/>
                  <w:color w:val="0563C1"/>
                  <w:spacing w:val="-2"/>
                  <w:u w:val="single" w:color="0563C1"/>
                </w:rPr>
                <w:t>https://w</w:t>
              </w:r>
            </w:hyperlink>
            <w:r w:rsidRPr="00640161">
              <w:rPr>
                <w:rFonts w:asciiTheme="minorHAnsi" w:hAnsiTheme="minorHAnsi" w:cstheme="minorHAnsi"/>
                <w:color w:val="0563C1"/>
                <w:spacing w:val="-2"/>
                <w:u w:val="single" w:color="0563C1"/>
              </w:rPr>
              <w:t>ww.racg</w:t>
            </w:r>
            <w:hyperlink r:id="rId79">
              <w:r w:rsidRPr="00640161">
                <w:rPr>
                  <w:rFonts w:asciiTheme="minorHAnsi" w:hAnsiTheme="minorHAnsi" w:cstheme="minorHAnsi"/>
                  <w:color w:val="0563C1"/>
                  <w:spacing w:val="-2"/>
                  <w:u w:val="single" w:color="0563C1"/>
                </w:rPr>
                <w:t>p.org</w:t>
              </w:r>
            </w:hyperlink>
            <w:r w:rsidRPr="00640161">
              <w:rPr>
                <w:rFonts w:asciiTheme="minorHAnsi" w:hAnsiTheme="minorHAnsi" w:cstheme="minorHAnsi"/>
                <w:color w:val="0563C1"/>
                <w:spacing w:val="-2"/>
                <w:u w:val="single" w:color="0563C1"/>
              </w:rPr>
              <w:t>.</w:t>
            </w:r>
            <w:hyperlink r:id="rId80">
              <w:r w:rsidRPr="00640161">
                <w:rPr>
                  <w:rFonts w:asciiTheme="minorHAnsi" w:hAnsiTheme="minorHAnsi" w:cstheme="minorHAnsi"/>
                  <w:color w:val="0563C1"/>
                  <w:spacing w:val="-2"/>
                  <w:u w:val="single" w:color="0563C1"/>
                </w:rPr>
                <w:t>au/getattachme</w:t>
              </w:r>
            </w:hyperlink>
            <w:r w:rsidRPr="00640161">
              <w:rPr>
                <w:rFonts w:asciiTheme="minorHAnsi" w:hAnsiTheme="minorHAnsi" w:cstheme="minorHAnsi"/>
                <w:color w:val="0563C1"/>
                <w:spacing w:val="-2"/>
                <w:u w:val="single" w:color="0563C1"/>
              </w:rPr>
              <w:t>nt/4ab6102c-67d9-4440-9398-a3ae759164ef/Abuse-and-violence-Working-with-our-patients-in-general-practice.aspx</w:t>
            </w:r>
          </w:p>
          <w:p w14:paraId="50BD288F" w14:textId="77777777" w:rsidR="00094656" w:rsidRPr="00640161" w:rsidRDefault="00094656" w:rsidP="0067273F">
            <w:pPr>
              <w:pStyle w:val="TableParagraph"/>
              <w:ind w:right="97"/>
              <w:rPr>
                <w:rFonts w:asciiTheme="minorHAnsi" w:hAnsiTheme="minorHAnsi" w:cstheme="minorHAnsi"/>
              </w:rPr>
            </w:pPr>
          </w:p>
        </w:tc>
        <w:tc>
          <w:tcPr>
            <w:tcW w:w="1417" w:type="dxa"/>
          </w:tcPr>
          <w:p w14:paraId="03C9E645"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RACGP</w:t>
            </w:r>
          </w:p>
        </w:tc>
        <w:tc>
          <w:tcPr>
            <w:tcW w:w="1560" w:type="dxa"/>
          </w:tcPr>
          <w:p w14:paraId="7393A341"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01EAEBAE" w14:textId="77777777" w:rsidR="00094656" w:rsidRDefault="00094656" w:rsidP="0067273F">
            <w:pPr>
              <w:pStyle w:val="TableParagraph"/>
              <w:rPr>
                <w:rFonts w:asciiTheme="minorHAnsi" w:hAnsiTheme="minorHAnsi" w:cstheme="minorHAnsi"/>
              </w:rPr>
            </w:pPr>
            <w:r>
              <w:rPr>
                <w:rFonts w:asciiTheme="minorHAnsi" w:hAnsiTheme="minorHAnsi" w:cstheme="minorHAnsi"/>
              </w:rPr>
              <w:t>“G</w:t>
            </w:r>
            <w:r w:rsidRPr="00640161">
              <w:rPr>
                <w:rFonts w:asciiTheme="minorHAnsi" w:hAnsiTheme="minorHAnsi" w:cstheme="minorHAnsi"/>
              </w:rPr>
              <w:t>ender”</w:t>
            </w:r>
            <w:r>
              <w:rPr>
                <w:rFonts w:asciiTheme="minorHAnsi" w:hAnsiTheme="minorHAnsi" w:cstheme="minorHAnsi"/>
              </w:rPr>
              <w:t xml:space="preserve"> not defined but used appropriately. “Women”, “men” throughout.</w:t>
            </w:r>
          </w:p>
          <w:p w14:paraId="2C601774"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“Sex” not identified in text search.</w:t>
            </w:r>
          </w:p>
        </w:tc>
        <w:tc>
          <w:tcPr>
            <w:tcW w:w="1984" w:type="dxa"/>
          </w:tcPr>
          <w:p w14:paraId="7D707B2E"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Implicit.</w:t>
            </w:r>
          </w:p>
        </w:tc>
        <w:tc>
          <w:tcPr>
            <w:tcW w:w="1843" w:type="dxa"/>
          </w:tcPr>
          <w:p w14:paraId="5F3293D6"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Clarify root causes of violence: gendered discrimination, social/gender norms that condone</w:t>
            </w:r>
            <w:r w:rsidRPr="00640161">
              <w:rPr>
                <w:rFonts w:asciiTheme="minorHAnsi" w:hAnsiTheme="minorHAnsi" w:cstheme="minorHAnsi"/>
                <w:spacing w:val="-13"/>
              </w:rPr>
              <w:t xml:space="preserve"> </w:t>
            </w:r>
            <w:r w:rsidRPr="00640161">
              <w:rPr>
                <w:rFonts w:asciiTheme="minorHAnsi" w:hAnsiTheme="minorHAnsi" w:cstheme="minorHAnsi"/>
              </w:rPr>
              <w:t>violence,</w:t>
            </w:r>
            <w:r w:rsidRPr="00640161">
              <w:rPr>
                <w:rFonts w:asciiTheme="minorHAnsi" w:hAnsiTheme="minorHAnsi" w:cstheme="minorHAnsi"/>
                <w:spacing w:val="-12"/>
              </w:rPr>
              <w:t xml:space="preserve"> </w:t>
            </w:r>
            <w:r w:rsidRPr="00640161">
              <w:rPr>
                <w:rFonts w:asciiTheme="minorHAnsi" w:hAnsiTheme="minorHAnsi" w:cstheme="minorHAnsi"/>
              </w:rPr>
              <w:t>unequal</w:t>
            </w:r>
            <w:r w:rsidRPr="00640161">
              <w:rPr>
                <w:rFonts w:asciiTheme="minorHAnsi" w:hAnsiTheme="minorHAnsi" w:cstheme="minorHAnsi"/>
                <w:spacing w:val="-13"/>
              </w:rPr>
              <w:t xml:space="preserve"> </w:t>
            </w:r>
            <w:r w:rsidRPr="00640161">
              <w:rPr>
                <w:rFonts w:asciiTheme="minorHAnsi" w:hAnsiTheme="minorHAnsi" w:cstheme="minorHAnsi"/>
              </w:rPr>
              <w:t>power between women &amp; men.</w:t>
            </w:r>
          </w:p>
        </w:tc>
        <w:tc>
          <w:tcPr>
            <w:tcW w:w="1276" w:type="dxa"/>
          </w:tcPr>
          <w:p w14:paraId="325E69CF" w14:textId="77777777" w:rsidR="00094656" w:rsidRPr="00640161" w:rsidRDefault="00094656" w:rsidP="0067273F">
            <w:pPr>
              <w:pStyle w:val="TableParagraph"/>
              <w:ind w:left="104" w:right="111"/>
              <w:rPr>
                <w:rFonts w:asciiTheme="minorHAnsi" w:hAnsiTheme="minorHAnsi" w:cstheme="minorHAnsi"/>
              </w:rPr>
            </w:pPr>
            <w:r>
              <w:rPr>
                <w:rFonts w:asciiTheme="minorHAnsi" w:hAnsiTheme="minorHAnsi" w:cstheme="minorHAnsi"/>
              </w:rPr>
              <w:t>GRADE</w:t>
            </w:r>
          </w:p>
          <w:p w14:paraId="6B0E07B5" w14:textId="77777777" w:rsidR="00094656" w:rsidRPr="00640161" w:rsidRDefault="00094656" w:rsidP="0067273F">
            <w:pPr>
              <w:pStyle w:val="TableParagraph"/>
              <w:ind w:left="104"/>
              <w:rPr>
                <w:rFonts w:asciiTheme="minorHAnsi" w:hAnsiTheme="minorHAnsi" w:cstheme="minorHAnsi"/>
              </w:rPr>
            </w:pPr>
          </w:p>
        </w:tc>
      </w:tr>
      <w:tr w:rsidR="00094656" w:rsidRPr="00640161" w14:paraId="6AB2ADA4" w14:textId="77777777" w:rsidTr="0067273F">
        <w:trPr>
          <w:cantSplit/>
        </w:trPr>
        <w:tc>
          <w:tcPr>
            <w:tcW w:w="1575" w:type="dxa"/>
          </w:tcPr>
          <w:p w14:paraId="0DC15F72" w14:textId="77777777" w:rsidR="00094656" w:rsidRPr="00640161" w:rsidRDefault="00094656" w:rsidP="0067273F">
            <w:pPr>
              <w:pStyle w:val="TableParagraph"/>
              <w:ind w:left="108" w:right="96"/>
              <w:rPr>
                <w:rFonts w:asciiTheme="minorHAnsi" w:hAnsiTheme="minorHAnsi" w:cstheme="minorHAnsi"/>
                <w:b/>
                <w:spacing w:val="-2"/>
              </w:rPr>
            </w:pPr>
            <w:r w:rsidRPr="00640161">
              <w:rPr>
                <w:rFonts w:asciiTheme="minorHAnsi" w:hAnsiTheme="minorHAnsi" w:cstheme="minorHAnsi"/>
                <w:b/>
              </w:rPr>
              <w:lastRenderedPageBreak/>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tc>
        <w:tc>
          <w:tcPr>
            <w:tcW w:w="3119" w:type="dxa"/>
          </w:tcPr>
          <w:p w14:paraId="4E77599A" w14:textId="77777777" w:rsidR="00094656" w:rsidRPr="00640161" w:rsidRDefault="00094656" w:rsidP="0067273F">
            <w:pPr>
              <w:pStyle w:val="TableParagraph"/>
              <w:ind w:right="97"/>
              <w:rPr>
                <w:rFonts w:asciiTheme="minorHAnsi" w:hAnsiTheme="minorHAnsi" w:cstheme="minorHAnsi"/>
              </w:rPr>
            </w:pPr>
            <w:r w:rsidRPr="00262E46">
              <w:rPr>
                <w:rFonts w:asciiTheme="minorHAnsi" w:hAnsiTheme="minorHAnsi" w:cstheme="minorHAnsi"/>
              </w:rPr>
              <w:t>RACGP</w:t>
            </w:r>
            <w:r w:rsidRPr="00262E46">
              <w:rPr>
                <w:rFonts w:asciiTheme="minorHAnsi" w:hAnsiTheme="minorHAnsi" w:cstheme="minorHAnsi"/>
                <w:spacing w:val="-8"/>
              </w:rPr>
              <w:t xml:space="preserve"> </w:t>
            </w:r>
            <w:r w:rsidRPr="00262E46">
              <w:rPr>
                <w:rFonts w:asciiTheme="minorHAnsi" w:hAnsiTheme="minorHAnsi" w:cstheme="minorHAnsi"/>
              </w:rPr>
              <w:t>aged</w:t>
            </w:r>
            <w:r w:rsidRPr="00262E46">
              <w:rPr>
                <w:rFonts w:asciiTheme="minorHAnsi" w:hAnsiTheme="minorHAnsi" w:cstheme="minorHAnsi"/>
                <w:spacing w:val="-8"/>
              </w:rPr>
              <w:t xml:space="preserve"> </w:t>
            </w:r>
            <w:r w:rsidRPr="00262E46">
              <w:rPr>
                <w:rFonts w:asciiTheme="minorHAnsi" w:hAnsiTheme="minorHAnsi" w:cstheme="minorHAnsi"/>
              </w:rPr>
              <w:t>care</w:t>
            </w:r>
            <w:r w:rsidRPr="00262E46">
              <w:rPr>
                <w:rFonts w:asciiTheme="minorHAnsi" w:hAnsiTheme="minorHAnsi" w:cstheme="minorHAnsi"/>
                <w:spacing w:val="-8"/>
              </w:rPr>
              <w:t xml:space="preserve"> </w:t>
            </w:r>
            <w:r w:rsidRPr="00262E46">
              <w:rPr>
                <w:rFonts w:asciiTheme="minorHAnsi" w:hAnsiTheme="minorHAnsi" w:cstheme="minorHAnsi"/>
              </w:rPr>
              <w:t>clinical</w:t>
            </w:r>
            <w:r w:rsidRPr="00262E46">
              <w:rPr>
                <w:rFonts w:asciiTheme="minorHAnsi" w:hAnsiTheme="minorHAnsi" w:cstheme="minorHAnsi"/>
                <w:spacing w:val="-8"/>
              </w:rPr>
              <w:t xml:space="preserve"> </w:t>
            </w:r>
            <w:r w:rsidRPr="00262E46">
              <w:rPr>
                <w:rFonts w:asciiTheme="minorHAnsi" w:hAnsiTheme="minorHAnsi" w:cstheme="minorHAnsi"/>
              </w:rPr>
              <w:t>guide</w:t>
            </w:r>
            <w:r w:rsidRPr="00262E46">
              <w:rPr>
                <w:rFonts w:asciiTheme="minorHAnsi" w:hAnsiTheme="minorHAnsi" w:cstheme="minorHAnsi"/>
                <w:spacing w:val="-8"/>
              </w:rPr>
              <w:t xml:space="preserve"> </w:t>
            </w:r>
            <w:r w:rsidRPr="00262E46">
              <w:rPr>
                <w:rFonts w:asciiTheme="minorHAnsi" w:hAnsiTheme="minorHAnsi" w:cstheme="minorHAnsi"/>
              </w:rPr>
              <w:t xml:space="preserve">(Silver Book), </w:t>
            </w:r>
            <w:r>
              <w:rPr>
                <w:rFonts w:asciiTheme="minorHAnsi" w:hAnsiTheme="minorHAnsi" w:cstheme="minorHAnsi"/>
              </w:rPr>
              <w:t>5</w:t>
            </w:r>
            <w:r w:rsidRPr="00262E46">
              <w:rPr>
                <w:rFonts w:asciiTheme="minorHAnsi" w:hAnsiTheme="minorHAnsi" w:cstheme="minorHAnsi"/>
                <w:vertAlign w:val="superscript"/>
              </w:rPr>
              <w:t>th</w:t>
            </w:r>
            <w:r>
              <w:rPr>
                <w:rFonts w:asciiTheme="minorHAnsi" w:hAnsiTheme="minorHAnsi" w:cstheme="minorHAnsi"/>
              </w:rPr>
              <w:t xml:space="preserve"> edition, </w:t>
            </w:r>
            <w:r w:rsidRPr="00262E46">
              <w:rPr>
                <w:rFonts w:asciiTheme="minorHAnsi" w:hAnsiTheme="minorHAnsi" w:cstheme="minorHAnsi"/>
              </w:rPr>
              <w:t>2023</w:t>
            </w:r>
          </w:p>
          <w:p w14:paraId="53B543D5" w14:textId="77777777" w:rsidR="00094656" w:rsidRPr="00640161" w:rsidRDefault="00094656" w:rsidP="0067273F">
            <w:pPr>
              <w:pStyle w:val="TableParagraph"/>
              <w:ind w:left="0"/>
              <w:rPr>
                <w:rFonts w:asciiTheme="minorHAnsi" w:hAnsiTheme="minorHAnsi" w:cstheme="minorHAnsi"/>
                <w:b/>
              </w:rPr>
            </w:pPr>
          </w:p>
          <w:p w14:paraId="6BF828E1" w14:textId="77777777" w:rsidR="00094656" w:rsidRPr="00640161" w:rsidRDefault="00094656" w:rsidP="0067273F">
            <w:pPr>
              <w:pStyle w:val="TableParagraph"/>
              <w:ind w:right="97"/>
              <w:rPr>
                <w:rFonts w:asciiTheme="minorHAnsi" w:hAnsiTheme="minorHAnsi" w:cstheme="minorHAnsi"/>
              </w:rPr>
            </w:pPr>
            <w:hyperlink r:id="rId81">
              <w:r w:rsidRPr="00640161">
                <w:rPr>
                  <w:rFonts w:asciiTheme="minorHAnsi" w:hAnsiTheme="minorHAnsi" w:cstheme="minorHAnsi"/>
                  <w:color w:val="0563C1"/>
                  <w:spacing w:val="-2"/>
                  <w:u w:val="single" w:color="0563C1"/>
                </w:rPr>
                <w:t>https://w</w:t>
              </w:r>
            </w:hyperlink>
            <w:r w:rsidRPr="00640161">
              <w:rPr>
                <w:rFonts w:asciiTheme="minorHAnsi" w:hAnsiTheme="minorHAnsi" w:cstheme="minorHAnsi"/>
                <w:color w:val="0563C1"/>
                <w:spacing w:val="-2"/>
                <w:u w:val="single" w:color="0563C1"/>
              </w:rPr>
              <w:t>ww.racg</w:t>
            </w:r>
            <w:hyperlink r:id="rId82">
              <w:r w:rsidRPr="00640161">
                <w:rPr>
                  <w:rFonts w:asciiTheme="minorHAnsi" w:hAnsiTheme="minorHAnsi" w:cstheme="minorHAnsi"/>
                  <w:color w:val="0563C1"/>
                  <w:spacing w:val="-2"/>
                  <w:u w:val="single" w:color="0563C1"/>
                </w:rPr>
                <w:t>p.org</w:t>
              </w:r>
            </w:hyperlink>
            <w:r w:rsidRPr="00640161">
              <w:rPr>
                <w:rFonts w:asciiTheme="minorHAnsi" w:hAnsiTheme="minorHAnsi" w:cstheme="minorHAnsi"/>
                <w:color w:val="0563C1"/>
                <w:spacing w:val="-2"/>
                <w:u w:val="single" w:color="0563C1"/>
              </w:rPr>
              <w:t>.</w:t>
            </w:r>
            <w:hyperlink r:id="rId83">
              <w:r w:rsidRPr="00640161">
                <w:rPr>
                  <w:rFonts w:asciiTheme="minorHAnsi" w:hAnsiTheme="minorHAnsi" w:cstheme="minorHAnsi"/>
                  <w:color w:val="0563C1"/>
                  <w:spacing w:val="-2"/>
                  <w:u w:val="single" w:color="0563C1"/>
                </w:rPr>
                <w:t>au/silverbook</w:t>
              </w:r>
            </w:hyperlink>
          </w:p>
        </w:tc>
        <w:tc>
          <w:tcPr>
            <w:tcW w:w="1417" w:type="dxa"/>
          </w:tcPr>
          <w:p w14:paraId="2A452C29"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RACGP</w:t>
            </w:r>
          </w:p>
        </w:tc>
        <w:tc>
          <w:tcPr>
            <w:tcW w:w="1560" w:type="dxa"/>
          </w:tcPr>
          <w:p w14:paraId="3ABBF471"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579D5AD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for “sex”. “Sex” used appropriately. “Women, “men” used.</w:t>
            </w:r>
          </w:p>
        </w:tc>
        <w:tc>
          <w:tcPr>
            <w:tcW w:w="1984" w:type="dxa"/>
          </w:tcPr>
          <w:p w14:paraId="4AB277AB" w14:textId="77777777" w:rsidR="00094656" w:rsidRDefault="00094656" w:rsidP="0067273F">
            <w:pPr>
              <w:pStyle w:val="TableParagraph"/>
              <w:ind w:left="108" w:right="96"/>
              <w:rPr>
                <w:rFonts w:asciiTheme="minorHAnsi" w:hAnsiTheme="minorHAnsi" w:cstheme="minorHAnsi"/>
                <w:spacing w:val="-2"/>
              </w:rPr>
            </w:pPr>
            <w:r w:rsidRPr="00640161">
              <w:rPr>
                <w:rFonts w:asciiTheme="minorHAnsi" w:hAnsiTheme="minorHAnsi" w:cstheme="minorHAnsi"/>
              </w:rPr>
              <w:t>Sex-related</w:t>
            </w:r>
            <w:r w:rsidRPr="00640161">
              <w:rPr>
                <w:rFonts w:asciiTheme="minorHAnsi" w:hAnsiTheme="minorHAnsi" w:cstheme="minorHAnsi"/>
                <w:spacing w:val="-13"/>
              </w:rPr>
              <w:t xml:space="preserve"> </w:t>
            </w:r>
            <w:r w:rsidRPr="00640161">
              <w:rPr>
                <w:rFonts w:asciiTheme="minorHAnsi" w:hAnsiTheme="minorHAnsi" w:cstheme="minorHAnsi"/>
              </w:rPr>
              <w:t>risk</w:t>
            </w:r>
            <w:r w:rsidRPr="00640161">
              <w:rPr>
                <w:rFonts w:asciiTheme="minorHAnsi" w:hAnsiTheme="minorHAnsi" w:cstheme="minorHAnsi"/>
                <w:spacing w:val="-12"/>
              </w:rPr>
              <w:t xml:space="preserve"> </w:t>
            </w:r>
            <w:r w:rsidRPr="00640161">
              <w:rPr>
                <w:rFonts w:asciiTheme="minorHAnsi" w:hAnsiTheme="minorHAnsi" w:cstheme="minorHAnsi"/>
              </w:rPr>
              <w:t>factors</w:t>
            </w:r>
            <w:r w:rsidRPr="00640161">
              <w:rPr>
                <w:rFonts w:asciiTheme="minorHAnsi" w:hAnsiTheme="minorHAnsi" w:cstheme="minorHAnsi"/>
                <w:spacing w:val="-13"/>
              </w:rPr>
              <w:t xml:space="preserve"> </w:t>
            </w:r>
            <w:r w:rsidRPr="00640161">
              <w:rPr>
                <w:rFonts w:asciiTheme="minorHAnsi" w:hAnsiTheme="minorHAnsi" w:cstheme="minorHAnsi"/>
              </w:rPr>
              <w:t xml:space="preserve">&amp; </w:t>
            </w:r>
            <w:r w:rsidRPr="00640161">
              <w:rPr>
                <w:rFonts w:asciiTheme="minorHAnsi" w:hAnsiTheme="minorHAnsi" w:cstheme="minorHAnsi"/>
                <w:spacing w:val="-2"/>
              </w:rPr>
              <w:t>management.</w:t>
            </w:r>
          </w:p>
          <w:p w14:paraId="3BA5B03D" w14:textId="77777777" w:rsidR="00094656" w:rsidRPr="00640161" w:rsidRDefault="00094656" w:rsidP="0067273F">
            <w:pPr>
              <w:pStyle w:val="TableParagraph"/>
              <w:ind w:left="108" w:right="96"/>
              <w:rPr>
                <w:rFonts w:asciiTheme="minorHAnsi" w:hAnsiTheme="minorHAnsi" w:cstheme="minorHAnsi"/>
              </w:rPr>
            </w:pPr>
          </w:p>
        </w:tc>
        <w:tc>
          <w:tcPr>
            <w:tcW w:w="1843" w:type="dxa"/>
          </w:tcPr>
          <w:p w14:paraId="5E66FB2F" w14:textId="77777777" w:rsidR="00094656"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Health</w:t>
            </w:r>
            <w:r w:rsidRPr="00640161">
              <w:rPr>
                <w:rFonts w:asciiTheme="minorHAnsi" w:hAnsiTheme="minorHAnsi" w:cstheme="minorHAnsi"/>
                <w:spacing w:val="-8"/>
              </w:rPr>
              <w:t xml:space="preserve"> </w:t>
            </w:r>
            <w:r w:rsidRPr="00640161">
              <w:rPr>
                <w:rFonts w:asciiTheme="minorHAnsi" w:hAnsiTheme="minorHAnsi" w:cstheme="minorHAnsi"/>
              </w:rPr>
              <w:t>matters</w:t>
            </w:r>
            <w:r w:rsidRPr="00640161">
              <w:rPr>
                <w:rFonts w:asciiTheme="minorHAnsi" w:hAnsiTheme="minorHAnsi" w:cstheme="minorHAnsi"/>
                <w:spacing w:val="-8"/>
              </w:rPr>
              <w:t xml:space="preserve"> </w:t>
            </w:r>
            <w:r w:rsidRPr="00640161">
              <w:rPr>
                <w:rFonts w:asciiTheme="minorHAnsi" w:hAnsiTheme="minorHAnsi" w:cstheme="minorHAnsi"/>
              </w:rPr>
              <w:t>&amp;</w:t>
            </w:r>
            <w:r w:rsidRPr="00640161">
              <w:rPr>
                <w:rFonts w:asciiTheme="minorHAnsi" w:hAnsiTheme="minorHAnsi" w:cstheme="minorHAnsi"/>
                <w:spacing w:val="-8"/>
              </w:rPr>
              <w:t xml:space="preserve"> </w:t>
            </w:r>
            <w:r w:rsidRPr="00640161">
              <w:rPr>
                <w:rFonts w:asciiTheme="minorHAnsi" w:hAnsiTheme="minorHAnsi" w:cstheme="minorHAnsi"/>
              </w:rPr>
              <w:t>risk</w:t>
            </w:r>
            <w:r w:rsidRPr="00640161">
              <w:rPr>
                <w:rFonts w:asciiTheme="minorHAnsi" w:hAnsiTheme="minorHAnsi" w:cstheme="minorHAnsi"/>
                <w:spacing w:val="-8"/>
              </w:rPr>
              <w:t xml:space="preserve"> </w:t>
            </w:r>
            <w:r w:rsidRPr="00640161">
              <w:rPr>
                <w:rFonts w:asciiTheme="minorHAnsi" w:hAnsiTheme="minorHAnsi" w:cstheme="minorHAnsi"/>
              </w:rPr>
              <w:t>factors</w:t>
            </w:r>
            <w:r w:rsidRPr="00640161">
              <w:rPr>
                <w:rFonts w:asciiTheme="minorHAnsi" w:hAnsiTheme="minorHAnsi" w:cstheme="minorHAnsi"/>
                <w:spacing w:val="-8"/>
              </w:rPr>
              <w:t xml:space="preserve"> </w:t>
            </w:r>
            <w:r w:rsidRPr="00640161">
              <w:rPr>
                <w:rFonts w:asciiTheme="minorHAnsi" w:hAnsiTheme="minorHAnsi" w:cstheme="minorHAnsi"/>
              </w:rPr>
              <w:t>of LGBTQI people.</w:t>
            </w:r>
          </w:p>
          <w:p w14:paraId="2FBF30E9" w14:textId="77777777" w:rsidR="00094656" w:rsidRDefault="00094656" w:rsidP="0067273F">
            <w:pPr>
              <w:pStyle w:val="TableParagraph"/>
              <w:ind w:left="138" w:right="111"/>
              <w:rPr>
                <w:rFonts w:asciiTheme="minorHAnsi" w:hAnsiTheme="minorHAnsi" w:cstheme="minorHAnsi"/>
              </w:rPr>
            </w:pPr>
          </w:p>
          <w:p w14:paraId="54C437A1" w14:textId="77777777" w:rsidR="00094656" w:rsidRPr="00640161" w:rsidRDefault="00094656" w:rsidP="0067273F">
            <w:pPr>
              <w:pStyle w:val="TableParagraph"/>
              <w:ind w:left="138" w:right="111"/>
              <w:rPr>
                <w:rFonts w:asciiTheme="minorHAnsi" w:hAnsiTheme="minorHAnsi" w:cstheme="minorHAnsi"/>
              </w:rPr>
            </w:pPr>
          </w:p>
        </w:tc>
        <w:tc>
          <w:tcPr>
            <w:tcW w:w="1276" w:type="dxa"/>
          </w:tcPr>
          <w:p w14:paraId="0697054A"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Consensus.</w:t>
            </w:r>
          </w:p>
        </w:tc>
      </w:tr>
      <w:tr w:rsidR="00094656" w:rsidRPr="00640161" w14:paraId="4FB03EF8" w14:textId="77777777" w:rsidTr="0067273F">
        <w:trPr>
          <w:cantSplit/>
        </w:trPr>
        <w:tc>
          <w:tcPr>
            <w:tcW w:w="1575" w:type="dxa"/>
          </w:tcPr>
          <w:p w14:paraId="63BC4A89" w14:textId="77777777" w:rsidR="00094656" w:rsidRPr="00640161" w:rsidRDefault="00094656" w:rsidP="0067273F">
            <w:pPr>
              <w:pStyle w:val="TableParagraph"/>
              <w:ind w:left="110" w:right="232"/>
              <w:rPr>
                <w:rFonts w:asciiTheme="minorHAnsi" w:hAnsiTheme="minorHAnsi" w:cstheme="minorHAnsi"/>
                <w:b/>
              </w:rPr>
            </w:pPr>
            <w:r w:rsidRPr="00640161">
              <w:rPr>
                <w:rFonts w:asciiTheme="minorHAnsi" w:hAnsiTheme="minorHAnsi" w:cstheme="minorHAnsi"/>
                <w:b/>
              </w:rPr>
              <w:t>Royal Australian College</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General </w:t>
            </w:r>
            <w:r w:rsidRPr="00640161">
              <w:rPr>
                <w:rFonts w:asciiTheme="minorHAnsi" w:hAnsiTheme="minorHAnsi" w:cstheme="minorHAnsi"/>
                <w:b/>
                <w:spacing w:val="-2"/>
              </w:rPr>
              <w:t>Practitioners (RACGP),</w:t>
            </w:r>
          </w:p>
          <w:p w14:paraId="4984616E" w14:textId="77777777" w:rsidR="00094656" w:rsidRPr="00640161" w:rsidRDefault="00094656" w:rsidP="0067273F">
            <w:pPr>
              <w:pStyle w:val="TableParagraph"/>
              <w:ind w:left="108" w:right="96"/>
              <w:jc w:val="both"/>
              <w:rPr>
                <w:rFonts w:asciiTheme="minorHAnsi" w:hAnsiTheme="minorHAnsi" w:cstheme="minorHAnsi"/>
                <w:b/>
                <w:spacing w:val="-2"/>
              </w:rPr>
            </w:pPr>
            <w:r w:rsidRPr="00640161">
              <w:rPr>
                <w:rFonts w:asciiTheme="minorHAnsi" w:hAnsiTheme="minorHAnsi" w:cstheme="minorHAnsi"/>
                <w:b/>
              </w:rPr>
              <w:t>Australian</w:t>
            </w:r>
            <w:r w:rsidRPr="00640161">
              <w:rPr>
                <w:rFonts w:asciiTheme="minorHAnsi" w:hAnsiTheme="minorHAnsi" w:cstheme="minorHAnsi"/>
                <w:b/>
                <w:spacing w:val="-13"/>
              </w:rPr>
              <w:t xml:space="preserve"> </w:t>
            </w:r>
            <w:r w:rsidRPr="00640161">
              <w:rPr>
                <w:rFonts w:asciiTheme="minorHAnsi" w:hAnsiTheme="minorHAnsi" w:cstheme="minorHAnsi"/>
                <w:b/>
              </w:rPr>
              <w:t xml:space="preserve">Diabetes </w:t>
            </w:r>
            <w:r w:rsidRPr="00640161">
              <w:rPr>
                <w:rFonts w:asciiTheme="minorHAnsi" w:hAnsiTheme="minorHAnsi" w:cstheme="minorHAnsi"/>
                <w:b/>
                <w:spacing w:val="-2"/>
              </w:rPr>
              <w:t>Society</w:t>
            </w:r>
          </w:p>
        </w:tc>
        <w:tc>
          <w:tcPr>
            <w:tcW w:w="3119" w:type="dxa"/>
          </w:tcPr>
          <w:p w14:paraId="769A95DE"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Emergency management of hyperglycaemia</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primary</w:t>
            </w:r>
            <w:r w:rsidRPr="00640161">
              <w:rPr>
                <w:rFonts w:asciiTheme="minorHAnsi" w:hAnsiTheme="minorHAnsi" w:cstheme="minorHAnsi"/>
                <w:spacing w:val="-10"/>
              </w:rPr>
              <w:t xml:space="preserve"> </w:t>
            </w:r>
            <w:r w:rsidRPr="00640161">
              <w:rPr>
                <w:rFonts w:asciiTheme="minorHAnsi" w:hAnsiTheme="minorHAnsi" w:cstheme="minorHAnsi"/>
              </w:rPr>
              <w:t>care,</w:t>
            </w:r>
            <w:r w:rsidRPr="00640161">
              <w:rPr>
                <w:rFonts w:asciiTheme="minorHAnsi" w:hAnsiTheme="minorHAnsi" w:cstheme="minorHAnsi"/>
                <w:spacing w:val="-10"/>
              </w:rPr>
              <w:t xml:space="preserve"> </w:t>
            </w:r>
            <w:r w:rsidRPr="00640161">
              <w:rPr>
                <w:rFonts w:asciiTheme="minorHAnsi" w:hAnsiTheme="minorHAnsi" w:cstheme="minorHAnsi"/>
              </w:rPr>
              <w:t>2018</w:t>
            </w:r>
          </w:p>
          <w:p w14:paraId="23746ED8" w14:textId="77777777" w:rsidR="00094656" w:rsidRPr="00640161" w:rsidRDefault="00094656" w:rsidP="0067273F">
            <w:pPr>
              <w:pStyle w:val="TableParagraph"/>
              <w:spacing w:before="4"/>
              <w:ind w:left="0"/>
              <w:rPr>
                <w:rFonts w:asciiTheme="minorHAnsi" w:hAnsiTheme="minorHAnsi" w:cstheme="minorHAnsi"/>
                <w:b/>
              </w:rPr>
            </w:pPr>
          </w:p>
          <w:p w14:paraId="44CD1E6C" w14:textId="77777777" w:rsidR="00094656" w:rsidRPr="00640161" w:rsidRDefault="00094656" w:rsidP="0067273F">
            <w:pPr>
              <w:pStyle w:val="TableParagraph"/>
              <w:ind w:right="97"/>
              <w:rPr>
                <w:rFonts w:asciiTheme="minorHAnsi" w:hAnsiTheme="minorHAnsi" w:cstheme="minorHAnsi"/>
              </w:rPr>
            </w:pPr>
            <w:hyperlink r:id="rId84">
              <w:r w:rsidRPr="00640161">
                <w:rPr>
                  <w:rFonts w:asciiTheme="minorHAnsi" w:hAnsiTheme="minorHAnsi" w:cstheme="minorHAnsi"/>
                  <w:spacing w:val="-2"/>
                </w:rPr>
                <w:t>https://w</w:t>
              </w:r>
            </w:hyperlink>
            <w:r w:rsidRPr="00640161">
              <w:rPr>
                <w:rFonts w:asciiTheme="minorHAnsi" w:hAnsiTheme="minorHAnsi" w:cstheme="minorHAnsi"/>
                <w:spacing w:val="-2"/>
              </w:rPr>
              <w:t>ww.racg</w:t>
            </w:r>
            <w:hyperlink r:id="rId85">
              <w:r w:rsidRPr="00640161">
                <w:rPr>
                  <w:rFonts w:asciiTheme="minorHAnsi" w:hAnsiTheme="minorHAnsi" w:cstheme="minorHAnsi"/>
                  <w:spacing w:val="-2"/>
                </w:rPr>
                <w:t>p.org</w:t>
              </w:r>
            </w:hyperlink>
            <w:r w:rsidRPr="00640161">
              <w:rPr>
                <w:rFonts w:asciiTheme="minorHAnsi" w:hAnsiTheme="minorHAnsi" w:cstheme="minorHAnsi"/>
                <w:spacing w:val="-2"/>
              </w:rPr>
              <w:t>.</w:t>
            </w:r>
            <w:hyperlink r:id="rId86">
              <w:r w:rsidRPr="00640161">
                <w:rPr>
                  <w:rFonts w:asciiTheme="minorHAnsi" w:hAnsiTheme="minorHAnsi" w:cstheme="minorHAnsi"/>
                  <w:spacing w:val="-2"/>
                </w:rPr>
                <w:t>au/FSDEDEV/me</w:t>
              </w:r>
            </w:hyperlink>
            <w:r w:rsidRPr="00640161">
              <w:rPr>
                <w:rFonts w:asciiTheme="minorHAnsi" w:hAnsiTheme="minorHAnsi" w:cstheme="minorHAnsi"/>
                <w:spacing w:val="-2"/>
              </w:rPr>
              <w:t>dia/documents/Clinical%20Resources/Guidelines/Management-of-hyperglycaemia.pdf</w:t>
            </w:r>
          </w:p>
        </w:tc>
        <w:tc>
          <w:tcPr>
            <w:tcW w:w="1417" w:type="dxa"/>
          </w:tcPr>
          <w:p w14:paraId="0C14F9CB"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RACGP</w:t>
            </w:r>
          </w:p>
          <w:p w14:paraId="1BBF8B15"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Australian Diabetes Society</w:t>
            </w:r>
          </w:p>
        </w:tc>
        <w:tc>
          <w:tcPr>
            <w:tcW w:w="1560" w:type="dxa"/>
          </w:tcPr>
          <w:p w14:paraId="1E477029"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General practice</w:t>
            </w:r>
          </w:p>
        </w:tc>
        <w:tc>
          <w:tcPr>
            <w:tcW w:w="2126" w:type="dxa"/>
          </w:tcPr>
          <w:p w14:paraId="35A68BF8"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“female”, “male”, “women”, “men”, “female”, “male” not</w:t>
            </w:r>
            <w:r w:rsidRPr="00640161">
              <w:rPr>
                <w:rFonts w:asciiTheme="minorHAnsi" w:hAnsiTheme="minorHAnsi" w:cstheme="minorHAnsi"/>
                <w:spacing w:val="-10"/>
              </w:rPr>
              <w:t xml:space="preserve">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p>
        </w:tc>
        <w:tc>
          <w:tcPr>
            <w:tcW w:w="1984" w:type="dxa"/>
          </w:tcPr>
          <w:p w14:paraId="51546FFA"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rPr>
              <w:t>data</w:t>
            </w:r>
            <w:r w:rsidRPr="00640161">
              <w:rPr>
                <w:rFonts w:asciiTheme="minorHAnsi" w:hAnsiTheme="minorHAnsi" w:cstheme="minorHAnsi"/>
                <w:spacing w:val="-13"/>
              </w:rPr>
              <w:t xml:space="preserve"> </w:t>
            </w:r>
            <w:r w:rsidRPr="00640161">
              <w:rPr>
                <w:rFonts w:asciiTheme="minorHAnsi" w:hAnsiTheme="minorHAnsi" w:cstheme="minorHAnsi"/>
              </w:rPr>
              <w:t xml:space="preserve">or </w:t>
            </w:r>
            <w:r w:rsidRPr="00640161">
              <w:rPr>
                <w:rFonts w:asciiTheme="minorHAnsi" w:hAnsiTheme="minorHAnsi" w:cstheme="minorHAnsi"/>
                <w:spacing w:val="-2"/>
              </w:rPr>
              <w:t>information.</w:t>
            </w:r>
          </w:p>
        </w:tc>
        <w:tc>
          <w:tcPr>
            <w:tcW w:w="1843" w:type="dxa"/>
          </w:tcPr>
          <w:p w14:paraId="2F589D38"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7594272F"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w:t>
            </w:r>
          </w:p>
        </w:tc>
      </w:tr>
      <w:tr w:rsidR="00094656" w:rsidRPr="00640161" w14:paraId="76EC57F8" w14:textId="77777777" w:rsidTr="0067273F">
        <w:trPr>
          <w:cantSplit/>
        </w:trPr>
        <w:tc>
          <w:tcPr>
            <w:tcW w:w="1575" w:type="dxa"/>
          </w:tcPr>
          <w:p w14:paraId="376C848A"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Stroke Foundation</w:t>
            </w:r>
          </w:p>
        </w:tc>
        <w:tc>
          <w:tcPr>
            <w:tcW w:w="3119" w:type="dxa"/>
          </w:tcPr>
          <w:p w14:paraId="592570CE" w14:textId="77777777" w:rsidR="00094656" w:rsidRDefault="00094656" w:rsidP="0067273F">
            <w:pPr>
              <w:pStyle w:val="TableParagraph"/>
              <w:rPr>
                <w:rFonts w:asciiTheme="minorHAnsi" w:hAnsiTheme="minorHAnsi" w:cstheme="minorHAnsi"/>
              </w:rPr>
            </w:pPr>
            <w:r w:rsidRPr="00640161">
              <w:rPr>
                <w:rFonts w:asciiTheme="minorHAnsi" w:hAnsiTheme="minorHAnsi" w:cstheme="minorHAnsi"/>
              </w:rPr>
              <w:t>Living Clinical Guidelines for Stroke management, 2023</w:t>
            </w:r>
            <w:r>
              <w:rPr>
                <w:rFonts w:asciiTheme="minorHAnsi" w:hAnsiTheme="minorHAnsi" w:cstheme="minorHAnsi"/>
              </w:rPr>
              <w:t>.</w:t>
            </w:r>
          </w:p>
          <w:p w14:paraId="0C658467"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(8 separate chapters)</w:t>
            </w:r>
          </w:p>
          <w:p w14:paraId="2D9516AC" w14:textId="77777777" w:rsidR="00094656" w:rsidRPr="00640161" w:rsidRDefault="00094656" w:rsidP="0067273F">
            <w:pPr>
              <w:pStyle w:val="TableParagraph"/>
              <w:rPr>
                <w:rFonts w:asciiTheme="minorHAnsi" w:hAnsiTheme="minorHAnsi" w:cstheme="minorHAnsi"/>
              </w:rPr>
            </w:pPr>
          </w:p>
          <w:p w14:paraId="4B938140"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 xml:space="preserve">http://infromme.org.au/guidelines/living-clinical-guidelines-for-stroke-management </w:t>
            </w:r>
          </w:p>
        </w:tc>
        <w:tc>
          <w:tcPr>
            <w:tcW w:w="1417" w:type="dxa"/>
          </w:tcPr>
          <w:p w14:paraId="74D25A00"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rPr>
              <w:t>NHMRC</w:t>
            </w:r>
            <w:r>
              <w:rPr>
                <w:rFonts w:asciiTheme="minorHAnsi" w:hAnsiTheme="minorHAnsi" w:cstheme="minorHAnsi"/>
              </w:rPr>
              <w:t xml:space="preserve"> &amp; others</w:t>
            </w:r>
          </w:p>
        </w:tc>
        <w:tc>
          <w:tcPr>
            <w:tcW w:w="1560" w:type="dxa"/>
          </w:tcPr>
          <w:p w14:paraId="44D3A577" w14:textId="77777777" w:rsidR="00094656" w:rsidRPr="00640161" w:rsidRDefault="00094656" w:rsidP="0067273F">
            <w:pPr>
              <w:pStyle w:val="TableParagraph"/>
              <w:rPr>
                <w:rFonts w:asciiTheme="minorHAnsi" w:hAnsiTheme="minorHAnsi" w:cstheme="minorHAnsi"/>
              </w:rPr>
            </w:pPr>
            <w:r w:rsidRPr="00640161">
              <w:rPr>
                <w:rFonts w:asciiTheme="minorHAnsi" w:hAnsiTheme="minorHAnsi" w:cstheme="minorHAnsi"/>
              </w:rPr>
              <w:t>Neurology</w:t>
            </w:r>
          </w:p>
        </w:tc>
        <w:tc>
          <w:tcPr>
            <w:tcW w:w="2126" w:type="dxa"/>
          </w:tcPr>
          <w:p w14:paraId="067F9CA0"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“Gender”, “sex”, “women”, “men”, “female”, “male” not found in text search of </w:t>
            </w:r>
            <w:proofErr w:type="spellStart"/>
            <w:r>
              <w:rPr>
                <w:rFonts w:asciiTheme="minorHAnsi" w:hAnsiTheme="minorHAnsi" w:cstheme="minorHAnsi"/>
              </w:rPr>
              <w:t>ch</w:t>
            </w:r>
            <w:proofErr w:type="spellEnd"/>
            <w:r>
              <w:rPr>
                <w:rFonts w:asciiTheme="minorHAnsi" w:hAnsiTheme="minorHAnsi" w:cstheme="minorHAnsi"/>
              </w:rPr>
              <w:t xml:space="preserve"> 1. Ch 2: “Sex” (n=2) used appropriately. Ch 3: “Sex” used appropriately; “women” used (once) for caregiver burnout. Ch 4: “Sex” used (x1) appropriately. “Women”, “men” used throughout. Ch 5: “Gender” used (x1) for “sex”. “Sex” (x1) with “female”. Ch 6: “Gender” used (x1), undefined, “sex” (x1), “women” throughout. Ch 7: Not found. Ch 8: “Gender” (x1) for “sex”, “female” (x1).</w:t>
            </w:r>
          </w:p>
        </w:tc>
        <w:tc>
          <w:tcPr>
            <w:tcW w:w="1984" w:type="dxa"/>
          </w:tcPr>
          <w:p w14:paraId="68A86A28"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S</w:t>
            </w:r>
            <w:r w:rsidRPr="00640161">
              <w:rPr>
                <w:rFonts w:asciiTheme="minorHAnsi" w:hAnsiTheme="minorHAnsi" w:cstheme="minorHAnsi"/>
              </w:rPr>
              <w:t>ex-related</w:t>
            </w:r>
            <w:r w:rsidRPr="00640161">
              <w:rPr>
                <w:rFonts w:asciiTheme="minorHAnsi" w:hAnsiTheme="minorHAnsi" w:cstheme="minorHAnsi"/>
                <w:spacing w:val="-12"/>
              </w:rPr>
              <w:t xml:space="preserve"> </w:t>
            </w:r>
            <w:r>
              <w:rPr>
                <w:rFonts w:asciiTheme="minorHAnsi" w:hAnsiTheme="minorHAnsi" w:cstheme="minorHAnsi"/>
              </w:rPr>
              <w:t>risks &amp; treatment</w:t>
            </w:r>
            <w:r w:rsidRPr="00640161">
              <w:rPr>
                <w:rFonts w:asciiTheme="minorHAnsi" w:hAnsiTheme="minorHAnsi" w:cstheme="minorHAnsi"/>
                <w:spacing w:val="-2"/>
              </w:rPr>
              <w:t>.</w:t>
            </w:r>
          </w:p>
        </w:tc>
        <w:tc>
          <w:tcPr>
            <w:tcW w:w="1843" w:type="dxa"/>
          </w:tcPr>
          <w:p w14:paraId="1FFD7E0A" w14:textId="77777777" w:rsidR="00094656" w:rsidRPr="00485D8C" w:rsidRDefault="00094656" w:rsidP="0067273F">
            <w:pPr>
              <w:pStyle w:val="TableParagraph"/>
              <w:ind w:left="138" w:right="111"/>
              <w:rPr>
                <w:rFonts w:asciiTheme="minorHAnsi" w:hAnsiTheme="minorHAnsi" w:cstheme="minorHAnsi"/>
                <w:spacing w:val="-2"/>
              </w:rPr>
            </w:pPr>
            <w:r w:rsidRPr="00485D8C">
              <w:rPr>
                <w:rFonts w:asciiTheme="minorHAnsi" w:hAnsiTheme="minorHAnsi" w:cstheme="minorHAnsi"/>
              </w:rPr>
              <w:t>Limited</w:t>
            </w:r>
            <w:r w:rsidRPr="00485D8C">
              <w:rPr>
                <w:rFonts w:asciiTheme="minorHAnsi" w:hAnsiTheme="minorHAnsi" w:cstheme="minorHAnsi"/>
                <w:spacing w:val="-4"/>
              </w:rPr>
              <w:t xml:space="preserve"> </w:t>
            </w:r>
            <w:r w:rsidRPr="00485D8C">
              <w:rPr>
                <w:rFonts w:asciiTheme="minorHAnsi" w:hAnsiTheme="minorHAnsi" w:cstheme="minorHAnsi"/>
              </w:rPr>
              <w:t>gender</w:t>
            </w:r>
            <w:r w:rsidRPr="00485D8C">
              <w:rPr>
                <w:rFonts w:asciiTheme="minorHAnsi" w:hAnsiTheme="minorHAnsi" w:cstheme="minorHAnsi"/>
                <w:spacing w:val="-4"/>
              </w:rPr>
              <w:t xml:space="preserve"> </w:t>
            </w:r>
            <w:r w:rsidRPr="00485D8C">
              <w:rPr>
                <w:rFonts w:asciiTheme="minorHAnsi" w:hAnsiTheme="minorHAnsi" w:cstheme="minorHAnsi"/>
                <w:spacing w:val="-2"/>
              </w:rPr>
              <w:t>considerations.</w:t>
            </w:r>
          </w:p>
          <w:p w14:paraId="5AD902A0" w14:textId="77777777" w:rsidR="00094656" w:rsidRPr="00485D8C" w:rsidRDefault="00094656" w:rsidP="006727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1"/>
              <w:ind w:left="108" w:right="96"/>
              <w:rPr>
                <w:rFonts w:cstheme="minorHAnsi"/>
              </w:rPr>
            </w:pPr>
            <w:r w:rsidRPr="00485D8C">
              <w:rPr>
                <w:rFonts w:cstheme="minorHAnsi"/>
                <w:spacing w:val="-2"/>
              </w:rPr>
              <w:t>Ch 6: “</w:t>
            </w:r>
            <w:r w:rsidRPr="00485D8C">
              <w:rPr>
                <w:rFonts w:eastAsiaTheme="minorHAnsi" w:cstheme="minorHAnsi"/>
                <w:lang w:val="en-GB"/>
              </w:rPr>
              <w:t>The psychological, physical, cultural/gender and other diversity implications of treatment options should be discussed thoroughly before implementation, ensuring informed consent is obtained.”</w:t>
            </w:r>
          </w:p>
        </w:tc>
        <w:tc>
          <w:tcPr>
            <w:tcW w:w="1276" w:type="dxa"/>
          </w:tcPr>
          <w:p w14:paraId="5246886B"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w:t>
            </w:r>
          </w:p>
        </w:tc>
      </w:tr>
      <w:tr w:rsidR="00094656" w:rsidRPr="00640161" w14:paraId="441B074A" w14:textId="77777777" w:rsidTr="0067273F">
        <w:trPr>
          <w:cantSplit/>
        </w:trPr>
        <w:tc>
          <w:tcPr>
            <w:tcW w:w="1575" w:type="dxa"/>
          </w:tcPr>
          <w:p w14:paraId="63F7C2E6" w14:textId="77777777" w:rsidR="00094656" w:rsidRPr="00640161" w:rsidRDefault="00094656" w:rsidP="0067273F">
            <w:pPr>
              <w:pStyle w:val="TableParagraph"/>
              <w:ind w:left="108" w:right="96"/>
              <w:rPr>
                <w:rFonts w:asciiTheme="minorHAnsi" w:hAnsiTheme="minorHAnsi" w:cstheme="minorHAnsi"/>
                <w:b/>
              </w:rPr>
            </w:pPr>
            <w:r w:rsidRPr="00640161">
              <w:rPr>
                <w:rFonts w:asciiTheme="minorHAnsi" w:hAnsiTheme="minorHAnsi" w:cstheme="minorHAnsi"/>
                <w:b/>
              </w:rPr>
              <w:lastRenderedPageBreak/>
              <w:t>Thoracic</w:t>
            </w:r>
            <w:r w:rsidRPr="00640161">
              <w:rPr>
                <w:rFonts w:asciiTheme="minorHAnsi" w:hAnsiTheme="minorHAnsi" w:cstheme="minorHAnsi"/>
                <w:b/>
                <w:spacing w:val="-12"/>
              </w:rPr>
              <w:t xml:space="preserve"> </w:t>
            </w:r>
            <w:r w:rsidRPr="00640161">
              <w:rPr>
                <w:rFonts w:asciiTheme="minorHAnsi" w:hAnsiTheme="minorHAnsi" w:cstheme="minorHAnsi"/>
                <w:b/>
              </w:rPr>
              <w:t xml:space="preserve">Society of Australia and New Zealand </w:t>
            </w:r>
          </w:p>
        </w:tc>
        <w:tc>
          <w:tcPr>
            <w:tcW w:w="3119" w:type="dxa"/>
          </w:tcPr>
          <w:p w14:paraId="32FCCA7F" w14:textId="77777777" w:rsidR="00094656" w:rsidRPr="00640161" w:rsidRDefault="00094656" w:rsidP="0067273F">
            <w:pPr>
              <w:pStyle w:val="TableParagraph"/>
              <w:ind w:right="199"/>
              <w:rPr>
                <w:rFonts w:asciiTheme="minorHAnsi" w:hAnsiTheme="minorHAnsi" w:cstheme="minorHAnsi"/>
              </w:rPr>
            </w:pPr>
            <w:r w:rsidRPr="0037315B">
              <w:rPr>
                <w:rFonts w:asciiTheme="minorHAnsi" w:hAnsiTheme="minorHAnsi" w:cstheme="minorHAnsi"/>
              </w:rPr>
              <w:t>Thoracic Society of Australia and New Zealand</w:t>
            </w:r>
            <w:r w:rsidRPr="0037315B">
              <w:rPr>
                <w:rFonts w:asciiTheme="minorHAnsi" w:hAnsiTheme="minorHAnsi" w:cstheme="minorHAnsi"/>
                <w:spacing w:val="-10"/>
              </w:rPr>
              <w:t xml:space="preserve"> </w:t>
            </w:r>
            <w:r w:rsidRPr="0037315B">
              <w:rPr>
                <w:rFonts w:asciiTheme="minorHAnsi" w:hAnsiTheme="minorHAnsi" w:cstheme="minorHAnsi"/>
              </w:rPr>
              <w:t>(TSANZ)</w:t>
            </w:r>
            <w:r w:rsidRPr="0037315B">
              <w:rPr>
                <w:rFonts w:asciiTheme="minorHAnsi" w:hAnsiTheme="minorHAnsi" w:cstheme="minorHAnsi"/>
                <w:spacing w:val="-10"/>
              </w:rPr>
              <w:t xml:space="preserve"> </w:t>
            </w:r>
            <w:r w:rsidRPr="0037315B">
              <w:rPr>
                <w:rFonts w:asciiTheme="minorHAnsi" w:hAnsiTheme="minorHAnsi" w:cstheme="minorHAnsi"/>
              </w:rPr>
              <w:t>position</w:t>
            </w:r>
            <w:r w:rsidRPr="0037315B">
              <w:rPr>
                <w:rFonts w:asciiTheme="minorHAnsi" w:hAnsiTheme="minorHAnsi" w:cstheme="minorHAnsi"/>
                <w:spacing w:val="-10"/>
              </w:rPr>
              <w:t xml:space="preserve"> </w:t>
            </w:r>
            <w:r w:rsidRPr="0037315B">
              <w:rPr>
                <w:rFonts w:asciiTheme="minorHAnsi" w:hAnsiTheme="minorHAnsi" w:cstheme="minorHAnsi"/>
              </w:rPr>
              <w:t>statement</w:t>
            </w:r>
            <w:r w:rsidRPr="0037315B">
              <w:rPr>
                <w:rFonts w:asciiTheme="minorHAnsi" w:hAnsiTheme="minorHAnsi" w:cstheme="minorHAnsi"/>
                <w:spacing w:val="-10"/>
              </w:rPr>
              <w:t xml:space="preserve"> </w:t>
            </w:r>
            <w:r w:rsidRPr="0037315B">
              <w:rPr>
                <w:rFonts w:asciiTheme="minorHAnsi" w:hAnsiTheme="minorHAnsi" w:cstheme="minorHAnsi"/>
              </w:rPr>
              <w:t>on chronic suppurative lung disease and bronchiectasis in children, adolescents and adults in Australia and New Zealand, 2023</w:t>
            </w:r>
          </w:p>
          <w:p w14:paraId="26F134EB" w14:textId="77777777" w:rsidR="00094656" w:rsidRPr="00640161" w:rsidRDefault="00094656" w:rsidP="0067273F">
            <w:pPr>
              <w:pStyle w:val="TableParagraph"/>
              <w:spacing w:before="9"/>
              <w:ind w:left="0"/>
              <w:rPr>
                <w:rFonts w:asciiTheme="minorHAnsi" w:hAnsiTheme="minorHAnsi" w:cstheme="minorHAnsi"/>
                <w:b/>
              </w:rPr>
            </w:pPr>
          </w:p>
          <w:p w14:paraId="0E87D97D" w14:textId="77777777" w:rsidR="00094656" w:rsidRPr="00640161" w:rsidRDefault="00094656" w:rsidP="0067273F">
            <w:pPr>
              <w:pStyle w:val="TableParagraph"/>
              <w:ind w:right="97"/>
              <w:rPr>
                <w:rFonts w:asciiTheme="minorHAnsi" w:hAnsiTheme="minorHAnsi" w:cstheme="minorHAnsi"/>
                <w:spacing w:val="-2"/>
                <w:u w:val="single"/>
              </w:rPr>
            </w:pPr>
            <w:r w:rsidRPr="00640161">
              <w:rPr>
                <w:rFonts w:asciiTheme="minorHAnsi" w:hAnsiTheme="minorHAnsi" w:cstheme="minorHAnsi"/>
              </w:rPr>
              <w:t>Chang</w:t>
            </w:r>
            <w:r w:rsidRPr="00640161">
              <w:rPr>
                <w:rFonts w:asciiTheme="minorHAnsi" w:hAnsiTheme="minorHAnsi" w:cstheme="minorHAnsi"/>
                <w:spacing w:val="-7"/>
              </w:rPr>
              <w:t xml:space="preserve"> </w:t>
            </w:r>
            <w:r w:rsidRPr="00640161">
              <w:rPr>
                <w:rFonts w:asciiTheme="minorHAnsi" w:hAnsiTheme="minorHAnsi" w:cstheme="minorHAnsi"/>
              </w:rPr>
              <w:t>et</w:t>
            </w:r>
            <w:r w:rsidRPr="00640161">
              <w:rPr>
                <w:rFonts w:asciiTheme="minorHAnsi" w:hAnsiTheme="minorHAnsi" w:cstheme="minorHAnsi"/>
                <w:spacing w:val="-7"/>
              </w:rPr>
              <w:t xml:space="preserve"> </w:t>
            </w:r>
            <w:r w:rsidRPr="00640161">
              <w:rPr>
                <w:rFonts w:asciiTheme="minorHAnsi" w:hAnsiTheme="minorHAnsi" w:cstheme="minorHAnsi"/>
              </w:rPr>
              <w:t>al.</w:t>
            </w:r>
            <w:r w:rsidRPr="00640161">
              <w:rPr>
                <w:rFonts w:asciiTheme="minorHAnsi" w:hAnsiTheme="minorHAnsi" w:cstheme="minorHAnsi"/>
                <w:spacing w:val="-7"/>
              </w:rPr>
              <w:t xml:space="preserve"> </w:t>
            </w:r>
            <w:r w:rsidRPr="00640161">
              <w:rPr>
                <w:rFonts w:asciiTheme="minorHAnsi" w:hAnsiTheme="minorHAnsi" w:cstheme="minorHAnsi"/>
              </w:rPr>
              <w:t>(2023).</w:t>
            </w:r>
            <w:r w:rsidRPr="00640161">
              <w:rPr>
                <w:rFonts w:asciiTheme="minorHAnsi" w:hAnsiTheme="minorHAnsi" w:cstheme="minorHAnsi"/>
                <w:spacing w:val="-6"/>
              </w:rPr>
              <w:t xml:space="preserve"> </w:t>
            </w:r>
            <w:r w:rsidRPr="00640161">
              <w:rPr>
                <w:rFonts w:asciiTheme="minorHAnsi" w:hAnsiTheme="minorHAnsi" w:cstheme="minorHAnsi"/>
              </w:rPr>
              <w:t>Thoracic</w:t>
            </w:r>
            <w:r w:rsidRPr="00640161">
              <w:rPr>
                <w:rFonts w:asciiTheme="minorHAnsi" w:hAnsiTheme="minorHAnsi" w:cstheme="minorHAnsi"/>
                <w:spacing w:val="-7"/>
              </w:rPr>
              <w:t xml:space="preserve"> </w:t>
            </w:r>
            <w:r w:rsidRPr="00640161">
              <w:rPr>
                <w:rFonts w:asciiTheme="minorHAnsi" w:hAnsiTheme="minorHAnsi" w:cstheme="minorHAnsi"/>
              </w:rPr>
              <w:t xml:space="preserve">Society of Australia and New Zealand (TSANZ) position statement on chronic suppurative lung disease and bronchiectasis in children, adolescents and adults in Australia and New Zealand. </w:t>
            </w:r>
            <w:r w:rsidRPr="00640161">
              <w:rPr>
                <w:rFonts w:asciiTheme="minorHAnsi" w:hAnsiTheme="minorHAnsi" w:cstheme="minorHAnsi"/>
                <w:i/>
              </w:rPr>
              <w:t>Respirology</w:t>
            </w:r>
            <w:r w:rsidRPr="00640161">
              <w:rPr>
                <w:rFonts w:asciiTheme="minorHAnsi" w:hAnsiTheme="minorHAnsi" w:cstheme="minorHAnsi"/>
              </w:rPr>
              <w:t xml:space="preserve">, 28(4): 339–349. </w:t>
            </w:r>
            <w:r w:rsidRPr="00CA4FE7">
              <w:rPr>
                <w:rFonts w:asciiTheme="minorHAnsi" w:hAnsiTheme="minorHAnsi" w:cstheme="minorHAnsi"/>
              </w:rPr>
              <w:t>DOI:</w:t>
            </w:r>
            <w:r w:rsidRPr="00CA4FE7">
              <w:rPr>
                <w:rFonts w:asciiTheme="minorHAnsi" w:hAnsiTheme="minorHAnsi" w:cstheme="minorHAnsi"/>
                <w:spacing w:val="-6"/>
              </w:rPr>
              <w:t xml:space="preserve"> </w:t>
            </w:r>
            <w:r w:rsidRPr="00CA4FE7">
              <w:rPr>
                <w:rFonts w:asciiTheme="minorHAnsi" w:hAnsiTheme="minorHAnsi" w:cstheme="minorHAnsi"/>
                <w:spacing w:val="-2"/>
              </w:rPr>
              <w:t>10.1111/resp.14479</w:t>
            </w:r>
          </w:p>
        </w:tc>
        <w:tc>
          <w:tcPr>
            <w:tcW w:w="1417" w:type="dxa"/>
          </w:tcPr>
          <w:p w14:paraId="0CAF5A25" w14:textId="77777777" w:rsidR="00094656" w:rsidRPr="00DD41D0" w:rsidRDefault="00094656" w:rsidP="0067273F">
            <w:pPr>
              <w:pStyle w:val="TableParagraph"/>
              <w:spacing w:before="0"/>
              <w:rPr>
                <w:rFonts w:asciiTheme="minorHAnsi" w:hAnsiTheme="minorHAnsi" w:cstheme="minorHAnsi"/>
                <w:bCs/>
              </w:rPr>
            </w:pPr>
            <w:r w:rsidRPr="00DD41D0">
              <w:rPr>
                <w:rFonts w:asciiTheme="minorHAnsi" w:hAnsiTheme="minorHAnsi" w:cstheme="minorHAnsi"/>
                <w:bCs/>
              </w:rPr>
              <w:t>Thoracic</w:t>
            </w:r>
            <w:r w:rsidRPr="00DD41D0">
              <w:rPr>
                <w:rFonts w:asciiTheme="minorHAnsi" w:hAnsiTheme="minorHAnsi" w:cstheme="minorHAnsi"/>
                <w:bCs/>
                <w:spacing w:val="-12"/>
              </w:rPr>
              <w:t xml:space="preserve"> </w:t>
            </w:r>
            <w:r w:rsidRPr="00DD41D0">
              <w:rPr>
                <w:rFonts w:asciiTheme="minorHAnsi" w:hAnsiTheme="minorHAnsi" w:cstheme="minorHAnsi"/>
                <w:bCs/>
              </w:rPr>
              <w:t>Society of Australia and New Zealand</w:t>
            </w:r>
          </w:p>
        </w:tc>
        <w:tc>
          <w:tcPr>
            <w:tcW w:w="1560" w:type="dxa"/>
          </w:tcPr>
          <w:p w14:paraId="3E21E6BA"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Thoracic medicine</w:t>
            </w:r>
          </w:p>
        </w:tc>
        <w:tc>
          <w:tcPr>
            <w:tcW w:w="2126" w:type="dxa"/>
          </w:tcPr>
          <w:p w14:paraId="359D4AA2"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“female” not</w:t>
            </w:r>
            <w:r w:rsidRPr="00640161">
              <w:rPr>
                <w:rFonts w:asciiTheme="minorHAnsi" w:hAnsiTheme="minorHAnsi" w:cstheme="minorHAnsi"/>
                <w:spacing w:val="-10"/>
              </w:rPr>
              <w:t xml:space="preserve">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r>
              <w:rPr>
                <w:rFonts w:asciiTheme="minorHAnsi" w:hAnsiTheme="minorHAnsi" w:cstheme="minorHAnsi"/>
                <w:spacing w:val="-2"/>
              </w:rPr>
              <w:t xml:space="preserve"> “Women”, “men” (once each); “male” twice with “infertility”. </w:t>
            </w:r>
          </w:p>
        </w:tc>
        <w:tc>
          <w:tcPr>
            <w:tcW w:w="1984" w:type="dxa"/>
          </w:tcPr>
          <w:p w14:paraId="6E44F341"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 s</w:t>
            </w:r>
            <w:r w:rsidRPr="00640161">
              <w:rPr>
                <w:rFonts w:asciiTheme="minorHAnsi" w:hAnsiTheme="minorHAnsi" w:cstheme="minorHAnsi"/>
              </w:rPr>
              <w:t>ex-related</w:t>
            </w:r>
            <w:r w:rsidRPr="00640161">
              <w:rPr>
                <w:rFonts w:asciiTheme="minorHAnsi" w:hAnsiTheme="minorHAnsi" w:cstheme="minorHAnsi"/>
                <w:spacing w:val="-12"/>
              </w:rPr>
              <w:t xml:space="preserve"> </w:t>
            </w:r>
            <w:r>
              <w:rPr>
                <w:rFonts w:asciiTheme="minorHAnsi" w:hAnsiTheme="minorHAnsi" w:cstheme="minorHAnsi"/>
              </w:rPr>
              <w:t xml:space="preserve">prevalence. </w:t>
            </w:r>
          </w:p>
        </w:tc>
        <w:tc>
          <w:tcPr>
            <w:tcW w:w="1843" w:type="dxa"/>
          </w:tcPr>
          <w:p w14:paraId="6634EC9D"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1766215F"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No details of method</w:t>
            </w:r>
          </w:p>
        </w:tc>
      </w:tr>
      <w:tr w:rsidR="00094656" w:rsidRPr="00640161" w14:paraId="5A408C2F" w14:textId="77777777" w:rsidTr="0067273F">
        <w:trPr>
          <w:cantSplit/>
        </w:trPr>
        <w:tc>
          <w:tcPr>
            <w:tcW w:w="1575" w:type="dxa"/>
          </w:tcPr>
          <w:p w14:paraId="5BF36A30" w14:textId="77777777" w:rsidR="00094656" w:rsidRPr="00FD0A2A" w:rsidRDefault="00094656" w:rsidP="0067273F">
            <w:pPr>
              <w:pStyle w:val="TableParagraph"/>
              <w:ind w:left="108" w:right="96"/>
              <w:jc w:val="both"/>
              <w:rPr>
                <w:rFonts w:asciiTheme="minorHAnsi" w:hAnsiTheme="minorHAnsi" w:cstheme="minorHAnsi"/>
                <w:b/>
                <w:bCs/>
              </w:rPr>
            </w:pPr>
            <w:r w:rsidRPr="00FD0A2A">
              <w:rPr>
                <w:rFonts w:asciiTheme="minorHAnsi" w:hAnsiTheme="minorHAnsi" w:cstheme="minorHAnsi"/>
                <w:b/>
                <w:bCs/>
                <w:shd w:val="clear" w:color="auto" w:fill="FFFFFF"/>
              </w:rPr>
              <w:lastRenderedPageBreak/>
              <w:t>Thrombosis and Haemostasis Society of Australia and New Zealand</w:t>
            </w:r>
          </w:p>
        </w:tc>
        <w:tc>
          <w:tcPr>
            <w:tcW w:w="3119" w:type="dxa"/>
          </w:tcPr>
          <w:p w14:paraId="243D9825" w14:textId="77777777" w:rsidR="00094656" w:rsidRPr="00640161" w:rsidRDefault="00094656" w:rsidP="0067273F">
            <w:pPr>
              <w:pStyle w:val="TableParagraph"/>
              <w:ind w:left="108" w:right="96"/>
              <w:rPr>
                <w:rFonts w:asciiTheme="minorHAnsi" w:hAnsiTheme="minorHAnsi" w:cstheme="minorHAnsi"/>
                <w:shd w:val="clear" w:color="auto" w:fill="FFFFFF"/>
              </w:rPr>
            </w:pPr>
            <w:r w:rsidRPr="00640161">
              <w:rPr>
                <w:rFonts w:asciiTheme="minorHAnsi" w:hAnsiTheme="minorHAnsi" w:cstheme="minorHAnsi"/>
                <w:shd w:val="clear" w:color="auto" w:fill="FFFFFF"/>
              </w:rPr>
              <w:t>New guidelines from the Thrombosis and Haemostasis Society of Australia and New Zealand for the diagnosis and management of venous thromboembolism</w:t>
            </w:r>
            <w:r>
              <w:rPr>
                <w:rFonts w:asciiTheme="minorHAnsi" w:hAnsiTheme="minorHAnsi" w:cstheme="minorHAnsi"/>
                <w:shd w:val="clear" w:color="auto" w:fill="FFFFFF"/>
              </w:rPr>
              <w:t>, 2019</w:t>
            </w:r>
          </w:p>
          <w:p w14:paraId="6A027BB6" w14:textId="77777777" w:rsidR="00094656" w:rsidRPr="00640161" w:rsidRDefault="00094656" w:rsidP="0067273F">
            <w:pPr>
              <w:pStyle w:val="TableParagraph"/>
              <w:ind w:left="108" w:right="96"/>
              <w:rPr>
                <w:rFonts w:asciiTheme="minorHAnsi" w:hAnsiTheme="minorHAnsi" w:cstheme="minorHAnsi"/>
                <w:shd w:val="clear" w:color="auto" w:fill="FFFFFF"/>
              </w:rPr>
            </w:pPr>
          </w:p>
          <w:p w14:paraId="7C50DEC3" w14:textId="77777777" w:rsidR="00094656" w:rsidRPr="00640161" w:rsidRDefault="00094656" w:rsidP="0067273F">
            <w:pPr>
              <w:pStyle w:val="TableParagraph"/>
              <w:ind w:left="108" w:right="96"/>
              <w:rPr>
                <w:rFonts w:asciiTheme="minorHAnsi" w:hAnsiTheme="minorHAnsi" w:cstheme="minorHAnsi"/>
                <w:highlight w:val="yellow"/>
              </w:rPr>
            </w:pPr>
            <w:r w:rsidRPr="00640161">
              <w:rPr>
                <w:rFonts w:asciiTheme="minorHAnsi" w:hAnsiTheme="minorHAnsi" w:cstheme="minorHAnsi"/>
                <w:shd w:val="clear" w:color="auto" w:fill="FFFFFF"/>
              </w:rPr>
              <w:t xml:space="preserve">Tran et al. (2019). New guidelines from the Thrombosis and Haemostasis Society of Australia and New Zealand for the diagnosis and management of venous thromboembolism. </w:t>
            </w:r>
            <w:r w:rsidRPr="00FD0965">
              <w:rPr>
                <w:rFonts w:asciiTheme="minorHAnsi" w:hAnsiTheme="minorHAnsi" w:cstheme="minorHAnsi"/>
                <w:i/>
                <w:iCs/>
                <w:shd w:val="clear" w:color="auto" w:fill="FFFFFF"/>
              </w:rPr>
              <w:t>Med J Aust, 210</w:t>
            </w:r>
            <w:r w:rsidRPr="00640161">
              <w:rPr>
                <w:rFonts w:asciiTheme="minorHAnsi" w:hAnsiTheme="minorHAnsi" w:cstheme="minorHAnsi"/>
                <w:shd w:val="clear" w:color="auto" w:fill="FFFFFF"/>
              </w:rPr>
              <w:t>: 227-235. DOI:</w:t>
            </w:r>
            <w:hyperlink r:id="rId87" w:history="1">
              <w:r w:rsidRPr="00640161">
                <w:rPr>
                  <w:rStyle w:val="Hyperlink"/>
                  <w:rFonts w:asciiTheme="minorHAnsi" w:hAnsiTheme="minorHAnsi" w:cstheme="minorHAnsi"/>
                  <w:shd w:val="clear" w:color="auto" w:fill="FFFFFF"/>
                </w:rPr>
                <w:t>10.5694/mja2.50004</w:t>
              </w:r>
            </w:hyperlink>
          </w:p>
        </w:tc>
        <w:tc>
          <w:tcPr>
            <w:tcW w:w="1417" w:type="dxa"/>
          </w:tcPr>
          <w:p w14:paraId="457EE363" w14:textId="77777777" w:rsidR="00094656" w:rsidRPr="00640161" w:rsidRDefault="00094656" w:rsidP="0067273F">
            <w:pPr>
              <w:pStyle w:val="TableParagraph"/>
              <w:spacing w:before="0"/>
              <w:rPr>
                <w:rFonts w:asciiTheme="minorHAnsi" w:hAnsiTheme="minorHAnsi" w:cstheme="minorHAnsi"/>
              </w:rPr>
            </w:pPr>
            <w:r w:rsidRPr="00640161">
              <w:rPr>
                <w:rFonts w:asciiTheme="minorHAnsi" w:hAnsiTheme="minorHAnsi" w:cstheme="minorHAnsi"/>
                <w:shd w:val="clear" w:color="auto" w:fill="FFFFFF"/>
              </w:rPr>
              <w:t>Thrombosis and Haemostasis Society of Australia and New Zeal</w:t>
            </w:r>
          </w:p>
        </w:tc>
        <w:tc>
          <w:tcPr>
            <w:tcW w:w="1560" w:type="dxa"/>
          </w:tcPr>
          <w:p w14:paraId="2FE6333E" w14:textId="77777777" w:rsidR="00094656" w:rsidRPr="00640161" w:rsidRDefault="00094656" w:rsidP="0067273F">
            <w:pPr>
              <w:pStyle w:val="TableParagraph"/>
              <w:rPr>
                <w:rFonts w:asciiTheme="minorHAnsi" w:hAnsiTheme="minorHAnsi" w:cstheme="minorHAnsi"/>
              </w:rPr>
            </w:pPr>
            <w:r w:rsidRPr="00640161">
              <w:rPr>
                <w:spacing w:val="-2"/>
              </w:rPr>
              <w:t>Haematology</w:t>
            </w:r>
          </w:p>
        </w:tc>
        <w:tc>
          <w:tcPr>
            <w:tcW w:w="2126" w:type="dxa"/>
          </w:tcPr>
          <w:p w14:paraId="2D48A90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“female” not found in text search. “Sex” used twice with “male</w:t>
            </w:r>
            <w:proofErr w:type="gramStart"/>
            <w:r>
              <w:rPr>
                <w:rFonts w:asciiTheme="minorHAnsi" w:hAnsiTheme="minorHAnsi" w:cstheme="minorHAnsi"/>
              </w:rPr>
              <w:t>”,</w:t>
            </w:r>
            <w:proofErr w:type="gramEnd"/>
            <w:r>
              <w:rPr>
                <w:rFonts w:asciiTheme="minorHAnsi" w:hAnsiTheme="minorHAnsi" w:cstheme="minorHAnsi"/>
              </w:rPr>
              <w:t xml:space="preserve"> “women” used twice with “pregnant”.</w:t>
            </w:r>
          </w:p>
        </w:tc>
        <w:tc>
          <w:tcPr>
            <w:tcW w:w="1984" w:type="dxa"/>
          </w:tcPr>
          <w:p w14:paraId="5789C477"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 sex-related risk factors.</w:t>
            </w:r>
          </w:p>
        </w:tc>
        <w:tc>
          <w:tcPr>
            <w:tcW w:w="1843" w:type="dxa"/>
          </w:tcPr>
          <w:p w14:paraId="5B42EF48"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31E28622"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GRADE, NHMRC levels of evidence.</w:t>
            </w:r>
          </w:p>
        </w:tc>
      </w:tr>
      <w:tr w:rsidR="00094656" w:rsidRPr="00640161" w14:paraId="4327F84D" w14:textId="77777777" w:rsidTr="0067273F">
        <w:tc>
          <w:tcPr>
            <w:tcW w:w="1575" w:type="dxa"/>
          </w:tcPr>
          <w:p w14:paraId="794ECC00"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spacing w:val="-2"/>
              </w:rPr>
              <w:t xml:space="preserve">Transplantation </w:t>
            </w:r>
            <w:r w:rsidRPr="00640161">
              <w:rPr>
                <w:rFonts w:asciiTheme="minorHAnsi" w:hAnsiTheme="minorHAnsi" w:cstheme="minorHAnsi"/>
                <w:b/>
              </w:rPr>
              <w:t>Society</w:t>
            </w:r>
            <w:r w:rsidRPr="00640161">
              <w:rPr>
                <w:rFonts w:asciiTheme="minorHAnsi" w:hAnsiTheme="minorHAnsi" w:cstheme="minorHAnsi"/>
                <w:b/>
                <w:spacing w:val="-13"/>
              </w:rPr>
              <w:t xml:space="preserve"> </w:t>
            </w:r>
            <w:r w:rsidRPr="00640161">
              <w:rPr>
                <w:rFonts w:asciiTheme="minorHAnsi" w:hAnsiTheme="minorHAnsi" w:cstheme="minorHAnsi"/>
                <w:b/>
              </w:rPr>
              <w:t>of</w:t>
            </w:r>
            <w:r w:rsidRPr="00640161">
              <w:rPr>
                <w:rFonts w:asciiTheme="minorHAnsi" w:hAnsiTheme="minorHAnsi" w:cstheme="minorHAnsi"/>
                <w:b/>
                <w:spacing w:val="-12"/>
              </w:rPr>
              <w:t xml:space="preserve"> </w:t>
            </w:r>
            <w:r w:rsidRPr="00640161">
              <w:rPr>
                <w:rFonts w:asciiTheme="minorHAnsi" w:hAnsiTheme="minorHAnsi" w:cstheme="minorHAnsi"/>
                <w:b/>
              </w:rPr>
              <w:t xml:space="preserve">Australia &amp; New Zealand </w:t>
            </w:r>
            <w:r w:rsidRPr="00640161">
              <w:rPr>
                <w:rFonts w:asciiTheme="minorHAnsi" w:hAnsiTheme="minorHAnsi" w:cstheme="minorHAnsi"/>
                <w:b/>
                <w:spacing w:val="-2"/>
              </w:rPr>
              <w:t>(TSANZ)</w:t>
            </w:r>
          </w:p>
        </w:tc>
        <w:tc>
          <w:tcPr>
            <w:tcW w:w="3119" w:type="dxa"/>
          </w:tcPr>
          <w:p w14:paraId="5EF50F8A"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Clinical Guidelines for Organ Transplantation</w:t>
            </w:r>
            <w:r w:rsidRPr="00640161">
              <w:rPr>
                <w:rFonts w:asciiTheme="minorHAnsi" w:hAnsiTheme="minorHAnsi" w:cstheme="minorHAnsi"/>
                <w:spacing w:val="-13"/>
              </w:rPr>
              <w:t xml:space="preserve"> </w:t>
            </w:r>
            <w:r w:rsidRPr="00640161">
              <w:rPr>
                <w:rFonts w:asciiTheme="minorHAnsi" w:hAnsiTheme="minorHAnsi" w:cstheme="minorHAnsi"/>
              </w:rPr>
              <w:t>from</w:t>
            </w:r>
            <w:r w:rsidRPr="00640161">
              <w:rPr>
                <w:rFonts w:asciiTheme="minorHAnsi" w:hAnsiTheme="minorHAnsi" w:cstheme="minorHAnsi"/>
                <w:spacing w:val="-12"/>
              </w:rPr>
              <w:t xml:space="preserve"> </w:t>
            </w:r>
            <w:r w:rsidRPr="00640161">
              <w:rPr>
                <w:rFonts w:asciiTheme="minorHAnsi" w:hAnsiTheme="minorHAnsi" w:cstheme="minorHAnsi"/>
              </w:rPr>
              <w:t>Deceased</w:t>
            </w:r>
            <w:r w:rsidRPr="00640161">
              <w:rPr>
                <w:rFonts w:asciiTheme="minorHAnsi" w:hAnsiTheme="minorHAnsi" w:cstheme="minorHAnsi"/>
                <w:spacing w:val="-13"/>
              </w:rPr>
              <w:t xml:space="preserve"> </w:t>
            </w:r>
            <w:r w:rsidRPr="00640161">
              <w:rPr>
                <w:rFonts w:asciiTheme="minorHAnsi" w:hAnsiTheme="minorHAnsi" w:cstheme="minorHAnsi"/>
              </w:rPr>
              <w:t xml:space="preserve">Donors, </w:t>
            </w:r>
            <w:r w:rsidRPr="00640161">
              <w:rPr>
                <w:rFonts w:asciiTheme="minorHAnsi" w:hAnsiTheme="minorHAnsi" w:cstheme="minorHAnsi"/>
                <w:spacing w:val="-4"/>
              </w:rPr>
              <w:t>2023</w:t>
            </w:r>
          </w:p>
          <w:p w14:paraId="7A61FE6A" w14:textId="77777777" w:rsidR="00094656" w:rsidRPr="00041323" w:rsidRDefault="00094656" w:rsidP="0067273F">
            <w:pPr>
              <w:pStyle w:val="TableParagraph"/>
              <w:ind w:left="108" w:right="96"/>
              <w:rPr>
                <w:rFonts w:asciiTheme="minorHAnsi" w:hAnsiTheme="minorHAnsi" w:cstheme="minorHAnsi"/>
                <w:bCs/>
              </w:rPr>
            </w:pPr>
          </w:p>
          <w:p w14:paraId="1C6A2E2F" w14:textId="77777777" w:rsidR="00094656" w:rsidRPr="00041323" w:rsidRDefault="00094656" w:rsidP="0067273F">
            <w:pPr>
              <w:pStyle w:val="TableParagraph"/>
              <w:ind w:left="108" w:right="96"/>
              <w:rPr>
                <w:rFonts w:asciiTheme="minorHAnsi" w:hAnsiTheme="minorHAnsi" w:cstheme="minorHAnsi"/>
                <w:bCs/>
              </w:rPr>
            </w:pPr>
            <w:hyperlink r:id="rId88" w:history="1">
              <w:r w:rsidRPr="00041323">
                <w:rPr>
                  <w:rStyle w:val="Hyperlink"/>
                  <w:rFonts w:asciiTheme="minorHAnsi" w:hAnsiTheme="minorHAnsi" w:cstheme="minorHAnsi"/>
                  <w:bCs/>
                </w:rPr>
                <w:t>https://tsanz.com.au/storage/documents/TSANZ_Clinical_Guidelines_Version-111_13062023Final-Version.pdf</w:t>
              </w:r>
            </w:hyperlink>
          </w:p>
          <w:p w14:paraId="307A7659" w14:textId="77777777" w:rsidR="00094656" w:rsidRPr="00640161" w:rsidRDefault="00094656" w:rsidP="0067273F">
            <w:pPr>
              <w:pStyle w:val="TableParagraph"/>
              <w:ind w:left="0" w:right="199"/>
              <w:rPr>
                <w:rFonts w:asciiTheme="minorHAnsi" w:hAnsiTheme="minorHAnsi" w:cstheme="minorHAnsi"/>
                <w:spacing w:val="-2"/>
              </w:rPr>
            </w:pPr>
          </w:p>
        </w:tc>
        <w:tc>
          <w:tcPr>
            <w:tcW w:w="1417" w:type="dxa"/>
          </w:tcPr>
          <w:p w14:paraId="651B13CA" w14:textId="77777777" w:rsidR="00094656" w:rsidRPr="00041323" w:rsidRDefault="00094656" w:rsidP="0067273F">
            <w:pPr>
              <w:pStyle w:val="TableParagraph"/>
              <w:ind w:left="108" w:right="96"/>
              <w:rPr>
                <w:rFonts w:asciiTheme="minorHAnsi" w:hAnsiTheme="minorHAnsi" w:cstheme="minorHAnsi"/>
              </w:rPr>
            </w:pPr>
            <w:r w:rsidRPr="00041323">
              <w:rPr>
                <w:rFonts w:asciiTheme="minorHAnsi" w:eastAsiaTheme="minorHAnsi" w:hAnsiTheme="minorHAnsi" w:cstheme="minorHAnsi"/>
                <w:color w:val="141413"/>
                <w:lang w:val="en-GB"/>
              </w:rPr>
              <w:t>Transplantation Society of Australia and New Zealand</w:t>
            </w:r>
          </w:p>
        </w:tc>
        <w:tc>
          <w:tcPr>
            <w:tcW w:w="1560" w:type="dxa"/>
          </w:tcPr>
          <w:p w14:paraId="5AD315F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Organ transplantation</w:t>
            </w:r>
          </w:p>
        </w:tc>
        <w:tc>
          <w:tcPr>
            <w:tcW w:w="2126" w:type="dxa"/>
          </w:tcPr>
          <w:p w14:paraId="6EFE2F38" w14:textId="77777777" w:rsidR="00094656" w:rsidRDefault="00094656" w:rsidP="0067273F">
            <w:pPr>
              <w:pStyle w:val="TableParagraph"/>
              <w:rPr>
                <w:rFonts w:asciiTheme="minorHAnsi" w:hAnsiTheme="minorHAnsi" w:cstheme="minorHAnsi"/>
                <w:spacing w:val="-2"/>
              </w:rPr>
            </w:pPr>
            <w:r w:rsidRPr="00640161">
              <w:rPr>
                <w:rFonts w:asciiTheme="minorHAnsi" w:hAnsiTheme="minorHAnsi" w:cstheme="minorHAnsi"/>
              </w:rPr>
              <w:t>No</w:t>
            </w:r>
            <w:r w:rsidRPr="00640161">
              <w:rPr>
                <w:rFonts w:asciiTheme="minorHAnsi" w:hAnsiTheme="minorHAnsi" w:cstheme="minorHAnsi"/>
                <w:spacing w:val="-2"/>
              </w:rPr>
              <w:t xml:space="preserve"> definitions.</w:t>
            </w:r>
          </w:p>
          <w:p w14:paraId="286661AB" w14:textId="77777777" w:rsidR="00094656" w:rsidRPr="00260953" w:rsidRDefault="00094656" w:rsidP="0067273F">
            <w:pPr>
              <w:pStyle w:val="TableParagraph"/>
              <w:rPr>
                <w:rFonts w:asciiTheme="minorHAnsi" w:hAnsiTheme="minorHAnsi" w:cstheme="minorHAnsi"/>
                <w:spacing w:val="-2"/>
              </w:rPr>
            </w:pPr>
            <w:r>
              <w:rPr>
                <w:rFonts w:asciiTheme="minorHAnsi" w:hAnsiTheme="minorHAnsi" w:cstheme="minorHAnsi"/>
                <w:spacing w:val="-2"/>
              </w:rPr>
              <w:t>“Gender” used for “sex”. “Sex” &amp; variants mostly = sexual intercourse. “Sex” (occasionally) used accurately. “Women”, “female”, “male” used.</w:t>
            </w:r>
          </w:p>
        </w:tc>
        <w:tc>
          <w:tcPr>
            <w:tcW w:w="1984" w:type="dxa"/>
          </w:tcPr>
          <w:p w14:paraId="7ABDAD5E"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Sex-related eligibility &amp; risk factors,</w:t>
            </w:r>
            <w:r w:rsidRPr="00640161">
              <w:rPr>
                <w:rFonts w:asciiTheme="minorHAnsi" w:hAnsiTheme="minorHAnsi" w:cstheme="minorHAnsi"/>
                <w:spacing w:val="-13"/>
              </w:rPr>
              <w:t xml:space="preserve"> </w:t>
            </w:r>
            <w:r w:rsidRPr="00640161">
              <w:rPr>
                <w:rFonts w:asciiTheme="minorHAnsi" w:hAnsiTheme="minorHAnsi" w:cstheme="minorHAnsi"/>
              </w:rPr>
              <w:t>donors</w:t>
            </w:r>
            <w:r w:rsidRPr="00640161">
              <w:rPr>
                <w:rFonts w:asciiTheme="minorHAnsi" w:hAnsiTheme="minorHAnsi" w:cstheme="minorHAnsi"/>
                <w:spacing w:val="-12"/>
              </w:rPr>
              <w:t xml:space="preserve"> </w:t>
            </w:r>
            <w:r w:rsidRPr="00640161">
              <w:rPr>
                <w:rFonts w:asciiTheme="minorHAnsi" w:hAnsiTheme="minorHAnsi" w:cstheme="minorHAnsi"/>
              </w:rPr>
              <w:t>&amp;</w:t>
            </w:r>
            <w:r w:rsidRPr="00640161">
              <w:rPr>
                <w:rFonts w:asciiTheme="minorHAnsi" w:hAnsiTheme="minorHAnsi" w:cstheme="minorHAnsi"/>
                <w:spacing w:val="-13"/>
              </w:rPr>
              <w:t xml:space="preserve"> </w:t>
            </w:r>
            <w:r w:rsidRPr="00640161">
              <w:rPr>
                <w:rFonts w:asciiTheme="minorHAnsi" w:hAnsiTheme="minorHAnsi" w:cstheme="minorHAnsi"/>
              </w:rPr>
              <w:t>recipients.</w:t>
            </w:r>
          </w:p>
        </w:tc>
        <w:tc>
          <w:tcPr>
            <w:tcW w:w="1843" w:type="dxa"/>
          </w:tcPr>
          <w:p w14:paraId="59B0DD97"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Unlawful</w:t>
            </w:r>
            <w:r w:rsidRPr="00640161">
              <w:rPr>
                <w:rFonts w:asciiTheme="minorHAnsi" w:hAnsiTheme="minorHAnsi" w:cstheme="minorHAnsi"/>
                <w:spacing w:val="-13"/>
              </w:rPr>
              <w:t xml:space="preserve"> </w:t>
            </w:r>
            <w:r w:rsidRPr="00640161">
              <w:rPr>
                <w:rFonts w:asciiTheme="minorHAnsi" w:hAnsiTheme="minorHAnsi" w:cstheme="minorHAnsi"/>
              </w:rPr>
              <w:t>to</w:t>
            </w:r>
            <w:r w:rsidRPr="00640161">
              <w:rPr>
                <w:rFonts w:asciiTheme="minorHAnsi" w:hAnsiTheme="minorHAnsi" w:cstheme="minorHAnsi"/>
                <w:spacing w:val="-12"/>
              </w:rPr>
              <w:t xml:space="preserve"> </w:t>
            </w:r>
            <w:r w:rsidRPr="00640161">
              <w:rPr>
                <w:rFonts w:asciiTheme="minorHAnsi" w:hAnsiTheme="minorHAnsi" w:cstheme="minorHAnsi"/>
              </w:rPr>
              <w:t>discriminate</w:t>
            </w:r>
            <w:r w:rsidRPr="00640161">
              <w:rPr>
                <w:rFonts w:asciiTheme="minorHAnsi" w:hAnsiTheme="minorHAnsi" w:cstheme="minorHAnsi"/>
                <w:spacing w:val="-13"/>
              </w:rPr>
              <w:t xml:space="preserve"> </w:t>
            </w:r>
            <w:r w:rsidRPr="00640161">
              <w:rPr>
                <w:rFonts w:asciiTheme="minorHAnsi" w:hAnsiTheme="minorHAnsi" w:cstheme="minorHAnsi"/>
              </w:rPr>
              <w:t>by sexual orientation.</w:t>
            </w:r>
          </w:p>
        </w:tc>
        <w:tc>
          <w:tcPr>
            <w:tcW w:w="1276" w:type="dxa"/>
          </w:tcPr>
          <w:p w14:paraId="7131E004" w14:textId="77777777" w:rsidR="00094656"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 Based on NHMRC ethical guidelines.</w:t>
            </w:r>
          </w:p>
          <w:p w14:paraId="216BE474" w14:textId="77777777" w:rsidR="00094656" w:rsidRPr="00640161" w:rsidRDefault="00094656" w:rsidP="0067273F">
            <w:pPr>
              <w:pStyle w:val="TableParagraph"/>
              <w:ind w:left="104"/>
              <w:rPr>
                <w:rFonts w:asciiTheme="minorHAnsi" w:hAnsiTheme="minorHAnsi" w:cstheme="minorHAnsi"/>
              </w:rPr>
            </w:pPr>
          </w:p>
        </w:tc>
      </w:tr>
      <w:tr w:rsidR="00094656" w:rsidRPr="00640161" w14:paraId="032FFA80" w14:textId="77777777" w:rsidTr="0067273F">
        <w:trPr>
          <w:cantSplit/>
        </w:trPr>
        <w:tc>
          <w:tcPr>
            <w:tcW w:w="1575" w:type="dxa"/>
          </w:tcPr>
          <w:p w14:paraId="6F6D8AB8" w14:textId="77777777" w:rsidR="00094656" w:rsidRPr="00640161" w:rsidRDefault="00094656" w:rsidP="0067273F">
            <w:pPr>
              <w:pStyle w:val="TableParagraph"/>
              <w:ind w:left="110" w:right="304"/>
              <w:rPr>
                <w:rFonts w:asciiTheme="minorHAnsi" w:hAnsiTheme="minorHAnsi" w:cstheme="minorHAnsi"/>
                <w:b/>
              </w:rPr>
            </w:pPr>
            <w:r w:rsidRPr="00640161">
              <w:rPr>
                <w:rFonts w:asciiTheme="minorHAnsi" w:hAnsiTheme="minorHAnsi" w:cstheme="minorHAnsi"/>
                <w:b/>
              </w:rPr>
              <w:lastRenderedPageBreak/>
              <w:t xml:space="preserve">University of </w:t>
            </w:r>
            <w:r w:rsidRPr="00640161">
              <w:rPr>
                <w:rFonts w:asciiTheme="minorHAnsi" w:hAnsiTheme="minorHAnsi" w:cstheme="minorHAnsi"/>
                <w:b/>
                <w:spacing w:val="-2"/>
              </w:rPr>
              <w:t>Melbourne</w:t>
            </w:r>
            <w:r>
              <w:rPr>
                <w:rFonts w:asciiTheme="minorHAnsi" w:hAnsiTheme="minorHAnsi" w:cstheme="minorHAnsi"/>
                <w:b/>
                <w:spacing w:val="-2"/>
              </w:rPr>
              <w:t>:</w:t>
            </w:r>
            <w:r w:rsidRPr="00640161">
              <w:rPr>
                <w:rFonts w:asciiTheme="minorHAnsi" w:hAnsiTheme="minorHAnsi" w:cstheme="minorHAnsi"/>
                <w:b/>
                <w:spacing w:val="-2"/>
              </w:rPr>
              <w:t xml:space="preserve"> </w:t>
            </w:r>
            <w:r w:rsidRPr="00640161">
              <w:rPr>
                <w:rFonts w:asciiTheme="minorHAnsi" w:hAnsiTheme="minorHAnsi" w:cstheme="minorHAnsi"/>
                <w:b/>
              </w:rPr>
              <w:t>Dementia</w:t>
            </w:r>
            <w:r w:rsidRPr="00640161">
              <w:rPr>
                <w:rFonts w:asciiTheme="minorHAnsi" w:hAnsiTheme="minorHAnsi" w:cstheme="minorHAnsi"/>
                <w:b/>
                <w:spacing w:val="-13"/>
              </w:rPr>
              <w:t xml:space="preserve"> </w:t>
            </w:r>
            <w:r w:rsidRPr="00640161">
              <w:rPr>
                <w:rFonts w:asciiTheme="minorHAnsi" w:hAnsiTheme="minorHAnsi" w:cstheme="minorHAnsi"/>
                <w:b/>
              </w:rPr>
              <w:t xml:space="preserve">Training </w:t>
            </w:r>
            <w:r w:rsidRPr="00640161">
              <w:rPr>
                <w:rFonts w:asciiTheme="minorHAnsi" w:hAnsiTheme="minorHAnsi" w:cstheme="minorHAnsi"/>
                <w:b/>
                <w:spacing w:val="-2"/>
              </w:rPr>
              <w:t>Australia,</w:t>
            </w:r>
          </w:p>
          <w:p w14:paraId="586FB27F"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t>National</w:t>
            </w:r>
            <w:r w:rsidRPr="00640161">
              <w:rPr>
                <w:rFonts w:asciiTheme="minorHAnsi" w:hAnsiTheme="minorHAnsi" w:cstheme="minorHAnsi"/>
                <w:b/>
                <w:spacing w:val="-13"/>
              </w:rPr>
              <w:t xml:space="preserve"> </w:t>
            </w:r>
            <w:r w:rsidRPr="00640161">
              <w:rPr>
                <w:rFonts w:asciiTheme="minorHAnsi" w:hAnsiTheme="minorHAnsi" w:cstheme="minorHAnsi"/>
                <w:b/>
              </w:rPr>
              <w:t xml:space="preserve">Aboriginal </w:t>
            </w:r>
            <w:r w:rsidRPr="00640161">
              <w:rPr>
                <w:rFonts w:asciiTheme="minorHAnsi" w:hAnsiTheme="minorHAnsi" w:cstheme="minorHAnsi"/>
                <w:b/>
                <w:spacing w:val="-2"/>
              </w:rPr>
              <w:t xml:space="preserve">Community </w:t>
            </w:r>
            <w:r w:rsidRPr="00640161">
              <w:rPr>
                <w:rFonts w:asciiTheme="minorHAnsi" w:hAnsiTheme="minorHAnsi" w:cstheme="minorHAnsi"/>
                <w:b/>
              </w:rPr>
              <w:t xml:space="preserve">Controlled Health </w:t>
            </w:r>
            <w:r w:rsidRPr="00640161">
              <w:rPr>
                <w:rFonts w:asciiTheme="minorHAnsi" w:hAnsiTheme="minorHAnsi" w:cstheme="minorHAnsi"/>
                <w:b/>
                <w:spacing w:val="-2"/>
              </w:rPr>
              <w:t>Organisation (NACCHO)</w:t>
            </w:r>
          </w:p>
        </w:tc>
        <w:tc>
          <w:tcPr>
            <w:tcW w:w="3119" w:type="dxa"/>
          </w:tcPr>
          <w:p w14:paraId="501FA381" w14:textId="77777777" w:rsidR="00094656" w:rsidRPr="00640161" w:rsidRDefault="00094656" w:rsidP="0067273F">
            <w:pPr>
              <w:pStyle w:val="TableParagraph"/>
              <w:ind w:right="97"/>
              <w:rPr>
                <w:rFonts w:asciiTheme="minorHAnsi" w:hAnsiTheme="minorHAnsi" w:cstheme="minorHAnsi"/>
              </w:rPr>
            </w:pPr>
            <w:r w:rsidRPr="00640161">
              <w:rPr>
                <w:rFonts w:asciiTheme="minorHAnsi" w:hAnsiTheme="minorHAnsi" w:cstheme="minorHAnsi"/>
              </w:rPr>
              <w:t>Best-practice guide to cognitive impairment and dementia care for Aboriginal and Torres Strait Islander people</w:t>
            </w:r>
            <w:r w:rsidRPr="00640161">
              <w:rPr>
                <w:rFonts w:asciiTheme="minorHAnsi" w:hAnsiTheme="minorHAnsi" w:cstheme="minorHAnsi"/>
                <w:spacing w:val="-10"/>
              </w:rPr>
              <w:t xml:space="preserve"> </w:t>
            </w:r>
            <w:r w:rsidRPr="00640161">
              <w:rPr>
                <w:rFonts w:asciiTheme="minorHAnsi" w:hAnsiTheme="minorHAnsi" w:cstheme="minorHAnsi"/>
              </w:rPr>
              <w:t>attending</w:t>
            </w:r>
            <w:r w:rsidRPr="00640161">
              <w:rPr>
                <w:rFonts w:asciiTheme="minorHAnsi" w:hAnsiTheme="minorHAnsi" w:cstheme="minorHAnsi"/>
                <w:spacing w:val="-10"/>
              </w:rPr>
              <w:t xml:space="preserve"> </w:t>
            </w:r>
            <w:r w:rsidRPr="00640161">
              <w:rPr>
                <w:rFonts w:asciiTheme="minorHAnsi" w:hAnsiTheme="minorHAnsi" w:cstheme="minorHAnsi"/>
              </w:rPr>
              <w:t>primary</w:t>
            </w:r>
            <w:r w:rsidRPr="00640161">
              <w:rPr>
                <w:rFonts w:asciiTheme="minorHAnsi" w:hAnsiTheme="minorHAnsi" w:cstheme="minorHAnsi"/>
                <w:spacing w:val="-10"/>
              </w:rPr>
              <w:t xml:space="preserve"> </w:t>
            </w:r>
            <w:r w:rsidRPr="00640161">
              <w:rPr>
                <w:rFonts w:asciiTheme="minorHAnsi" w:hAnsiTheme="minorHAnsi" w:cstheme="minorHAnsi"/>
              </w:rPr>
              <w:t>care,</w:t>
            </w:r>
            <w:r w:rsidRPr="00640161">
              <w:rPr>
                <w:rFonts w:asciiTheme="minorHAnsi" w:hAnsiTheme="minorHAnsi" w:cstheme="minorHAnsi"/>
                <w:spacing w:val="-10"/>
              </w:rPr>
              <w:t xml:space="preserve"> </w:t>
            </w:r>
            <w:r w:rsidRPr="00640161">
              <w:rPr>
                <w:rFonts w:asciiTheme="minorHAnsi" w:hAnsiTheme="minorHAnsi" w:cstheme="minorHAnsi"/>
              </w:rPr>
              <w:t>2022</w:t>
            </w:r>
          </w:p>
          <w:p w14:paraId="68D05EE2" w14:textId="77777777" w:rsidR="00094656" w:rsidRPr="00640161" w:rsidRDefault="00094656" w:rsidP="0067273F">
            <w:pPr>
              <w:pStyle w:val="TableParagraph"/>
              <w:ind w:right="97"/>
              <w:rPr>
                <w:rFonts w:asciiTheme="minorHAnsi" w:hAnsiTheme="minorHAnsi" w:cstheme="minorHAnsi"/>
              </w:rPr>
            </w:pPr>
          </w:p>
          <w:p w14:paraId="1CD4E7D5" w14:textId="77777777" w:rsidR="00094656" w:rsidRPr="00640161" w:rsidRDefault="00094656" w:rsidP="0067273F">
            <w:pPr>
              <w:pStyle w:val="TableParagraph"/>
              <w:spacing w:before="0"/>
              <w:ind w:right="138"/>
              <w:rPr>
                <w:rFonts w:asciiTheme="minorHAnsi" w:hAnsiTheme="minorHAnsi" w:cstheme="minorHAnsi"/>
              </w:rPr>
            </w:pPr>
            <w:hyperlink r:id="rId89">
              <w:r w:rsidRPr="00640161">
                <w:rPr>
                  <w:rFonts w:asciiTheme="minorHAnsi" w:hAnsiTheme="minorHAnsi" w:cstheme="minorHAnsi"/>
                  <w:spacing w:val="-2"/>
                  <w:u w:val="single"/>
                </w:rPr>
                <w:t>https://w</w:t>
              </w:r>
            </w:hyperlink>
            <w:r w:rsidRPr="00640161">
              <w:rPr>
                <w:rFonts w:asciiTheme="minorHAnsi" w:hAnsiTheme="minorHAnsi" w:cstheme="minorHAnsi"/>
                <w:spacing w:val="-2"/>
                <w:u w:val="single"/>
              </w:rPr>
              <w:t>ww.racg</w:t>
            </w:r>
            <w:hyperlink r:id="rId90">
              <w:r w:rsidRPr="00640161">
                <w:rPr>
                  <w:rFonts w:asciiTheme="minorHAnsi" w:hAnsiTheme="minorHAnsi" w:cstheme="minorHAnsi"/>
                  <w:spacing w:val="-2"/>
                  <w:u w:val="single"/>
                </w:rPr>
                <w:t>p.org</w:t>
              </w:r>
            </w:hyperlink>
            <w:r w:rsidRPr="00640161">
              <w:rPr>
                <w:rFonts w:asciiTheme="minorHAnsi" w:hAnsiTheme="minorHAnsi" w:cstheme="minorHAnsi"/>
                <w:spacing w:val="-2"/>
                <w:u w:val="single"/>
              </w:rPr>
              <w:t>.</w:t>
            </w:r>
            <w:hyperlink r:id="rId91">
              <w:r w:rsidRPr="00640161">
                <w:rPr>
                  <w:rFonts w:asciiTheme="minorHAnsi" w:hAnsiTheme="minorHAnsi" w:cstheme="minorHAnsi"/>
                  <w:spacing w:val="-2"/>
                  <w:u w:val="single"/>
                </w:rPr>
                <w:t>au/getattachme</w:t>
              </w:r>
            </w:hyperlink>
            <w:r w:rsidRPr="00640161">
              <w:rPr>
                <w:rFonts w:asciiTheme="minorHAnsi" w:hAnsiTheme="minorHAnsi" w:cstheme="minorHAnsi"/>
                <w:spacing w:val="-2"/>
                <w:u w:val="single"/>
              </w:rPr>
              <w:t>nt/b5e33105-dde0-474d-83c3-ef5d80e09634/Best-practice-guide-to-cognitive-impairment-and-dementia-care-for-Aboriginal-and-Torres-Strait-</w:t>
            </w:r>
            <w:r w:rsidRPr="00640161">
              <w:rPr>
                <w:rFonts w:asciiTheme="minorHAnsi" w:hAnsiTheme="minorHAnsi" w:cstheme="minorHAnsi"/>
                <w:spacing w:val="-2"/>
              </w:rPr>
              <w:t xml:space="preserve"> </w:t>
            </w:r>
            <w:r w:rsidRPr="00640161">
              <w:rPr>
                <w:rFonts w:asciiTheme="minorHAnsi" w:hAnsiTheme="minorHAnsi" w:cstheme="minorHAnsi"/>
                <w:spacing w:val="-2"/>
                <w:u w:val="single"/>
              </w:rPr>
              <w:t>Islander-people-attending-primary-</w:t>
            </w:r>
            <w:r w:rsidRPr="00640161">
              <w:rPr>
                <w:rFonts w:asciiTheme="minorHAnsi" w:hAnsiTheme="minorHAnsi" w:cstheme="minorHAnsi"/>
                <w:spacing w:val="-2"/>
              </w:rPr>
              <w:t xml:space="preserve"> </w:t>
            </w:r>
            <w:r w:rsidRPr="00640161">
              <w:rPr>
                <w:rFonts w:asciiTheme="minorHAnsi" w:hAnsiTheme="minorHAnsi" w:cstheme="minorHAnsi"/>
                <w:spacing w:val="-2"/>
                <w:u w:val="single"/>
              </w:rPr>
              <w:t>care.pdf</w:t>
            </w:r>
          </w:p>
          <w:p w14:paraId="2ECEA727" w14:textId="77777777" w:rsidR="00094656" w:rsidRPr="00640161" w:rsidRDefault="00094656" w:rsidP="0067273F">
            <w:pPr>
              <w:pStyle w:val="TableParagraph"/>
              <w:spacing w:before="9"/>
              <w:ind w:left="0"/>
              <w:rPr>
                <w:rFonts w:asciiTheme="minorHAnsi" w:hAnsiTheme="minorHAnsi" w:cstheme="minorHAnsi"/>
                <w:b/>
              </w:rPr>
            </w:pPr>
          </w:p>
          <w:p w14:paraId="48EF55AA" w14:textId="77777777" w:rsidR="00094656" w:rsidRPr="00640161" w:rsidRDefault="00094656" w:rsidP="0067273F">
            <w:pPr>
              <w:pStyle w:val="TableParagraph"/>
              <w:ind w:right="199"/>
              <w:rPr>
                <w:rFonts w:asciiTheme="minorHAnsi" w:hAnsiTheme="minorHAnsi" w:cstheme="minorHAnsi"/>
              </w:rPr>
            </w:pPr>
            <w:proofErr w:type="spellStart"/>
            <w:r w:rsidRPr="00640161">
              <w:rPr>
                <w:rFonts w:asciiTheme="minorHAnsi" w:hAnsiTheme="minorHAnsi" w:cstheme="minorHAnsi"/>
              </w:rPr>
              <w:t>Belfrage</w:t>
            </w:r>
            <w:proofErr w:type="spellEnd"/>
            <w:r w:rsidRPr="00640161">
              <w:rPr>
                <w:rFonts w:asciiTheme="minorHAnsi" w:hAnsiTheme="minorHAnsi" w:cstheme="minorHAnsi"/>
              </w:rPr>
              <w:t xml:space="preserve"> M, et al. (2022). </w:t>
            </w:r>
            <w:r w:rsidRPr="00F95E17">
              <w:rPr>
                <w:rFonts w:asciiTheme="minorHAnsi" w:hAnsiTheme="minorHAnsi" w:cstheme="minorHAnsi"/>
                <w:i/>
                <w:iCs/>
              </w:rPr>
              <w:t>Best-practice guide to cognitive impairment and dementia</w:t>
            </w:r>
            <w:r w:rsidRPr="00F95E17">
              <w:rPr>
                <w:rFonts w:asciiTheme="minorHAnsi" w:hAnsiTheme="minorHAnsi" w:cstheme="minorHAnsi"/>
                <w:i/>
                <w:iCs/>
                <w:spacing w:val="-7"/>
              </w:rPr>
              <w:t xml:space="preserve"> </w:t>
            </w:r>
            <w:r w:rsidRPr="00F95E17">
              <w:rPr>
                <w:rFonts w:asciiTheme="minorHAnsi" w:hAnsiTheme="minorHAnsi" w:cstheme="minorHAnsi"/>
                <w:i/>
                <w:iCs/>
              </w:rPr>
              <w:t>care</w:t>
            </w:r>
            <w:r w:rsidRPr="00F95E17">
              <w:rPr>
                <w:rFonts w:asciiTheme="minorHAnsi" w:hAnsiTheme="minorHAnsi" w:cstheme="minorHAnsi"/>
                <w:i/>
                <w:iCs/>
                <w:spacing w:val="-7"/>
              </w:rPr>
              <w:t xml:space="preserve"> </w:t>
            </w:r>
            <w:r w:rsidRPr="00F95E17">
              <w:rPr>
                <w:rFonts w:asciiTheme="minorHAnsi" w:hAnsiTheme="minorHAnsi" w:cstheme="minorHAnsi"/>
                <w:i/>
                <w:iCs/>
              </w:rPr>
              <w:t>for</w:t>
            </w:r>
            <w:r w:rsidRPr="00F95E17">
              <w:rPr>
                <w:rFonts w:asciiTheme="minorHAnsi" w:hAnsiTheme="minorHAnsi" w:cstheme="minorHAnsi"/>
                <w:i/>
                <w:iCs/>
                <w:spacing w:val="-7"/>
              </w:rPr>
              <w:t xml:space="preserve"> </w:t>
            </w:r>
            <w:r w:rsidRPr="00F95E17">
              <w:rPr>
                <w:rFonts w:asciiTheme="minorHAnsi" w:hAnsiTheme="minorHAnsi" w:cstheme="minorHAnsi"/>
                <w:i/>
                <w:iCs/>
              </w:rPr>
              <w:t>Aboriginal</w:t>
            </w:r>
            <w:r w:rsidRPr="00F95E17">
              <w:rPr>
                <w:rFonts w:asciiTheme="minorHAnsi" w:hAnsiTheme="minorHAnsi" w:cstheme="minorHAnsi"/>
                <w:i/>
                <w:iCs/>
                <w:spacing w:val="-7"/>
              </w:rPr>
              <w:t xml:space="preserve"> </w:t>
            </w:r>
            <w:r w:rsidRPr="00F95E17">
              <w:rPr>
                <w:rFonts w:asciiTheme="minorHAnsi" w:hAnsiTheme="minorHAnsi" w:cstheme="minorHAnsi"/>
                <w:i/>
                <w:iCs/>
              </w:rPr>
              <w:t>and</w:t>
            </w:r>
            <w:r w:rsidRPr="00F95E17">
              <w:rPr>
                <w:rFonts w:asciiTheme="minorHAnsi" w:hAnsiTheme="minorHAnsi" w:cstheme="minorHAnsi"/>
                <w:i/>
                <w:iCs/>
                <w:spacing w:val="-7"/>
              </w:rPr>
              <w:t xml:space="preserve"> </w:t>
            </w:r>
            <w:r w:rsidRPr="00F95E17">
              <w:rPr>
                <w:rFonts w:asciiTheme="minorHAnsi" w:hAnsiTheme="minorHAnsi" w:cstheme="minorHAnsi"/>
                <w:i/>
                <w:iCs/>
              </w:rPr>
              <w:t>Torres Strait</w:t>
            </w:r>
            <w:r w:rsidRPr="00F95E17">
              <w:rPr>
                <w:rFonts w:asciiTheme="minorHAnsi" w:hAnsiTheme="minorHAnsi" w:cstheme="minorHAnsi"/>
                <w:i/>
                <w:iCs/>
                <w:spacing w:val="-10"/>
              </w:rPr>
              <w:t xml:space="preserve"> </w:t>
            </w:r>
            <w:r w:rsidRPr="00F95E17">
              <w:rPr>
                <w:rFonts w:asciiTheme="minorHAnsi" w:hAnsiTheme="minorHAnsi" w:cstheme="minorHAnsi"/>
                <w:i/>
                <w:iCs/>
              </w:rPr>
              <w:t>Islander</w:t>
            </w:r>
            <w:r w:rsidRPr="00F95E17">
              <w:rPr>
                <w:rFonts w:asciiTheme="minorHAnsi" w:hAnsiTheme="minorHAnsi" w:cstheme="minorHAnsi"/>
                <w:i/>
                <w:iCs/>
                <w:spacing w:val="-9"/>
              </w:rPr>
              <w:t xml:space="preserve"> </w:t>
            </w:r>
            <w:r w:rsidRPr="00F95E17">
              <w:rPr>
                <w:rFonts w:asciiTheme="minorHAnsi" w:hAnsiTheme="minorHAnsi" w:cstheme="minorHAnsi"/>
                <w:i/>
                <w:iCs/>
              </w:rPr>
              <w:t>people</w:t>
            </w:r>
            <w:r w:rsidRPr="00F95E17">
              <w:rPr>
                <w:rFonts w:asciiTheme="minorHAnsi" w:hAnsiTheme="minorHAnsi" w:cstheme="minorHAnsi"/>
                <w:i/>
                <w:iCs/>
                <w:spacing w:val="-10"/>
              </w:rPr>
              <w:t xml:space="preserve"> </w:t>
            </w:r>
            <w:r w:rsidRPr="00F95E17">
              <w:rPr>
                <w:rFonts w:asciiTheme="minorHAnsi" w:hAnsiTheme="minorHAnsi" w:cstheme="minorHAnsi"/>
                <w:i/>
                <w:iCs/>
              </w:rPr>
              <w:t>attending</w:t>
            </w:r>
            <w:r w:rsidRPr="00F95E17">
              <w:rPr>
                <w:rFonts w:asciiTheme="minorHAnsi" w:hAnsiTheme="minorHAnsi" w:cstheme="minorHAnsi"/>
                <w:i/>
                <w:iCs/>
                <w:spacing w:val="-10"/>
              </w:rPr>
              <w:t xml:space="preserve"> </w:t>
            </w:r>
            <w:r w:rsidRPr="00F95E17">
              <w:rPr>
                <w:rFonts w:asciiTheme="minorHAnsi" w:hAnsiTheme="minorHAnsi" w:cstheme="minorHAnsi"/>
                <w:i/>
                <w:iCs/>
              </w:rPr>
              <w:t>primary care</w:t>
            </w:r>
            <w:r w:rsidRPr="00640161">
              <w:rPr>
                <w:rFonts w:asciiTheme="minorHAnsi" w:hAnsiTheme="minorHAnsi" w:cstheme="minorHAnsi"/>
              </w:rPr>
              <w:t>, Version 1.2.4, Melbourne, Dementia Training Australia</w:t>
            </w:r>
          </w:p>
        </w:tc>
        <w:tc>
          <w:tcPr>
            <w:tcW w:w="1417" w:type="dxa"/>
          </w:tcPr>
          <w:p w14:paraId="20B63413" w14:textId="77777777" w:rsidR="00094656" w:rsidRDefault="00094656" w:rsidP="0067273F">
            <w:pPr>
              <w:pStyle w:val="TableParagraph"/>
              <w:spacing w:before="0"/>
              <w:rPr>
                <w:rFonts w:asciiTheme="minorHAnsi" w:hAnsiTheme="minorHAnsi" w:cstheme="minorHAnsi"/>
              </w:rPr>
            </w:pPr>
            <w:r>
              <w:rPr>
                <w:rFonts w:asciiTheme="minorHAnsi" w:hAnsiTheme="minorHAnsi" w:cstheme="minorHAnsi"/>
              </w:rPr>
              <w:t>RACGP,</w:t>
            </w:r>
          </w:p>
          <w:p w14:paraId="08F8842A"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NACCHO</w:t>
            </w:r>
          </w:p>
        </w:tc>
        <w:tc>
          <w:tcPr>
            <w:tcW w:w="1560" w:type="dxa"/>
          </w:tcPr>
          <w:p w14:paraId="40F2E8C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General practice</w:t>
            </w:r>
          </w:p>
        </w:tc>
        <w:tc>
          <w:tcPr>
            <w:tcW w:w="2126" w:type="dxa"/>
          </w:tcPr>
          <w:p w14:paraId="41D8992B"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“sex”, “women”, “men”, “female” not</w:t>
            </w:r>
            <w:r w:rsidRPr="00640161">
              <w:rPr>
                <w:rFonts w:asciiTheme="minorHAnsi" w:hAnsiTheme="minorHAnsi" w:cstheme="minorHAnsi"/>
                <w:spacing w:val="-10"/>
              </w:rPr>
              <w:t xml:space="preserve"> </w:t>
            </w:r>
            <w:r w:rsidRPr="00640161">
              <w:rPr>
                <w:rFonts w:asciiTheme="minorHAnsi" w:hAnsiTheme="minorHAnsi" w:cstheme="minorHAnsi"/>
              </w:rPr>
              <w:t>identified</w:t>
            </w:r>
            <w:r w:rsidRPr="00640161">
              <w:rPr>
                <w:rFonts w:asciiTheme="minorHAnsi" w:hAnsiTheme="minorHAnsi" w:cstheme="minorHAnsi"/>
                <w:spacing w:val="-10"/>
              </w:rPr>
              <w:t xml:space="preserve"> </w:t>
            </w:r>
            <w:r w:rsidRPr="00640161">
              <w:rPr>
                <w:rFonts w:asciiTheme="minorHAnsi" w:hAnsiTheme="minorHAnsi" w:cstheme="minorHAnsi"/>
              </w:rPr>
              <w:t>in</w:t>
            </w:r>
            <w:r w:rsidRPr="00640161">
              <w:rPr>
                <w:rFonts w:asciiTheme="minorHAnsi" w:hAnsiTheme="minorHAnsi" w:cstheme="minorHAnsi"/>
                <w:spacing w:val="-10"/>
              </w:rPr>
              <w:t xml:space="preserve"> </w:t>
            </w:r>
            <w:r w:rsidRPr="00640161">
              <w:rPr>
                <w:rFonts w:asciiTheme="minorHAnsi" w:hAnsiTheme="minorHAnsi" w:cstheme="minorHAnsi"/>
              </w:rPr>
              <w:t xml:space="preserve">text </w:t>
            </w:r>
            <w:r w:rsidRPr="00640161">
              <w:rPr>
                <w:rFonts w:asciiTheme="minorHAnsi" w:hAnsiTheme="minorHAnsi" w:cstheme="minorHAnsi"/>
                <w:spacing w:val="-2"/>
              </w:rPr>
              <w:t>search.</w:t>
            </w:r>
            <w:r>
              <w:rPr>
                <w:rFonts w:asciiTheme="minorHAnsi" w:hAnsiTheme="minorHAnsi" w:cstheme="minorHAnsi"/>
                <w:spacing w:val="-2"/>
              </w:rPr>
              <w:t xml:space="preserve"> “Males” used once. “Psychosocial” matters considered.</w:t>
            </w:r>
          </w:p>
        </w:tc>
        <w:tc>
          <w:tcPr>
            <w:tcW w:w="1984" w:type="dxa"/>
          </w:tcPr>
          <w:p w14:paraId="2D78EB07"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w:t>
            </w:r>
            <w:r w:rsidRPr="00640161">
              <w:rPr>
                <w:rFonts w:asciiTheme="minorHAnsi" w:hAnsiTheme="minorHAnsi" w:cstheme="minorHAnsi"/>
                <w:spacing w:val="-13"/>
              </w:rPr>
              <w:t xml:space="preserve"> </w:t>
            </w:r>
            <w:r w:rsidRPr="00640161">
              <w:rPr>
                <w:rFonts w:asciiTheme="minorHAnsi" w:hAnsiTheme="minorHAnsi" w:cstheme="minorHAnsi"/>
              </w:rPr>
              <w:t>sex-related</w:t>
            </w:r>
            <w:r w:rsidRPr="00640161">
              <w:rPr>
                <w:rFonts w:asciiTheme="minorHAnsi" w:hAnsiTheme="minorHAnsi" w:cstheme="minorHAnsi"/>
                <w:spacing w:val="-12"/>
              </w:rPr>
              <w:t xml:space="preserve"> </w:t>
            </w:r>
            <w:r w:rsidRPr="00640161">
              <w:rPr>
                <w:rFonts w:asciiTheme="minorHAnsi" w:hAnsiTheme="minorHAnsi" w:cstheme="minorHAnsi"/>
                <w:spacing w:val="-2"/>
              </w:rPr>
              <w:t>information.</w:t>
            </w:r>
          </w:p>
        </w:tc>
        <w:tc>
          <w:tcPr>
            <w:tcW w:w="1843" w:type="dxa"/>
          </w:tcPr>
          <w:p w14:paraId="12DD2E4F"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No</w:t>
            </w:r>
            <w:r w:rsidRPr="00640161">
              <w:rPr>
                <w:rFonts w:asciiTheme="minorHAnsi" w:hAnsiTheme="minorHAnsi" w:cstheme="minorHAnsi"/>
                <w:spacing w:val="-4"/>
              </w:rPr>
              <w:t xml:space="preserve"> </w:t>
            </w:r>
            <w:r w:rsidRPr="00640161">
              <w:rPr>
                <w:rFonts w:asciiTheme="minorHAnsi" w:hAnsiTheme="minorHAnsi" w:cstheme="minorHAnsi"/>
              </w:rPr>
              <w:t>gender</w:t>
            </w:r>
            <w:r w:rsidRPr="00640161">
              <w:rPr>
                <w:rFonts w:asciiTheme="minorHAnsi" w:hAnsiTheme="minorHAnsi" w:cstheme="minorHAnsi"/>
                <w:spacing w:val="-4"/>
              </w:rPr>
              <w:t xml:space="preserve"> </w:t>
            </w:r>
            <w:r w:rsidRPr="00640161">
              <w:rPr>
                <w:rFonts w:asciiTheme="minorHAnsi" w:hAnsiTheme="minorHAnsi" w:cstheme="minorHAnsi"/>
                <w:spacing w:val="-2"/>
              </w:rPr>
              <w:t>considerations.</w:t>
            </w:r>
          </w:p>
        </w:tc>
        <w:tc>
          <w:tcPr>
            <w:tcW w:w="1276" w:type="dxa"/>
          </w:tcPr>
          <w:p w14:paraId="4A463A1B"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Limited details of method; consensus.</w:t>
            </w:r>
          </w:p>
        </w:tc>
      </w:tr>
      <w:tr w:rsidR="00094656" w:rsidRPr="00640161" w14:paraId="5AA23645" w14:textId="77777777" w:rsidTr="0067273F">
        <w:trPr>
          <w:cantSplit/>
        </w:trPr>
        <w:tc>
          <w:tcPr>
            <w:tcW w:w="1575" w:type="dxa"/>
          </w:tcPr>
          <w:p w14:paraId="62A9A80F"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University of Sydney</w:t>
            </w:r>
            <w:r>
              <w:rPr>
                <w:rFonts w:asciiTheme="minorHAnsi" w:hAnsiTheme="minorHAnsi" w:cstheme="minorHAnsi"/>
                <w:b/>
              </w:rPr>
              <w:t>:</w:t>
            </w:r>
            <w:r w:rsidRPr="00640161">
              <w:rPr>
                <w:rFonts w:asciiTheme="minorHAnsi" w:hAnsiTheme="minorHAnsi" w:cstheme="minorHAnsi"/>
                <w:b/>
                <w:spacing w:val="-12"/>
              </w:rPr>
              <w:t xml:space="preserve"> </w:t>
            </w:r>
            <w:r w:rsidRPr="00640161">
              <w:rPr>
                <w:rFonts w:asciiTheme="minorHAnsi" w:hAnsiTheme="minorHAnsi" w:cstheme="minorHAnsi"/>
                <w:b/>
              </w:rPr>
              <w:t>Specialty</w:t>
            </w:r>
            <w:r w:rsidRPr="00640161">
              <w:rPr>
                <w:rFonts w:asciiTheme="minorHAnsi" w:hAnsiTheme="minorHAnsi" w:cstheme="minorHAnsi"/>
                <w:b/>
                <w:spacing w:val="-12"/>
              </w:rPr>
              <w:t xml:space="preserve"> </w:t>
            </w:r>
            <w:r w:rsidRPr="00640161">
              <w:rPr>
                <w:rFonts w:asciiTheme="minorHAnsi" w:hAnsiTheme="minorHAnsi" w:cstheme="minorHAnsi"/>
                <w:b/>
              </w:rPr>
              <w:t>of Addiction</w:t>
            </w:r>
            <w:r w:rsidRPr="00640161">
              <w:rPr>
                <w:rFonts w:asciiTheme="minorHAnsi" w:hAnsiTheme="minorHAnsi" w:cstheme="minorHAnsi"/>
                <w:b/>
                <w:spacing w:val="-13"/>
              </w:rPr>
              <w:t xml:space="preserve"> </w:t>
            </w:r>
            <w:r w:rsidRPr="00640161">
              <w:rPr>
                <w:rFonts w:asciiTheme="minorHAnsi" w:hAnsiTheme="minorHAnsi" w:cstheme="minorHAnsi"/>
                <w:b/>
              </w:rPr>
              <w:t>Medicine</w:t>
            </w:r>
          </w:p>
        </w:tc>
        <w:tc>
          <w:tcPr>
            <w:tcW w:w="3119" w:type="dxa"/>
          </w:tcPr>
          <w:p w14:paraId="21A1440F" w14:textId="77777777" w:rsidR="00094656" w:rsidRPr="00640161" w:rsidRDefault="00094656" w:rsidP="0067273F">
            <w:pPr>
              <w:pStyle w:val="TableParagraph"/>
              <w:keepNext/>
              <w:keepLines/>
              <w:widowControl/>
              <w:ind w:right="97"/>
              <w:rPr>
                <w:rFonts w:asciiTheme="minorHAnsi" w:hAnsiTheme="minorHAnsi" w:cstheme="minorHAnsi"/>
              </w:rPr>
            </w:pPr>
            <w:r w:rsidRPr="00640161">
              <w:rPr>
                <w:rFonts w:asciiTheme="minorHAnsi" w:hAnsiTheme="minorHAnsi" w:cstheme="minorHAnsi"/>
              </w:rPr>
              <w:t>Guidelines</w:t>
            </w:r>
            <w:r w:rsidRPr="00640161">
              <w:rPr>
                <w:rFonts w:asciiTheme="minorHAnsi" w:hAnsiTheme="minorHAnsi" w:cstheme="minorHAnsi"/>
                <w:spacing w:val="-7"/>
              </w:rPr>
              <w:t xml:space="preserve"> </w:t>
            </w:r>
            <w:r w:rsidRPr="00640161">
              <w:rPr>
                <w:rFonts w:asciiTheme="minorHAnsi" w:hAnsiTheme="minorHAnsi" w:cstheme="minorHAnsi"/>
              </w:rPr>
              <w:t>for</w:t>
            </w:r>
            <w:r w:rsidRPr="00640161">
              <w:rPr>
                <w:rFonts w:asciiTheme="minorHAnsi" w:hAnsiTheme="minorHAnsi" w:cstheme="minorHAnsi"/>
                <w:spacing w:val="-7"/>
              </w:rPr>
              <w:t xml:space="preserve"> </w:t>
            </w:r>
            <w:r w:rsidRPr="00640161">
              <w:rPr>
                <w:rFonts w:asciiTheme="minorHAnsi" w:hAnsiTheme="minorHAnsi" w:cstheme="minorHAnsi"/>
              </w:rPr>
              <w:t>the</w:t>
            </w:r>
            <w:r w:rsidRPr="00640161">
              <w:rPr>
                <w:rFonts w:asciiTheme="minorHAnsi" w:hAnsiTheme="minorHAnsi" w:cstheme="minorHAnsi"/>
                <w:spacing w:val="-7"/>
              </w:rPr>
              <w:t xml:space="preserve"> </w:t>
            </w:r>
            <w:r w:rsidRPr="00640161">
              <w:rPr>
                <w:rFonts w:asciiTheme="minorHAnsi" w:hAnsiTheme="minorHAnsi" w:cstheme="minorHAnsi"/>
              </w:rPr>
              <w:t>Treatment</w:t>
            </w:r>
            <w:r w:rsidRPr="00640161">
              <w:rPr>
                <w:rFonts w:asciiTheme="minorHAnsi" w:hAnsiTheme="minorHAnsi" w:cstheme="minorHAnsi"/>
                <w:spacing w:val="-7"/>
              </w:rPr>
              <w:t xml:space="preserve"> </w:t>
            </w:r>
            <w:r w:rsidRPr="00640161">
              <w:rPr>
                <w:rFonts w:asciiTheme="minorHAnsi" w:hAnsiTheme="minorHAnsi" w:cstheme="minorHAnsi"/>
              </w:rPr>
              <w:t>of</w:t>
            </w:r>
            <w:r w:rsidRPr="00640161">
              <w:rPr>
                <w:rFonts w:asciiTheme="minorHAnsi" w:hAnsiTheme="minorHAnsi" w:cstheme="minorHAnsi"/>
                <w:spacing w:val="-7"/>
              </w:rPr>
              <w:t xml:space="preserve"> </w:t>
            </w:r>
            <w:r w:rsidRPr="00640161">
              <w:rPr>
                <w:rFonts w:asciiTheme="minorHAnsi" w:hAnsiTheme="minorHAnsi" w:cstheme="minorHAnsi"/>
              </w:rPr>
              <w:t>Alcohol Problems, 2021</w:t>
            </w:r>
          </w:p>
          <w:p w14:paraId="42BCC08D" w14:textId="77777777" w:rsidR="00094656" w:rsidRPr="00640161" w:rsidRDefault="00094656" w:rsidP="0067273F">
            <w:pPr>
              <w:pStyle w:val="TableParagraph"/>
              <w:keepNext/>
              <w:keepLines/>
              <w:widowControl/>
              <w:ind w:left="0"/>
              <w:rPr>
                <w:rFonts w:asciiTheme="minorHAnsi" w:hAnsiTheme="minorHAnsi" w:cstheme="minorHAnsi"/>
                <w:b/>
              </w:rPr>
            </w:pPr>
          </w:p>
          <w:p w14:paraId="5E33B78A" w14:textId="77777777" w:rsidR="00094656" w:rsidRPr="00640161" w:rsidRDefault="00094656" w:rsidP="0067273F">
            <w:pPr>
              <w:pStyle w:val="TableParagraph"/>
              <w:keepNext/>
              <w:keepLines/>
              <w:widowControl/>
              <w:spacing w:before="0"/>
              <w:rPr>
                <w:rFonts w:asciiTheme="minorHAnsi" w:hAnsiTheme="minorHAnsi" w:cstheme="minorHAnsi"/>
              </w:rPr>
            </w:pPr>
            <w:r w:rsidRPr="00640161">
              <w:rPr>
                <w:rFonts w:asciiTheme="minorHAnsi" w:hAnsiTheme="minorHAnsi" w:cstheme="minorHAnsi"/>
                <w:spacing w:val="-2"/>
                <w:u w:val="single"/>
              </w:rPr>
              <w:t>https://alcoholtreatmentguidelines.com.au/pdf/guidelines-for-the-treatment-</w:t>
            </w:r>
            <w:r w:rsidRPr="00640161">
              <w:rPr>
                <w:rFonts w:asciiTheme="minorHAnsi" w:hAnsiTheme="minorHAnsi" w:cstheme="minorHAnsi"/>
                <w:spacing w:val="-2"/>
              </w:rPr>
              <w:t xml:space="preserve"> </w:t>
            </w:r>
            <w:r w:rsidRPr="00640161">
              <w:rPr>
                <w:rFonts w:asciiTheme="minorHAnsi" w:hAnsiTheme="minorHAnsi" w:cstheme="minorHAnsi"/>
                <w:spacing w:val="-2"/>
                <w:u w:val="single"/>
              </w:rPr>
              <w:t>of-alcohol-problems.pdf</w:t>
            </w:r>
          </w:p>
          <w:p w14:paraId="01150C91" w14:textId="77777777" w:rsidR="00094656" w:rsidRPr="00640161" w:rsidRDefault="00094656" w:rsidP="0067273F">
            <w:pPr>
              <w:pStyle w:val="TableParagraph"/>
              <w:keepNext/>
              <w:keepLines/>
              <w:widowControl/>
              <w:spacing w:before="3"/>
              <w:ind w:left="0"/>
              <w:rPr>
                <w:rFonts w:asciiTheme="minorHAnsi" w:hAnsiTheme="minorHAnsi" w:cstheme="minorHAnsi"/>
                <w:b/>
              </w:rPr>
            </w:pPr>
          </w:p>
          <w:p w14:paraId="1F8FCB94" w14:textId="77777777" w:rsidR="00094656" w:rsidRPr="00640161" w:rsidRDefault="00094656" w:rsidP="0067273F">
            <w:pPr>
              <w:pStyle w:val="TableParagraph"/>
              <w:spacing w:before="0"/>
              <w:ind w:right="97"/>
              <w:rPr>
                <w:rFonts w:asciiTheme="minorHAnsi" w:hAnsiTheme="minorHAnsi" w:cstheme="minorHAnsi"/>
              </w:rPr>
            </w:pPr>
            <w:r w:rsidRPr="00640161">
              <w:rPr>
                <w:rFonts w:asciiTheme="minorHAnsi" w:hAnsiTheme="minorHAnsi" w:cstheme="minorHAnsi"/>
              </w:rPr>
              <w:t>Haber</w:t>
            </w:r>
            <w:r w:rsidRPr="00640161">
              <w:rPr>
                <w:rFonts w:asciiTheme="minorHAnsi" w:hAnsiTheme="minorHAnsi" w:cstheme="minorHAnsi"/>
                <w:spacing w:val="-3"/>
              </w:rPr>
              <w:t xml:space="preserve"> </w:t>
            </w:r>
            <w:r>
              <w:rPr>
                <w:rFonts w:asciiTheme="minorHAnsi" w:hAnsiTheme="minorHAnsi" w:cstheme="minorHAnsi"/>
              </w:rPr>
              <w:t>&amp;</w:t>
            </w:r>
            <w:r w:rsidRPr="00640161">
              <w:rPr>
                <w:rFonts w:asciiTheme="minorHAnsi" w:hAnsiTheme="minorHAnsi" w:cstheme="minorHAnsi"/>
                <w:spacing w:val="-3"/>
              </w:rPr>
              <w:t xml:space="preserve"> </w:t>
            </w:r>
            <w:r w:rsidRPr="00640161">
              <w:rPr>
                <w:rFonts w:asciiTheme="minorHAnsi" w:hAnsiTheme="minorHAnsi" w:cstheme="minorHAnsi"/>
              </w:rPr>
              <w:t>Riordan</w:t>
            </w:r>
            <w:r w:rsidRPr="00640161">
              <w:rPr>
                <w:rFonts w:asciiTheme="minorHAnsi" w:hAnsiTheme="minorHAnsi" w:cstheme="minorHAnsi"/>
                <w:spacing w:val="-3"/>
              </w:rPr>
              <w:t xml:space="preserve"> </w:t>
            </w:r>
            <w:r w:rsidRPr="00640161">
              <w:rPr>
                <w:rFonts w:asciiTheme="minorHAnsi" w:hAnsiTheme="minorHAnsi" w:cstheme="minorHAnsi"/>
              </w:rPr>
              <w:t>(2021).</w:t>
            </w:r>
            <w:r w:rsidRPr="00640161">
              <w:rPr>
                <w:rFonts w:asciiTheme="minorHAnsi" w:hAnsiTheme="minorHAnsi" w:cstheme="minorHAnsi"/>
                <w:spacing w:val="-3"/>
              </w:rPr>
              <w:t xml:space="preserve"> </w:t>
            </w:r>
            <w:r w:rsidRPr="00296204">
              <w:rPr>
                <w:rFonts w:asciiTheme="minorHAnsi" w:hAnsiTheme="minorHAnsi" w:cstheme="minorHAnsi"/>
                <w:i/>
                <w:iCs/>
              </w:rPr>
              <w:t>Guidelines for the Treatment of Alcohol Problems</w:t>
            </w:r>
            <w:r w:rsidRPr="00640161">
              <w:rPr>
                <w:rFonts w:asciiTheme="minorHAnsi" w:hAnsiTheme="minorHAnsi" w:cstheme="minorHAnsi"/>
              </w:rPr>
              <w:t xml:space="preserve"> (4th edition). Sydney: Specialty of Addiction</w:t>
            </w:r>
            <w:r w:rsidRPr="00640161">
              <w:rPr>
                <w:rFonts w:asciiTheme="minorHAnsi" w:hAnsiTheme="minorHAnsi" w:cstheme="minorHAnsi"/>
                <w:spacing w:val="-10"/>
              </w:rPr>
              <w:t xml:space="preserve"> </w:t>
            </w:r>
            <w:r w:rsidRPr="00640161">
              <w:rPr>
                <w:rFonts w:asciiTheme="minorHAnsi" w:hAnsiTheme="minorHAnsi" w:cstheme="minorHAnsi"/>
              </w:rPr>
              <w:t>Medicine,</w:t>
            </w:r>
            <w:r w:rsidRPr="00640161">
              <w:rPr>
                <w:rFonts w:asciiTheme="minorHAnsi" w:hAnsiTheme="minorHAnsi" w:cstheme="minorHAnsi"/>
                <w:spacing w:val="-10"/>
              </w:rPr>
              <w:t xml:space="preserve"> </w:t>
            </w:r>
            <w:r w:rsidRPr="00640161">
              <w:rPr>
                <w:rFonts w:asciiTheme="minorHAnsi" w:hAnsiTheme="minorHAnsi" w:cstheme="minorHAnsi"/>
              </w:rPr>
              <w:t>Faculty</w:t>
            </w:r>
            <w:r w:rsidRPr="00640161">
              <w:rPr>
                <w:rFonts w:asciiTheme="minorHAnsi" w:hAnsiTheme="minorHAnsi" w:cstheme="minorHAnsi"/>
                <w:spacing w:val="-10"/>
              </w:rPr>
              <w:t xml:space="preserve"> </w:t>
            </w:r>
            <w:r w:rsidRPr="00640161">
              <w:rPr>
                <w:rFonts w:asciiTheme="minorHAnsi" w:hAnsiTheme="minorHAnsi" w:cstheme="minorHAnsi"/>
              </w:rPr>
              <w:t>of</w:t>
            </w:r>
            <w:r w:rsidRPr="00640161">
              <w:rPr>
                <w:rFonts w:asciiTheme="minorHAnsi" w:hAnsiTheme="minorHAnsi" w:cstheme="minorHAnsi"/>
                <w:spacing w:val="-10"/>
              </w:rPr>
              <w:t xml:space="preserve"> </w:t>
            </w:r>
            <w:r w:rsidRPr="00640161">
              <w:rPr>
                <w:rFonts w:asciiTheme="minorHAnsi" w:hAnsiTheme="minorHAnsi" w:cstheme="minorHAnsi"/>
              </w:rPr>
              <w:t>Medicine</w:t>
            </w:r>
          </w:p>
          <w:p w14:paraId="6A81A962" w14:textId="77777777" w:rsidR="00094656" w:rsidRPr="00640161" w:rsidRDefault="00094656" w:rsidP="0067273F">
            <w:pPr>
              <w:pStyle w:val="TableParagraph"/>
              <w:spacing w:before="5"/>
              <w:rPr>
                <w:rFonts w:asciiTheme="minorHAnsi" w:hAnsiTheme="minorHAnsi" w:cstheme="minorHAnsi"/>
                <w:spacing w:val="-2"/>
              </w:rPr>
            </w:pPr>
            <w:r w:rsidRPr="00640161">
              <w:rPr>
                <w:rFonts w:asciiTheme="minorHAnsi" w:hAnsiTheme="minorHAnsi" w:cstheme="minorHAnsi"/>
              </w:rPr>
              <w:t>and</w:t>
            </w:r>
            <w:r w:rsidRPr="00640161">
              <w:rPr>
                <w:rFonts w:asciiTheme="minorHAnsi" w:hAnsiTheme="minorHAnsi" w:cstheme="minorHAnsi"/>
                <w:spacing w:val="-5"/>
              </w:rPr>
              <w:t xml:space="preserve"> </w:t>
            </w:r>
            <w:r w:rsidRPr="00640161">
              <w:rPr>
                <w:rFonts w:asciiTheme="minorHAnsi" w:hAnsiTheme="minorHAnsi" w:cstheme="minorHAnsi"/>
              </w:rPr>
              <w:t>Health,</w:t>
            </w:r>
            <w:r w:rsidRPr="00640161">
              <w:rPr>
                <w:rFonts w:asciiTheme="minorHAnsi" w:hAnsiTheme="minorHAnsi" w:cstheme="minorHAnsi"/>
                <w:spacing w:val="-5"/>
              </w:rPr>
              <w:t xml:space="preserve"> </w:t>
            </w:r>
            <w:r w:rsidRPr="00640161">
              <w:rPr>
                <w:rFonts w:asciiTheme="minorHAnsi" w:hAnsiTheme="minorHAnsi" w:cstheme="minorHAnsi"/>
              </w:rPr>
              <w:t>The</w:t>
            </w:r>
            <w:r w:rsidRPr="00640161">
              <w:rPr>
                <w:rFonts w:asciiTheme="minorHAnsi" w:hAnsiTheme="minorHAnsi" w:cstheme="minorHAnsi"/>
                <w:spacing w:val="-5"/>
              </w:rPr>
              <w:t xml:space="preserve"> </w:t>
            </w:r>
            <w:r w:rsidRPr="00640161">
              <w:rPr>
                <w:rFonts w:asciiTheme="minorHAnsi" w:hAnsiTheme="minorHAnsi" w:cstheme="minorHAnsi"/>
              </w:rPr>
              <w:t>University</w:t>
            </w:r>
            <w:r w:rsidRPr="00640161">
              <w:rPr>
                <w:rFonts w:asciiTheme="minorHAnsi" w:hAnsiTheme="minorHAnsi" w:cstheme="minorHAnsi"/>
                <w:spacing w:val="-5"/>
              </w:rPr>
              <w:t xml:space="preserve"> </w:t>
            </w:r>
            <w:r w:rsidRPr="00640161">
              <w:rPr>
                <w:rFonts w:asciiTheme="minorHAnsi" w:hAnsiTheme="minorHAnsi" w:cstheme="minorHAnsi"/>
              </w:rPr>
              <w:t>of</w:t>
            </w:r>
            <w:r w:rsidRPr="00640161">
              <w:rPr>
                <w:rFonts w:asciiTheme="minorHAnsi" w:hAnsiTheme="minorHAnsi" w:cstheme="minorHAnsi"/>
                <w:spacing w:val="-5"/>
              </w:rPr>
              <w:t xml:space="preserve"> </w:t>
            </w:r>
            <w:r w:rsidRPr="00640161">
              <w:rPr>
                <w:rFonts w:asciiTheme="minorHAnsi" w:hAnsiTheme="minorHAnsi" w:cstheme="minorHAnsi"/>
                <w:spacing w:val="-2"/>
              </w:rPr>
              <w:t>Sydney</w:t>
            </w:r>
          </w:p>
        </w:tc>
        <w:tc>
          <w:tcPr>
            <w:tcW w:w="1417" w:type="dxa"/>
          </w:tcPr>
          <w:p w14:paraId="0B4BF7EC"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Not stated.</w:t>
            </w:r>
          </w:p>
        </w:tc>
        <w:tc>
          <w:tcPr>
            <w:tcW w:w="1560" w:type="dxa"/>
          </w:tcPr>
          <w:p w14:paraId="7C72D666"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Addiction medicine</w:t>
            </w:r>
          </w:p>
        </w:tc>
        <w:tc>
          <w:tcPr>
            <w:tcW w:w="2126" w:type="dxa"/>
          </w:tcPr>
          <w:p w14:paraId="5C97F3B3"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“Gender” used appropriately, including in two gender-focused chapters; also used to mean “sex”. “Sex” used occasionally. “Gender” discussed rather than defined.</w:t>
            </w:r>
          </w:p>
        </w:tc>
        <w:tc>
          <w:tcPr>
            <w:tcW w:w="1984" w:type="dxa"/>
          </w:tcPr>
          <w:p w14:paraId="4C6D0267"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Sex</w:t>
            </w:r>
            <w:r w:rsidRPr="00640161">
              <w:rPr>
                <w:rFonts w:asciiTheme="minorHAnsi" w:hAnsiTheme="minorHAnsi" w:cstheme="minorHAnsi"/>
                <w:spacing w:val="-13"/>
              </w:rPr>
              <w:t xml:space="preserve"> </w:t>
            </w:r>
            <w:r w:rsidRPr="00640161">
              <w:rPr>
                <w:rFonts w:asciiTheme="minorHAnsi" w:hAnsiTheme="minorHAnsi" w:cstheme="minorHAnsi"/>
              </w:rPr>
              <w:t>related</w:t>
            </w:r>
            <w:r w:rsidRPr="00640161">
              <w:rPr>
                <w:rFonts w:asciiTheme="minorHAnsi" w:hAnsiTheme="minorHAnsi" w:cstheme="minorHAnsi"/>
                <w:spacing w:val="-12"/>
              </w:rPr>
              <w:t xml:space="preserve"> </w:t>
            </w:r>
            <w:r w:rsidRPr="00640161">
              <w:rPr>
                <w:rFonts w:asciiTheme="minorHAnsi" w:hAnsiTheme="minorHAnsi" w:cstheme="minorHAnsi"/>
              </w:rPr>
              <w:t>prevalence,</w:t>
            </w:r>
            <w:r w:rsidRPr="00640161">
              <w:rPr>
                <w:rFonts w:asciiTheme="minorHAnsi" w:hAnsiTheme="minorHAnsi" w:cstheme="minorHAnsi"/>
                <w:spacing w:val="-13"/>
              </w:rPr>
              <w:t xml:space="preserve"> </w:t>
            </w:r>
            <w:r w:rsidRPr="00640161">
              <w:rPr>
                <w:rFonts w:asciiTheme="minorHAnsi" w:hAnsiTheme="minorHAnsi" w:cstheme="minorHAnsi"/>
              </w:rPr>
              <w:t xml:space="preserve">risk </w:t>
            </w:r>
            <w:r w:rsidRPr="00640161">
              <w:rPr>
                <w:rFonts w:asciiTheme="minorHAnsi" w:hAnsiTheme="minorHAnsi" w:cstheme="minorHAnsi"/>
                <w:spacing w:val="-2"/>
              </w:rPr>
              <w:t>factors.</w:t>
            </w:r>
          </w:p>
        </w:tc>
        <w:tc>
          <w:tcPr>
            <w:tcW w:w="1843" w:type="dxa"/>
          </w:tcPr>
          <w:p w14:paraId="0D02043C" w14:textId="77777777" w:rsidR="00094656" w:rsidRPr="00640161" w:rsidRDefault="00094656" w:rsidP="0067273F">
            <w:pPr>
              <w:pStyle w:val="TableParagraph"/>
              <w:ind w:left="138" w:right="111"/>
              <w:rPr>
                <w:rFonts w:asciiTheme="minorHAnsi" w:hAnsiTheme="minorHAnsi" w:cstheme="minorHAnsi"/>
              </w:rPr>
            </w:pPr>
            <w:r w:rsidRPr="00640161">
              <w:rPr>
                <w:rFonts w:asciiTheme="minorHAnsi" w:hAnsiTheme="minorHAnsi" w:cstheme="minorHAnsi"/>
              </w:rPr>
              <w:t xml:space="preserve">Gender-specific matters: e.g., </w:t>
            </w:r>
            <w:r>
              <w:rPr>
                <w:rFonts w:asciiTheme="minorHAnsi" w:hAnsiTheme="minorHAnsi" w:cstheme="minorHAnsi"/>
              </w:rPr>
              <w:t xml:space="preserve">gender roles, experience of alcohol consumption, </w:t>
            </w:r>
            <w:r w:rsidRPr="00640161">
              <w:rPr>
                <w:rFonts w:asciiTheme="minorHAnsi" w:hAnsiTheme="minorHAnsi" w:cstheme="minorHAnsi"/>
              </w:rPr>
              <w:t>domestic</w:t>
            </w:r>
            <w:r w:rsidRPr="00640161">
              <w:rPr>
                <w:rFonts w:asciiTheme="minorHAnsi" w:hAnsiTheme="minorHAnsi" w:cstheme="minorHAnsi"/>
                <w:spacing w:val="-13"/>
              </w:rPr>
              <w:t xml:space="preserve"> </w:t>
            </w:r>
            <w:r w:rsidRPr="00640161">
              <w:rPr>
                <w:rFonts w:asciiTheme="minorHAnsi" w:hAnsiTheme="minorHAnsi" w:cstheme="minorHAnsi"/>
              </w:rPr>
              <w:t>violence,</w:t>
            </w:r>
            <w:r w:rsidRPr="00640161">
              <w:rPr>
                <w:rFonts w:asciiTheme="minorHAnsi" w:hAnsiTheme="minorHAnsi" w:cstheme="minorHAnsi"/>
                <w:spacing w:val="-12"/>
              </w:rPr>
              <w:t xml:space="preserve"> </w:t>
            </w:r>
            <w:r w:rsidRPr="00640161">
              <w:rPr>
                <w:rFonts w:asciiTheme="minorHAnsi" w:hAnsiTheme="minorHAnsi" w:cstheme="minorHAnsi"/>
              </w:rPr>
              <w:t xml:space="preserve">contraception. Gender-diverse people </w:t>
            </w:r>
            <w:r w:rsidRPr="00640161">
              <w:rPr>
                <w:rFonts w:asciiTheme="minorHAnsi" w:hAnsiTheme="minorHAnsi" w:cstheme="minorHAnsi"/>
                <w:spacing w:val="-2"/>
              </w:rPr>
              <w:t>considered.</w:t>
            </w:r>
            <w:r>
              <w:rPr>
                <w:rFonts w:asciiTheme="minorHAnsi" w:hAnsiTheme="minorHAnsi" w:cstheme="minorHAnsi"/>
                <w:spacing w:val="-2"/>
              </w:rPr>
              <w:t xml:space="preserve"> </w:t>
            </w:r>
          </w:p>
        </w:tc>
        <w:tc>
          <w:tcPr>
            <w:tcW w:w="1276" w:type="dxa"/>
          </w:tcPr>
          <w:p w14:paraId="21692AF8" w14:textId="77777777" w:rsidR="00094656" w:rsidRPr="00640161" w:rsidRDefault="00094656" w:rsidP="0067273F">
            <w:pPr>
              <w:pStyle w:val="TableParagraph"/>
              <w:ind w:left="104"/>
              <w:rPr>
                <w:rFonts w:asciiTheme="minorHAnsi" w:hAnsiTheme="minorHAnsi" w:cstheme="minorHAnsi"/>
              </w:rPr>
            </w:pPr>
            <w:r>
              <w:rPr>
                <w:rFonts w:asciiTheme="minorHAnsi" w:hAnsiTheme="minorHAnsi" w:cstheme="minorHAnsi"/>
              </w:rPr>
              <w:t xml:space="preserve">Minimal details of method; </w:t>
            </w:r>
            <w:r w:rsidRPr="00640161">
              <w:rPr>
                <w:rFonts w:asciiTheme="minorHAnsi" w:hAnsiTheme="minorHAnsi" w:cstheme="minorHAnsi"/>
              </w:rPr>
              <w:t>NHMRC levels of evidence.</w:t>
            </w:r>
          </w:p>
        </w:tc>
      </w:tr>
      <w:tr w:rsidR="00094656" w:rsidRPr="00640161" w14:paraId="64B4884A" w14:textId="77777777" w:rsidTr="0067273F">
        <w:trPr>
          <w:cantSplit/>
        </w:trPr>
        <w:tc>
          <w:tcPr>
            <w:tcW w:w="1575" w:type="dxa"/>
          </w:tcPr>
          <w:p w14:paraId="1C08EE87" w14:textId="77777777" w:rsidR="00094656" w:rsidRPr="00640161" w:rsidRDefault="00094656" w:rsidP="0067273F">
            <w:pPr>
              <w:pStyle w:val="TableParagraph"/>
              <w:ind w:left="108" w:right="96"/>
              <w:jc w:val="both"/>
              <w:rPr>
                <w:rFonts w:asciiTheme="minorHAnsi" w:hAnsiTheme="minorHAnsi" w:cstheme="minorHAnsi"/>
                <w:b/>
              </w:rPr>
            </w:pPr>
            <w:r w:rsidRPr="00640161">
              <w:rPr>
                <w:rFonts w:asciiTheme="minorHAnsi" w:hAnsiTheme="minorHAnsi" w:cstheme="minorHAnsi"/>
                <w:b/>
              </w:rPr>
              <w:lastRenderedPageBreak/>
              <w:t>Victoria</w:t>
            </w:r>
            <w:r w:rsidRPr="00640161">
              <w:rPr>
                <w:rFonts w:asciiTheme="minorHAnsi" w:hAnsiTheme="minorHAnsi" w:cstheme="minorHAnsi"/>
                <w:b/>
                <w:spacing w:val="-13"/>
              </w:rPr>
              <w:t xml:space="preserve"> </w:t>
            </w:r>
            <w:r w:rsidRPr="00640161">
              <w:rPr>
                <w:rFonts w:asciiTheme="minorHAnsi" w:hAnsiTheme="minorHAnsi" w:cstheme="minorHAnsi"/>
                <w:b/>
              </w:rPr>
              <w:t xml:space="preserve">State </w:t>
            </w:r>
            <w:r w:rsidRPr="00640161">
              <w:rPr>
                <w:rFonts w:asciiTheme="minorHAnsi" w:hAnsiTheme="minorHAnsi" w:cstheme="minorHAnsi"/>
                <w:b/>
                <w:spacing w:val="-2"/>
              </w:rPr>
              <w:t>Government</w:t>
            </w:r>
            <w:r>
              <w:rPr>
                <w:rFonts w:asciiTheme="minorHAnsi" w:hAnsiTheme="minorHAnsi" w:cstheme="minorHAnsi"/>
                <w:b/>
                <w:spacing w:val="-2"/>
              </w:rPr>
              <w:t xml:space="preserve"> Department of Health</w:t>
            </w:r>
          </w:p>
        </w:tc>
        <w:tc>
          <w:tcPr>
            <w:tcW w:w="3119" w:type="dxa"/>
          </w:tcPr>
          <w:p w14:paraId="1DB37561" w14:textId="77777777" w:rsidR="00094656" w:rsidRDefault="00094656" w:rsidP="0067273F">
            <w:pPr>
              <w:pStyle w:val="TableParagraph"/>
              <w:keepNext/>
              <w:keepLines/>
              <w:widowControl/>
              <w:ind w:right="97"/>
              <w:rPr>
                <w:rFonts w:asciiTheme="minorHAnsi" w:hAnsiTheme="minorHAnsi" w:cstheme="minorHAnsi"/>
              </w:rPr>
            </w:pPr>
            <w:r w:rsidRPr="00640161">
              <w:rPr>
                <w:rFonts w:asciiTheme="minorHAnsi" w:hAnsiTheme="minorHAnsi" w:cstheme="minorHAnsi"/>
              </w:rPr>
              <w:t>Alcohol</w:t>
            </w:r>
            <w:r w:rsidRPr="00640161">
              <w:rPr>
                <w:rFonts w:asciiTheme="minorHAnsi" w:hAnsiTheme="minorHAnsi" w:cstheme="minorHAnsi"/>
                <w:spacing w:val="-9"/>
              </w:rPr>
              <w:t xml:space="preserve"> </w:t>
            </w:r>
            <w:r w:rsidRPr="00640161">
              <w:rPr>
                <w:rFonts w:asciiTheme="minorHAnsi" w:hAnsiTheme="minorHAnsi" w:cstheme="minorHAnsi"/>
              </w:rPr>
              <w:t>and</w:t>
            </w:r>
            <w:r w:rsidRPr="00640161">
              <w:rPr>
                <w:rFonts w:asciiTheme="minorHAnsi" w:hAnsiTheme="minorHAnsi" w:cstheme="minorHAnsi"/>
                <w:spacing w:val="-9"/>
              </w:rPr>
              <w:t xml:space="preserve"> </w:t>
            </w:r>
            <w:r w:rsidRPr="00640161">
              <w:rPr>
                <w:rFonts w:asciiTheme="minorHAnsi" w:hAnsiTheme="minorHAnsi" w:cstheme="minorHAnsi"/>
              </w:rPr>
              <w:t>other</w:t>
            </w:r>
            <w:r w:rsidRPr="00640161">
              <w:rPr>
                <w:rFonts w:asciiTheme="minorHAnsi" w:hAnsiTheme="minorHAnsi" w:cstheme="minorHAnsi"/>
                <w:spacing w:val="-9"/>
              </w:rPr>
              <w:t xml:space="preserve"> </w:t>
            </w:r>
            <w:r w:rsidRPr="00640161">
              <w:rPr>
                <w:rFonts w:asciiTheme="minorHAnsi" w:hAnsiTheme="minorHAnsi" w:cstheme="minorHAnsi"/>
              </w:rPr>
              <w:t>drugs</w:t>
            </w:r>
            <w:r w:rsidRPr="00640161">
              <w:rPr>
                <w:rFonts w:asciiTheme="minorHAnsi" w:hAnsiTheme="minorHAnsi" w:cstheme="minorHAnsi"/>
                <w:spacing w:val="-9"/>
              </w:rPr>
              <w:t xml:space="preserve"> </w:t>
            </w:r>
            <w:r w:rsidRPr="00640161">
              <w:rPr>
                <w:rFonts w:asciiTheme="minorHAnsi" w:hAnsiTheme="minorHAnsi" w:cstheme="minorHAnsi"/>
              </w:rPr>
              <w:t xml:space="preserve">program guidelines, </w:t>
            </w:r>
            <w:r>
              <w:rPr>
                <w:rFonts w:asciiTheme="minorHAnsi" w:hAnsiTheme="minorHAnsi" w:cstheme="minorHAnsi"/>
              </w:rPr>
              <w:t xml:space="preserve">2018, reviewed </w:t>
            </w:r>
            <w:r w:rsidRPr="00640161">
              <w:rPr>
                <w:rFonts w:asciiTheme="minorHAnsi" w:hAnsiTheme="minorHAnsi" w:cstheme="minorHAnsi"/>
              </w:rPr>
              <w:t>2023</w:t>
            </w:r>
          </w:p>
          <w:p w14:paraId="08AAD6E5" w14:textId="77777777" w:rsidR="00094656" w:rsidRPr="00640161" w:rsidRDefault="00094656" w:rsidP="0067273F">
            <w:pPr>
              <w:pStyle w:val="TableParagraph"/>
              <w:keepNext/>
              <w:keepLines/>
              <w:widowControl/>
              <w:ind w:right="97"/>
              <w:rPr>
                <w:rFonts w:asciiTheme="minorHAnsi" w:hAnsiTheme="minorHAnsi" w:cstheme="minorHAnsi"/>
              </w:rPr>
            </w:pPr>
            <w:r>
              <w:rPr>
                <w:rFonts w:asciiTheme="minorHAnsi" w:hAnsiTheme="minorHAnsi" w:cstheme="minorHAnsi"/>
              </w:rPr>
              <w:t xml:space="preserve">Part 1, overview; part 2, program &amp; service specifications; part 3, </w:t>
            </w:r>
            <w:r w:rsidRPr="00C50FC2">
              <w:rPr>
                <w:rFonts w:cs="Arial"/>
              </w:rPr>
              <w:t>quality, reporting and performance management</w:t>
            </w:r>
            <w:r>
              <w:rPr>
                <w:rFonts w:cs="Arial"/>
              </w:rPr>
              <w:t>.</w:t>
            </w:r>
          </w:p>
          <w:p w14:paraId="1D02BBB4" w14:textId="77777777" w:rsidR="00094656" w:rsidRPr="00640161" w:rsidRDefault="00094656" w:rsidP="0067273F">
            <w:pPr>
              <w:pStyle w:val="TableParagraph"/>
              <w:spacing w:before="3"/>
              <w:ind w:left="108" w:right="96"/>
              <w:rPr>
                <w:rFonts w:asciiTheme="minorHAnsi" w:hAnsiTheme="minorHAnsi" w:cstheme="minorHAnsi"/>
                <w:b/>
              </w:rPr>
            </w:pPr>
          </w:p>
          <w:p w14:paraId="0CE797D3" w14:textId="77777777" w:rsidR="00094656" w:rsidRPr="00640161" w:rsidRDefault="00094656" w:rsidP="0067273F">
            <w:pPr>
              <w:pStyle w:val="TableParagraph"/>
              <w:ind w:left="108" w:right="96"/>
              <w:rPr>
                <w:rFonts w:asciiTheme="minorHAnsi" w:hAnsiTheme="minorHAnsi" w:cstheme="minorHAnsi"/>
                <w:highlight w:val="yellow"/>
              </w:rPr>
            </w:pPr>
            <w:r w:rsidRPr="00CC08A6">
              <w:t>https://www.health.vic.gov.au/aod-service-standards-guidelines/alcohol-and-other-drug-program-guidelines</w:t>
            </w:r>
          </w:p>
        </w:tc>
        <w:tc>
          <w:tcPr>
            <w:tcW w:w="1417" w:type="dxa"/>
          </w:tcPr>
          <w:p w14:paraId="2BB82C4E" w14:textId="77777777" w:rsidR="00094656" w:rsidRPr="00640161" w:rsidRDefault="00094656" w:rsidP="0067273F">
            <w:pPr>
              <w:pStyle w:val="TableParagraph"/>
              <w:spacing w:before="0"/>
              <w:rPr>
                <w:rFonts w:asciiTheme="minorHAnsi" w:hAnsiTheme="minorHAnsi" w:cstheme="minorHAnsi"/>
              </w:rPr>
            </w:pPr>
            <w:r>
              <w:rPr>
                <w:rFonts w:asciiTheme="minorHAnsi" w:hAnsiTheme="minorHAnsi" w:cstheme="minorHAnsi"/>
              </w:rPr>
              <w:t>Victorian Government</w:t>
            </w:r>
          </w:p>
        </w:tc>
        <w:tc>
          <w:tcPr>
            <w:tcW w:w="1560" w:type="dxa"/>
          </w:tcPr>
          <w:p w14:paraId="53887E15"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Addiction medicine</w:t>
            </w:r>
          </w:p>
        </w:tc>
        <w:tc>
          <w:tcPr>
            <w:tcW w:w="2126" w:type="dxa"/>
          </w:tcPr>
          <w:p w14:paraId="3659CBFD" w14:textId="5E7E39A9" w:rsidR="00094656" w:rsidRDefault="00094656" w:rsidP="0067273F">
            <w:pPr>
              <w:pStyle w:val="TableParagraph"/>
              <w:rPr>
                <w:rFonts w:asciiTheme="minorHAnsi" w:hAnsiTheme="minorHAnsi" w:cstheme="minorHAnsi"/>
              </w:rPr>
            </w:pPr>
            <w:r>
              <w:rPr>
                <w:rFonts w:asciiTheme="minorHAnsi" w:hAnsiTheme="minorHAnsi" w:cstheme="minorHAnsi"/>
              </w:rPr>
              <w:t xml:space="preserve">Part 1: “Gender” used </w:t>
            </w:r>
            <w:r w:rsidR="00147452">
              <w:rPr>
                <w:rFonts w:asciiTheme="minorHAnsi" w:hAnsiTheme="minorHAnsi" w:cstheme="minorHAnsi"/>
              </w:rPr>
              <w:t>x1</w:t>
            </w:r>
            <w:r>
              <w:rPr>
                <w:rFonts w:asciiTheme="minorHAnsi" w:hAnsiTheme="minorHAnsi" w:cstheme="minorHAnsi"/>
              </w:rPr>
              <w:t xml:space="preserve">: “gender-diverse”, not defined. “Sex”, “women”, “men”, “female”, “male” not found in text search. </w:t>
            </w:r>
          </w:p>
          <w:p w14:paraId="2DF37304" w14:textId="0CD75232" w:rsidR="00094656" w:rsidRDefault="00094656" w:rsidP="0067273F">
            <w:pPr>
              <w:pStyle w:val="TableParagraph"/>
              <w:rPr>
                <w:rFonts w:asciiTheme="minorHAnsi" w:hAnsiTheme="minorHAnsi" w:cstheme="minorHAnsi"/>
              </w:rPr>
            </w:pPr>
            <w:r>
              <w:rPr>
                <w:rFonts w:asciiTheme="minorHAnsi" w:hAnsiTheme="minorHAnsi" w:cstheme="minorHAnsi"/>
              </w:rPr>
              <w:t xml:space="preserve">Part 2: “Gender” used for “sex”; </w:t>
            </w:r>
            <w:r w:rsidR="00147452">
              <w:rPr>
                <w:rFonts w:asciiTheme="minorHAnsi" w:hAnsiTheme="minorHAnsi" w:cstheme="minorHAnsi"/>
              </w:rPr>
              <w:t>1</w:t>
            </w:r>
            <w:r>
              <w:rPr>
                <w:rFonts w:asciiTheme="minorHAnsi" w:hAnsiTheme="minorHAnsi" w:cstheme="minorHAnsi"/>
              </w:rPr>
              <w:t xml:space="preserve"> use each of “gender sensitive”, “gender circumstances”. Specialist services for women named. “Sex”, “men”, “female”, “male” not found in text search.</w:t>
            </w:r>
          </w:p>
          <w:p w14:paraId="6F902C94" w14:textId="77777777" w:rsidR="00094656" w:rsidRPr="00640161" w:rsidRDefault="00094656" w:rsidP="0067273F">
            <w:pPr>
              <w:pStyle w:val="TableParagraph"/>
              <w:rPr>
                <w:rFonts w:asciiTheme="minorHAnsi" w:hAnsiTheme="minorHAnsi" w:cstheme="minorHAnsi"/>
              </w:rPr>
            </w:pPr>
            <w:r>
              <w:rPr>
                <w:rFonts w:asciiTheme="minorHAnsi" w:hAnsiTheme="minorHAnsi" w:cstheme="minorHAnsi"/>
              </w:rPr>
              <w:t xml:space="preserve">Part 3: “Gender”, “sex” (undefined) in relation to LGBTQI people (“sex and gender non-conforming”). “Female”, “male”, women”, “men” not found </w:t>
            </w:r>
            <w:proofErr w:type="gramStart"/>
            <w:r>
              <w:rPr>
                <w:rFonts w:asciiTheme="minorHAnsi" w:hAnsiTheme="minorHAnsi" w:cstheme="minorHAnsi"/>
              </w:rPr>
              <w:t>in  text</w:t>
            </w:r>
            <w:proofErr w:type="gramEnd"/>
            <w:r>
              <w:rPr>
                <w:rFonts w:asciiTheme="minorHAnsi" w:hAnsiTheme="minorHAnsi" w:cstheme="minorHAnsi"/>
              </w:rPr>
              <w:t xml:space="preserve"> search. </w:t>
            </w:r>
          </w:p>
        </w:tc>
        <w:tc>
          <w:tcPr>
            <w:tcW w:w="1984" w:type="dxa"/>
          </w:tcPr>
          <w:p w14:paraId="090B1897" w14:textId="77777777" w:rsidR="00094656" w:rsidRPr="00640161" w:rsidRDefault="00094656" w:rsidP="0067273F">
            <w:pPr>
              <w:pStyle w:val="TableParagraph"/>
              <w:ind w:left="108" w:right="96"/>
              <w:rPr>
                <w:rFonts w:asciiTheme="minorHAnsi" w:hAnsiTheme="minorHAnsi" w:cstheme="minorHAnsi"/>
              </w:rPr>
            </w:pPr>
            <w:r>
              <w:rPr>
                <w:rFonts w:asciiTheme="minorHAnsi" w:hAnsiTheme="minorHAnsi" w:cstheme="minorHAnsi"/>
              </w:rPr>
              <w:t>Prevalence, services.</w:t>
            </w:r>
          </w:p>
        </w:tc>
        <w:tc>
          <w:tcPr>
            <w:tcW w:w="1843" w:type="dxa"/>
          </w:tcPr>
          <w:p w14:paraId="09BAFED9" w14:textId="77777777" w:rsidR="00094656" w:rsidRPr="00640161" w:rsidRDefault="00094656" w:rsidP="0067273F">
            <w:pPr>
              <w:pStyle w:val="TableParagraph"/>
              <w:ind w:left="138" w:right="111"/>
              <w:rPr>
                <w:rFonts w:asciiTheme="minorHAnsi" w:hAnsiTheme="minorHAnsi" w:cstheme="minorHAnsi"/>
              </w:rPr>
            </w:pPr>
            <w:r>
              <w:rPr>
                <w:rFonts w:asciiTheme="minorHAnsi" w:hAnsiTheme="minorHAnsi" w:cstheme="minorHAnsi"/>
              </w:rPr>
              <w:t>Women’s &amp; mother’s needs discussed. Implicit gender awareness.</w:t>
            </w:r>
          </w:p>
        </w:tc>
        <w:tc>
          <w:tcPr>
            <w:tcW w:w="1276" w:type="dxa"/>
          </w:tcPr>
          <w:p w14:paraId="65CF81D4" w14:textId="77777777" w:rsidR="00094656" w:rsidRPr="00640161" w:rsidRDefault="00094656" w:rsidP="0067273F">
            <w:pPr>
              <w:pStyle w:val="TableParagraph"/>
              <w:ind w:left="108" w:right="96"/>
              <w:rPr>
                <w:rFonts w:asciiTheme="minorHAnsi" w:hAnsiTheme="minorHAnsi" w:cstheme="minorHAnsi"/>
              </w:rPr>
            </w:pPr>
            <w:r w:rsidRPr="00640161">
              <w:rPr>
                <w:rFonts w:asciiTheme="minorHAnsi" w:hAnsiTheme="minorHAnsi" w:cstheme="minorHAnsi"/>
              </w:rPr>
              <w:t>No</w:t>
            </w:r>
            <w:r>
              <w:rPr>
                <w:rFonts w:asciiTheme="minorHAnsi" w:hAnsiTheme="minorHAnsi" w:cstheme="minorHAnsi"/>
              </w:rPr>
              <w:t xml:space="preserve"> details of method; “evidence-informed”.</w:t>
            </w:r>
          </w:p>
        </w:tc>
      </w:tr>
    </w:tbl>
    <w:p w14:paraId="0426D136" w14:textId="59E76DDC" w:rsidR="00EB2B55" w:rsidRDefault="00EB2B55" w:rsidP="00094656">
      <w:pPr>
        <w:rPr>
          <w:b/>
          <w:sz w:val="24"/>
          <w:szCs w:val="24"/>
        </w:rPr>
      </w:pPr>
    </w:p>
    <w:sectPr w:rsidR="00EB2B55" w:rsidSect="00A5303F">
      <w:pgSz w:w="16838" w:h="11906" w:orient="landscape"/>
      <w:pgMar w:top="720" w:right="720" w:bottom="720" w:left="720" w:header="708" w:footer="708"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07B22" w14:textId="77777777" w:rsidR="00C87C5F" w:rsidRDefault="00C87C5F" w:rsidP="00EB2B55">
      <w:pPr>
        <w:spacing w:after="0" w:line="240" w:lineRule="auto"/>
      </w:pPr>
      <w:r>
        <w:separator/>
      </w:r>
    </w:p>
  </w:endnote>
  <w:endnote w:type="continuationSeparator" w:id="0">
    <w:p w14:paraId="6A12EF1E" w14:textId="77777777" w:rsidR="00C87C5F" w:rsidRDefault="00C87C5F" w:rsidP="00EB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PBDC L+ Gulliver">
    <w:altName w:val="Cambria"/>
    <w:panose1 w:val="00000000000000000000"/>
    <w:charset w:val="00"/>
    <w:family w:val="roman"/>
    <w:notTrueType/>
    <w:pitch w:val="default"/>
    <w:sig w:usb0="00000003" w:usb1="00000000" w:usb2="00000000" w:usb3="00000000" w:csb0="00000001" w:csb1="00000000"/>
  </w:font>
  <w:font w:name="Arial Nova Light">
    <w:charset w:val="00"/>
    <w:family w:val="swiss"/>
    <w:pitch w:val="variable"/>
    <w:sig w:usb0="0000028F" w:usb1="00000002" w:usb2="00000000" w:usb3="00000000" w:csb0="0000019F" w:csb1="00000000"/>
  </w:font>
  <w:font w:name="Carlito">
    <w:altName w:val="Arial"/>
    <w:charset w:val="00"/>
    <w:family w:val="swiss"/>
    <w:pitch w:val="variable"/>
  </w:font>
  <w:font w:name="Yu Mincho">
    <w:altName w:val="游明朝"/>
    <w:charset w:val="80"/>
    <w:family w:val="roman"/>
    <w:pitch w:val="variable"/>
    <w:sig w:usb0="800002E7" w:usb1="2AC7FCFF" w:usb2="00000012" w:usb3="00000000" w:csb0="0002009F" w:csb1="00000000"/>
  </w:font>
  <w:font w:name="ThiemeGulliver2011-Regular">
    <w:altName w:val="Yu Gothic"/>
    <w:panose1 w:val="00000000000000000000"/>
    <w:charset w:val="80"/>
    <w:family w:val="auto"/>
    <w:notTrueType/>
    <w:pitch w:val="default"/>
    <w:sig w:usb0="00000001" w:usb1="08070000" w:usb2="00000010" w:usb3="00000000" w:csb0="00020000" w:csb1="00000000"/>
  </w:font>
  <w:font w:name="FhhlgjAdvTTb5929f4c">
    <w:altName w:val="Calibri"/>
    <w:panose1 w:val="00000000000000000000"/>
    <w:charset w:val="00"/>
    <w:family w:val="swiss"/>
    <w:notTrueType/>
    <w:pitch w:val="default"/>
    <w:sig w:usb0="00000003" w:usb1="00000000" w:usb2="00000000" w:usb3="00000000" w:csb0="00000001" w:csb1="00000000"/>
  </w:font>
  <w:font w:name="Frutiger-Light">
    <w:altName w:val="Yu Gothic"/>
    <w:charset w:val="80"/>
    <w:family w:val="swiss"/>
    <w:pitch w:val="default"/>
    <w:sig w:usb0="00000001" w:usb1="08070000" w:usb2="00000010" w:usb3="00000000" w:csb0="00020000" w:csb1="00000000"/>
  </w:font>
  <w:font w:name="TimesNewRomanPSMT">
    <w:altName w:val="Yu Gothic"/>
    <w:panose1 w:val="00000000000000000000"/>
    <w:charset w:val="80"/>
    <w:family w:val="roman"/>
    <w:notTrueType/>
    <w:pitch w:val="default"/>
    <w:sig w:usb0="00000001" w:usb1="08070000" w:usb2="00000010" w:usb3="00000000" w:csb0="00020000" w:csb1="00000000"/>
  </w:font>
  <w:font w:name="Roboto-Regular">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0482198"/>
      <w:docPartObj>
        <w:docPartGallery w:val="Page Numbers (Bottom of Page)"/>
        <w:docPartUnique/>
      </w:docPartObj>
    </w:sdtPr>
    <w:sdtEndPr>
      <w:rPr>
        <w:noProof/>
      </w:rPr>
    </w:sdtEndPr>
    <w:sdtContent>
      <w:p w14:paraId="76AB3EEA" w14:textId="47F2CE1D" w:rsidR="00DA0F96" w:rsidRDefault="00DA0F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379633" w14:textId="2A7B7479" w:rsidR="009A0F85" w:rsidRPr="005A1455" w:rsidRDefault="00DA0F96">
    <w:pPr>
      <w:pStyle w:val="Footer"/>
      <w:rPr>
        <w:color w:val="4C2863"/>
      </w:rPr>
    </w:pPr>
    <w:r w:rsidRPr="005A1455">
      <w:rPr>
        <w:color w:val="4C2863"/>
      </w:rPr>
      <w:t>Literature review to inform strategies to address sex and gender bias in the health system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2556992"/>
      <w:docPartObj>
        <w:docPartGallery w:val="Page Numbers (Bottom of Page)"/>
        <w:docPartUnique/>
      </w:docPartObj>
    </w:sdtPr>
    <w:sdtEndPr>
      <w:rPr>
        <w:rStyle w:val="PageNumber"/>
      </w:rPr>
    </w:sdtEndPr>
    <w:sdtContent>
      <w:p w14:paraId="279241DB" w14:textId="77777777" w:rsidR="009A0F85" w:rsidRDefault="009A0F85" w:rsidP="003414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F52D93" w14:textId="77777777" w:rsidR="009A0F85" w:rsidRDefault="009A0F85" w:rsidP="003414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718F5" w14:textId="77777777" w:rsidR="00C87C5F" w:rsidRDefault="00C87C5F" w:rsidP="00EB2B55">
      <w:pPr>
        <w:spacing w:after="0" w:line="240" w:lineRule="auto"/>
      </w:pPr>
      <w:r>
        <w:separator/>
      </w:r>
    </w:p>
  </w:footnote>
  <w:footnote w:type="continuationSeparator" w:id="0">
    <w:p w14:paraId="2F639D76" w14:textId="77777777" w:rsidR="00C87C5F" w:rsidRDefault="00C87C5F" w:rsidP="00EB2B55">
      <w:pPr>
        <w:spacing w:after="0" w:line="240" w:lineRule="auto"/>
      </w:pPr>
      <w:r>
        <w:continuationSeparator/>
      </w:r>
    </w:p>
  </w:footnote>
  <w:footnote w:id="1">
    <w:p w14:paraId="42E12D01" w14:textId="77777777" w:rsidR="009A0F85" w:rsidRPr="000654B5" w:rsidRDefault="009A0F85">
      <w:pPr>
        <w:pStyle w:val="FootnoteText"/>
        <w:rPr>
          <w:sz w:val="18"/>
          <w:szCs w:val="18"/>
        </w:rPr>
      </w:pPr>
      <w:r w:rsidRPr="000654B5">
        <w:rPr>
          <w:rStyle w:val="FootnoteReference"/>
          <w:sz w:val="18"/>
          <w:szCs w:val="18"/>
        </w:rPr>
        <w:footnoteRef/>
      </w:r>
      <w:r w:rsidRPr="000654B5">
        <w:rPr>
          <w:sz w:val="18"/>
          <w:szCs w:val="18"/>
        </w:rPr>
        <w:t xml:space="preserve"> </w:t>
      </w:r>
      <w:r>
        <w:rPr>
          <w:sz w:val="18"/>
          <w:szCs w:val="18"/>
        </w:rPr>
        <w:t xml:space="preserve"> Australian Human Rights; </w:t>
      </w:r>
      <w:r w:rsidRPr="000654B5">
        <w:rPr>
          <w:sz w:val="18"/>
          <w:szCs w:val="18"/>
        </w:rPr>
        <w:t>https://humanrights.gov.au/about</w:t>
      </w:r>
    </w:p>
  </w:footnote>
  <w:footnote w:id="2">
    <w:p w14:paraId="538845DF" w14:textId="77777777" w:rsidR="009A0F85" w:rsidRPr="00E07D12" w:rsidRDefault="009A0F85">
      <w:pPr>
        <w:pStyle w:val="FootnoteText"/>
        <w:rPr>
          <w:sz w:val="18"/>
          <w:szCs w:val="18"/>
        </w:rPr>
      </w:pPr>
      <w:r w:rsidRPr="00E07D12">
        <w:rPr>
          <w:rStyle w:val="FootnoteReference"/>
          <w:sz w:val="18"/>
          <w:szCs w:val="18"/>
        </w:rPr>
        <w:footnoteRef/>
      </w:r>
      <w:r w:rsidRPr="00E07D12">
        <w:rPr>
          <w:sz w:val="18"/>
          <w:szCs w:val="18"/>
        </w:rPr>
        <w:t xml:space="preserve"> </w:t>
      </w:r>
      <w:r>
        <w:rPr>
          <w:sz w:val="18"/>
          <w:szCs w:val="18"/>
        </w:rPr>
        <w:t xml:space="preserve"> PAHO: </w:t>
      </w:r>
      <w:r w:rsidRPr="00E07D12">
        <w:rPr>
          <w:sz w:val="18"/>
          <w:szCs w:val="18"/>
        </w:rPr>
        <w:t>https://www.paho.org/en/topics/gender-equality-health</w:t>
      </w:r>
    </w:p>
  </w:footnote>
  <w:footnote w:id="3">
    <w:p w14:paraId="2DED52EE" w14:textId="77777777" w:rsidR="009A0F85" w:rsidRPr="00E07D12" w:rsidRDefault="009A0F85">
      <w:pPr>
        <w:pStyle w:val="FootnoteText"/>
        <w:rPr>
          <w:sz w:val="18"/>
          <w:szCs w:val="18"/>
        </w:rPr>
      </w:pPr>
      <w:r w:rsidRPr="00E07D12">
        <w:rPr>
          <w:rStyle w:val="FootnoteReference"/>
          <w:sz w:val="18"/>
          <w:szCs w:val="18"/>
        </w:rPr>
        <w:footnoteRef/>
      </w:r>
      <w:r w:rsidRPr="00E07D12">
        <w:rPr>
          <w:sz w:val="18"/>
          <w:szCs w:val="18"/>
        </w:rPr>
        <w:t xml:space="preserve">  USAID: https://www.usaid.gov/global-health/health-systems-innovation/gender-and-health</w:t>
      </w:r>
    </w:p>
  </w:footnote>
  <w:footnote w:id="4">
    <w:p w14:paraId="049342EA" w14:textId="77777777" w:rsidR="009A0F85" w:rsidRPr="00E07D12" w:rsidRDefault="009A0F85" w:rsidP="003414BB">
      <w:pPr>
        <w:spacing w:after="0"/>
        <w:rPr>
          <w:sz w:val="18"/>
          <w:szCs w:val="18"/>
        </w:rPr>
      </w:pPr>
      <w:r w:rsidRPr="00E07D12">
        <w:rPr>
          <w:rStyle w:val="FootnoteReference"/>
          <w:sz w:val="18"/>
          <w:szCs w:val="18"/>
        </w:rPr>
        <w:footnoteRef/>
      </w:r>
      <w:r w:rsidRPr="00E07D12">
        <w:rPr>
          <w:sz w:val="18"/>
          <w:szCs w:val="18"/>
        </w:rPr>
        <w:t xml:space="preserve">  WHO: https://www.who.int/health-topics/gender#tab=tab_1</w:t>
      </w:r>
    </w:p>
  </w:footnote>
  <w:footnote w:id="5">
    <w:p w14:paraId="207AC54E" w14:textId="77777777" w:rsidR="009A0F85" w:rsidRPr="00E07D12" w:rsidRDefault="009A0F85" w:rsidP="003414BB">
      <w:pPr>
        <w:rPr>
          <w:sz w:val="18"/>
          <w:szCs w:val="18"/>
        </w:rPr>
      </w:pPr>
      <w:r w:rsidRPr="00E07D12">
        <w:rPr>
          <w:rStyle w:val="FootnoteReference"/>
          <w:sz w:val="18"/>
          <w:szCs w:val="18"/>
        </w:rPr>
        <w:footnoteRef/>
      </w:r>
      <w:r w:rsidRPr="00E07D12">
        <w:rPr>
          <w:sz w:val="18"/>
          <w:szCs w:val="18"/>
        </w:rPr>
        <w:t xml:space="preserve">  WHO: https://www.who.int/health-topics/gender#tab=tab_1</w:t>
      </w:r>
    </w:p>
    <w:p w14:paraId="20F000F4" w14:textId="77777777" w:rsidR="009A0F85" w:rsidRDefault="009A0F85">
      <w:pPr>
        <w:pStyle w:val="FootnoteText"/>
      </w:pPr>
    </w:p>
  </w:footnote>
  <w:footnote w:id="6">
    <w:p w14:paraId="3DF3D2AE" w14:textId="77777777" w:rsidR="009A0F85" w:rsidRPr="0036408B" w:rsidRDefault="009A0F85" w:rsidP="00E2557F">
      <w:pPr>
        <w:pStyle w:val="FootnoteText"/>
      </w:pPr>
      <w:r w:rsidRPr="00DE0DB9">
        <w:rPr>
          <w:rStyle w:val="FootnoteReference"/>
        </w:rPr>
        <w:footnoteRef/>
      </w:r>
      <w:r w:rsidRPr="00DE0DB9">
        <w:t xml:space="preserve"> http://www.prisma-statement.org/PRISMAStatement/FlowDiagram</w:t>
      </w:r>
    </w:p>
  </w:footnote>
  <w:footnote w:id="7">
    <w:p w14:paraId="32614C49" w14:textId="77777777" w:rsidR="009A0F85" w:rsidRPr="0004134E" w:rsidRDefault="009A0F85" w:rsidP="003414BB">
      <w:pPr>
        <w:pStyle w:val="FootnoteText"/>
        <w:rPr>
          <w:sz w:val="18"/>
          <w:szCs w:val="18"/>
        </w:rPr>
      </w:pPr>
      <w:r w:rsidRPr="0004134E">
        <w:rPr>
          <w:rStyle w:val="FootnoteReference"/>
          <w:sz w:val="18"/>
          <w:szCs w:val="18"/>
        </w:rPr>
        <w:footnoteRef/>
      </w:r>
      <w:r w:rsidRPr="0004134E">
        <w:rPr>
          <w:sz w:val="18"/>
          <w:szCs w:val="18"/>
        </w:rPr>
        <w:t xml:space="preserve"> </w:t>
      </w:r>
      <w:r w:rsidRPr="0004134E">
        <w:rPr>
          <w:rFonts w:hint="eastAsia"/>
          <w:sz w:val="18"/>
          <w:szCs w:val="18"/>
        </w:rPr>
        <w:t>F</w:t>
      </w:r>
      <w:r w:rsidRPr="0004134E">
        <w:rPr>
          <w:sz w:val="18"/>
          <w:szCs w:val="18"/>
        </w:rPr>
        <w:t>or details, see at: https://ease.org.uk/wp-content/uploads/2023/01/EASE-SAGER-Checklist-2022.pdf</w:t>
      </w:r>
    </w:p>
  </w:footnote>
  <w:footnote w:id="8">
    <w:p w14:paraId="3180C8CA" w14:textId="77777777" w:rsidR="009A0F85" w:rsidRPr="00DA0003" w:rsidRDefault="009A0F85" w:rsidP="001C48F8">
      <w:pPr>
        <w:pStyle w:val="FootnoteText"/>
        <w:rPr>
          <w:sz w:val="18"/>
          <w:szCs w:val="18"/>
        </w:rPr>
      </w:pPr>
      <w:r w:rsidRPr="00A85150">
        <w:rPr>
          <w:rStyle w:val="FootnoteReference"/>
          <w:sz w:val="18"/>
          <w:szCs w:val="18"/>
        </w:rPr>
        <w:footnoteRef/>
      </w:r>
      <w:r w:rsidRPr="00A85150">
        <w:rPr>
          <w:sz w:val="18"/>
          <w:szCs w:val="18"/>
        </w:rPr>
        <w:t xml:space="preserve"> </w:t>
      </w:r>
      <w:r w:rsidRPr="00C47A04">
        <w:rPr>
          <w:rFonts w:hint="eastAsia"/>
          <w:sz w:val="18"/>
          <w:szCs w:val="18"/>
        </w:rPr>
        <w:t>S</w:t>
      </w:r>
      <w:r w:rsidRPr="00311F82">
        <w:rPr>
          <w:sz w:val="18"/>
          <w:szCs w:val="18"/>
        </w:rPr>
        <w:t>ee at: https://www.agreetrust.org/wp-content/uploads/2013/10/AGREE-II-Users-M</w:t>
      </w:r>
      <w:r w:rsidRPr="00DA0003">
        <w:rPr>
          <w:sz w:val="18"/>
          <w:szCs w:val="18"/>
        </w:rPr>
        <w:t>anual-and-23-item-Instrument_2009_UPDATE_2013.pdf</w:t>
      </w:r>
    </w:p>
  </w:footnote>
  <w:footnote w:id="9">
    <w:p w14:paraId="34A3CB58" w14:textId="77777777" w:rsidR="009A0F85" w:rsidRPr="00F10262" w:rsidRDefault="009A0F85" w:rsidP="001C48F8">
      <w:pPr>
        <w:pStyle w:val="FootnoteText"/>
        <w:rPr>
          <w:sz w:val="18"/>
          <w:szCs w:val="18"/>
          <w:u w:val="single"/>
        </w:rPr>
      </w:pPr>
      <w:r w:rsidRPr="00A85150">
        <w:rPr>
          <w:rStyle w:val="FootnoteReference"/>
          <w:sz w:val="18"/>
          <w:szCs w:val="18"/>
        </w:rPr>
        <w:footnoteRef/>
      </w:r>
      <w:r w:rsidRPr="00A85150">
        <w:rPr>
          <w:sz w:val="18"/>
          <w:szCs w:val="18"/>
        </w:rPr>
        <w:t xml:space="preserve"> </w:t>
      </w:r>
      <w:r w:rsidRPr="00C47A04">
        <w:rPr>
          <w:rFonts w:hint="eastAsia"/>
          <w:sz w:val="18"/>
          <w:szCs w:val="18"/>
        </w:rPr>
        <w:t>S</w:t>
      </w:r>
      <w:r w:rsidRPr="00311F82">
        <w:rPr>
          <w:sz w:val="18"/>
          <w:szCs w:val="18"/>
        </w:rPr>
        <w:t xml:space="preserve">ee at: </w:t>
      </w:r>
      <w:hyperlink r:id="rId1" w:history="1">
        <w:r w:rsidRPr="00AA4BF5">
          <w:rPr>
            <w:rStyle w:val="Hyperlink"/>
            <w:sz w:val="18"/>
            <w:szCs w:val="18"/>
          </w:rPr>
          <w:t>https://www.bmj.com/content/336/7650/924</w:t>
        </w:r>
      </w:hyperlink>
      <w:r w:rsidRPr="00A85150">
        <w:rPr>
          <w:sz w:val="18"/>
          <w:szCs w:val="18"/>
          <w:u w:val="single"/>
        </w:rPr>
        <w:t>;</w:t>
      </w:r>
      <w:r w:rsidRPr="00C47A04">
        <w:rPr>
          <w:sz w:val="18"/>
          <w:szCs w:val="18"/>
        </w:rPr>
        <w:t xml:space="preserve"> </w:t>
      </w:r>
      <w:hyperlink r:id="rId2" w:history="1">
        <w:r w:rsidRPr="00AA4BF5">
          <w:rPr>
            <w:rStyle w:val="Hyperlink"/>
            <w:sz w:val="18"/>
            <w:szCs w:val="18"/>
          </w:rPr>
          <w:t>https://bestpractice.bmj.com/info/us/toolkit/learn-ebm/what-is-grade/</w:t>
        </w:r>
      </w:hyperlink>
      <w:r w:rsidRPr="00F10262">
        <w:rPr>
          <w:sz w:val="18"/>
          <w:szCs w:val="18"/>
        </w:rPr>
        <w:t xml:space="preserve"> </w:t>
      </w:r>
    </w:p>
  </w:footnote>
  <w:footnote w:id="10">
    <w:p w14:paraId="4383264A" w14:textId="77777777" w:rsidR="009A0F85" w:rsidRPr="00E72843" w:rsidRDefault="009A0F85" w:rsidP="003414BB">
      <w:pPr>
        <w:pStyle w:val="FootnoteText"/>
        <w:rPr>
          <w:sz w:val="18"/>
          <w:szCs w:val="18"/>
        </w:rPr>
      </w:pPr>
      <w:r w:rsidRPr="00E72843">
        <w:rPr>
          <w:rStyle w:val="FootnoteReference"/>
          <w:sz w:val="18"/>
          <w:szCs w:val="18"/>
        </w:rPr>
        <w:footnoteRef/>
      </w:r>
      <w:r w:rsidRPr="00E72843">
        <w:rPr>
          <w:sz w:val="18"/>
          <w:szCs w:val="18"/>
        </w:rPr>
        <w:t xml:space="preserve"> </w:t>
      </w:r>
      <w:r>
        <w:rPr>
          <w:sz w:val="18"/>
          <w:szCs w:val="18"/>
        </w:rPr>
        <w:t>The o</w:t>
      </w:r>
      <w:r w:rsidRPr="00E72843">
        <w:rPr>
          <w:sz w:val="18"/>
          <w:szCs w:val="18"/>
        </w:rPr>
        <w:t xml:space="preserve">riginal </w:t>
      </w:r>
      <w:r>
        <w:rPr>
          <w:sz w:val="18"/>
          <w:szCs w:val="18"/>
        </w:rPr>
        <w:t xml:space="preserve">Ophelia </w:t>
      </w:r>
      <w:r w:rsidRPr="00E72843">
        <w:rPr>
          <w:sz w:val="18"/>
          <w:szCs w:val="18"/>
        </w:rPr>
        <w:t xml:space="preserve">manual </w:t>
      </w:r>
      <w:r>
        <w:rPr>
          <w:sz w:val="18"/>
          <w:szCs w:val="18"/>
        </w:rPr>
        <w:t>is</w:t>
      </w:r>
      <w:r w:rsidRPr="00E72843">
        <w:rPr>
          <w:sz w:val="18"/>
          <w:szCs w:val="18"/>
        </w:rPr>
        <w:t xml:space="preserve"> at https://healthliteracydevelopment.com/</w:t>
      </w:r>
    </w:p>
  </w:footnote>
  <w:footnote w:id="11">
    <w:p w14:paraId="1960B06A" w14:textId="2E7FE9B5" w:rsidR="009A0F85" w:rsidRPr="00BE7F48" w:rsidRDefault="009A0F85" w:rsidP="003414BB">
      <w:pPr>
        <w:pStyle w:val="FootnoteText"/>
        <w:jc w:val="both"/>
        <w:rPr>
          <w:sz w:val="18"/>
          <w:szCs w:val="18"/>
        </w:rPr>
      </w:pPr>
      <w:r w:rsidRPr="00BE7F48">
        <w:rPr>
          <w:rStyle w:val="FootnoteReference"/>
          <w:sz w:val="18"/>
          <w:szCs w:val="18"/>
        </w:rPr>
        <w:footnoteRef/>
      </w:r>
      <w:r w:rsidRPr="00BE7F48">
        <w:rPr>
          <w:sz w:val="18"/>
          <w:szCs w:val="18"/>
        </w:rPr>
        <w:t xml:space="preserve"> ANZ Journal of Surgery</w:t>
      </w:r>
      <w:r>
        <w:rPr>
          <w:sz w:val="18"/>
          <w:szCs w:val="18"/>
        </w:rPr>
        <w:t>,</w:t>
      </w:r>
      <w:r w:rsidRPr="00BE7F48">
        <w:rPr>
          <w:sz w:val="18"/>
          <w:szCs w:val="18"/>
        </w:rPr>
        <w:t xml:space="preserve"> Medical Journal of Australia</w:t>
      </w:r>
      <w:r>
        <w:rPr>
          <w:sz w:val="18"/>
          <w:szCs w:val="18"/>
        </w:rPr>
        <w:t>,</w:t>
      </w:r>
      <w:r w:rsidRPr="00BE7F48">
        <w:rPr>
          <w:sz w:val="18"/>
          <w:szCs w:val="18"/>
        </w:rPr>
        <w:t xml:space="preserve"> A</w:t>
      </w:r>
      <w:r>
        <w:rPr>
          <w:sz w:val="18"/>
          <w:szCs w:val="18"/>
        </w:rPr>
        <w:t>NZ</w:t>
      </w:r>
      <w:r w:rsidRPr="00BE7F48">
        <w:rPr>
          <w:sz w:val="18"/>
          <w:szCs w:val="18"/>
        </w:rPr>
        <w:t xml:space="preserve"> Journal of Psychiatry</w:t>
      </w:r>
      <w:r>
        <w:rPr>
          <w:sz w:val="18"/>
          <w:szCs w:val="18"/>
        </w:rPr>
        <w:t>,</w:t>
      </w:r>
      <w:r w:rsidRPr="00BE7F48">
        <w:rPr>
          <w:sz w:val="18"/>
          <w:szCs w:val="18"/>
        </w:rPr>
        <w:t xml:space="preserve"> A</w:t>
      </w:r>
      <w:r>
        <w:rPr>
          <w:sz w:val="18"/>
          <w:szCs w:val="18"/>
        </w:rPr>
        <w:t>NZ</w:t>
      </w:r>
      <w:r w:rsidRPr="00BE7F48">
        <w:rPr>
          <w:sz w:val="18"/>
          <w:szCs w:val="18"/>
        </w:rPr>
        <w:t xml:space="preserve"> Journal of Public Health</w:t>
      </w:r>
      <w:r>
        <w:rPr>
          <w:sz w:val="18"/>
          <w:szCs w:val="18"/>
        </w:rPr>
        <w:t>,</w:t>
      </w:r>
      <w:r w:rsidRPr="00BE7F48">
        <w:rPr>
          <w:sz w:val="18"/>
          <w:szCs w:val="18"/>
        </w:rPr>
        <w:t xml:space="preserve"> Respirology</w:t>
      </w:r>
      <w:r>
        <w:rPr>
          <w:sz w:val="18"/>
          <w:szCs w:val="18"/>
        </w:rPr>
        <w:t>,</w:t>
      </w:r>
      <w:r w:rsidRPr="00BE7F48">
        <w:rPr>
          <w:sz w:val="18"/>
          <w:szCs w:val="18"/>
        </w:rPr>
        <w:t xml:space="preserve"> Clinical </w:t>
      </w:r>
      <w:r>
        <w:rPr>
          <w:sz w:val="18"/>
          <w:szCs w:val="18"/>
        </w:rPr>
        <w:t>&amp;</w:t>
      </w:r>
      <w:r w:rsidRPr="00BE7F48">
        <w:rPr>
          <w:sz w:val="18"/>
          <w:szCs w:val="18"/>
        </w:rPr>
        <w:t xml:space="preserve"> Experimental Ophthalmology</w:t>
      </w:r>
      <w:r>
        <w:rPr>
          <w:sz w:val="18"/>
          <w:szCs w:val="18"/>
        </w:rPr>
        <w:t>,</w:t>
      </w:r>
      <w:r w:rsidRPr="00BE7F48">
        <w:rPr>
          <w:sz w:val="18"/>
          <w:szCs w:val="18"/>
        </w:rPr>
        <w:t xml:space="preserve"> Clinical </w:t>
      </w:r>
      <w:r>
        <w:rPr>
          <w:sz w:val="18"/>
          <w:szCs w:val="18"/>
        </w:rPr>
        <w:t>&amp;</w:t>
      </w:r>
      <w:r w:rsidRPr="00BE7F48">
        <w:rPr>
          <w:sz w:val="18"/>
          <w:szCs w:val="18"/>
        </w:rPr>
        <w:t xml:space="preserve"> Experimental Pharmacology </w:t>
      </w:r>
      <w:r>
        <w:rPr>
          <w:sz w:val="18"/>
          <w:szCs w:val="18"/>
        </w:rPr>
        <w:t>&amp;</w:t>
      </w:r>
      <w:r w:rsidRPr="00BE7F48">
        <w:rPr>
          <w:sz w:val="18"/>
          <w:szCs w:val="18"/>
        </w:rPr>
        <w:t xml:space="preserve"> Physiology</w:t>
      </w:r>
      <w:r>
        <w:rPr>
          <w:sz w:val="18"/>
          <w:szCs w:val="18"/>
        </w:rPr>
        <w:t>,</w:t>
      </w:r>
      <w:r w:rsidRPr="00BE7F48">
        <w:rPr>
          <w:sz w:val="18"/>
          <w:szCs w:val="18"/>
        </w:rPr>
        <w:t xml:space="preserve"> Immunology </w:t>
      </w:r>
      <w:r>
        <w:rPr>
          <w:sz w:val="18"/>
          <w:szCs w:val="18"/>
        </w:rPr>
        <w:t>&amp;</w:t>
      </w:r>
      <w:r w:rsidRPr="00BE7F48">
        <w:rPr>
          <w:sz w:val="18"/>
          <w:szCs w:val="18"/>
        </w:rPr>
        <w:t xml:space="preserve"> Cell Biology</w:t>
      </w:r>
      <w:r>
        <w:rPr>
          <w:sz w:val="18"/>
          <w:szCs w:val="18"/>
        </w:rPr>
        <w:t>,</w:t>
      </w:r>
      <w:r w:rsidRPr="00BE7F48">
        <w:rPr>
          <w:sz w:val="18"/>
          <w:szCs w:val="18"/>
        </w:rPr>
        <w:t xml:space="preserve"> Journal of Gastroenterology </w:t>
      </w:r>
      <w:r>
        <w:rPr>
          <w:sz w:val="18"/>
          <w:szCs w:val="18"/>
        </w:rPr>
        <w:t>&amp;</w:t>
      </w:r>
      <w:r w:rsidRPr="00BE7F48">
        <w:rPr>
          <w:sz w:val="18"/>
          <w:szCs w:val="18"/>
        </w:rPr>
        <w:t xml:space="preserve"> Hepatology</w:t>
      </w:r>
      <w:r>
        <w:rPr>
          <w:sz w:val="18"/>
          <w:szCs w:val="18"/>
        </w:rPr>
        <w:t>,</w:t>
      </w:r>
      <w:r w:rsidRPr="00BE7F48">
        <w:rPr>
          <w:sz w:val="18"/>
          <w:szCs w:val="18"/>
        </w:rPr>
        <w:t xml:space="preserve"> Journal of Paediatrics </w:t>
      </w:r>
      <w:r>
        <w:rPr>
          <w:sz w:val="18"/>
          <w:szCs w:val="18"/>
        </w:rPr>
        <w:t>&amp;</w:t>
      </w:r>
      <w:r w:rsidRPr="00BE7F48">
        <w:rPr>
          <w:sz w:val="18"/>
          <w:szCs w:val="18"/>
        </w:rPr>
        <w:t xml:space="preserve"> Child Health</w:t>
      </w:r>
    </w:p>
  </w:footnote>
  <w:footnote w:id="12">
    <w:p w14:paraId="45ABF01F" w14:textId="0E8B1213" w:rsidR="009A0F85" w:rsidRDefault="009A0F85">
      <w:pPr>
        <w:pStyle w:val="FootnoteText"/>
      </w:pPr>
      <w:r>
        <w:rPr>
          <w:rStyle w:val="FootnoteReference"/>
        </w:rPr>
        <w:footnoteRef/>
      </w:r>
      <w:r>
        <w:t xml:space="preserve"> Modified from </w:t>
      </w:r>
      <w:r w:rsidRPr="0004134E">
        <w:rPr>
          <w:sz w:val="18"/>
          <w:szCs w:val="18"/>
        </w:rPr>
        <w:t>https://ease.org.uk/wp-content/uploads/2023/01/EASE-SAGER-Checklist-2022.pdf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30E6" w14:textId="2BDDD200" w:rsidR="007B4B18" w:rsidRDefault="007B4B18">
    <w:pPr>
      <w:pStyle w:val="Header"/>
    </w:pPr>
    <w:r>
      <w:rPr>
        <w:noProof/>
      </w:rPr>
      <w:drawing>
        <wp:anchor distT="0" distB="0" distL="114300" distR="114300" simplePos="0" relativeHeight="251659264" behindDoc="1" locked="0" layoutInCell="1" allowOverlap="1" wp14:anchorId="77CE02CB" wp14:editId="2A988B14">
          <wp:simplePos x="0" y="0"/>
          <wp:positionH relativeFrom="column">
            <wp:posOffset>-914400</wp:posOffset>
          </wp:positionH>
          <wp:positionV relativeFrom="paragraph">
            <wp:posOffset>-430293</wp:posOffset>
          </wp:positionV>
          <wp:extent cx="7598004" cy="10747986"/>
          <wp:effectExtent l="0" t="0" r="3175" b="0"/>
          <wp:wrapNone/>
          <wp:docPr id="146097520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7520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8004" cy="107479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AD8E" w14:textId="2D8EBA51" w:rsidR="005A1455" w:rsidRDefault="005A14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B292A"/>
    <w:multiLevelType w:val="multilevel"/>
    <w:tmpl w:val="8D821698"/>
    <w:lvl w:ilvl="0">
      <w:start w:val="1"/>
      <w:numFmt w:val="decimal"/>
      <w:lvlText w:val="%1."/>
      <w:lvlJc w:val="left"/>
      <w:pPr>
        <w:ind w:left="425" w:hanging="425"/>
      </w:pPr>
      <w:rPr>
        <w:rFonts w:hint="eastAsia"/>
      </w:rPr>
    </w:lvl>
    <w:lvl w:ilvl="1">
      <w:start w:val="1"/>
      <w:numFmt w:val="none"/>
      <w:lvlText w:val="2.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5DD1D92"/>
    <w:multiLevelType w:val="hybridMultilevel"/>
    <w:tmpl w:val="1FC42148"/>
    <w:lvl w:ilvl="0" w:tplc="6EAC436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05E8B"/>
    <w:multiLevelType w:val="multilevel"/>
    <w:tmpl w:val="AAE6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06CBD"/>
    <w:multiLevelType w:val="hybridMultilevel"/>
    <w:tmpl w:val="C71628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F0A3E"/>
    <w:multiLevelType w:val="multilevel"/>
    <w:tmpl w:val="2F60FE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44F7A"/>
    <w:multiLevelType w:val="multilevel"/>
    <w:tmpl w:val="962C8BA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203A78"/>
    <w:multiLevelType w:val="multilevel"/>
    <w:tmpl w:val="E74A9BC0"/>
    <w:lvl w:ilvl="0">
      <w:start w:val="1"/>
      <w:numFmt w:val="decimal"/>
      <w:lvlText w:val="%1."/>
      <w:lvlJc w:val="left"/>
      <w:pPr>
        <w:ind w:left="501" w:hanging="360"/>
      </w:pPr>
    </w:lvl>
    <w:lvl w:ilvl="1">
      <w:start w:val="7"/>
      <w:numFmt w:val="decimal"/>
      <w:isLgl/>
      <w:lvlText w:val="%1.%2."/>
      <w:lvlJc w:val="left"/>
      <w:pPr>
        <w:ind w:left="-1330" w:hanging="720"/>
      </w:pPr>
      <w:rPr>
        <w:rFonts w:hint="default"/>
      </w:rPr>
    </w:lvl>
    <w:lvl w:ilvl="2">
      <w:start w:val="1"/>
      <w:numFmt w:val="decimal"/>
      <w:isLgl/>
      <w:lvlText w:val="%1.%2.%3."/>
      <w:lvlJc w:val="left"/>
      <w:pPr>
        <w:ind w:left="-1330" w:hanging="720"/>
      </w:pPr>
      <w:rPr>
        <w:rFonts w:hint="default"/>
      </w:rPr>
    </w:lvl>
    <w:lvl w:ilvl="3">
      <w:start w:val="1"/>
      <w:numFmt w:val="decimal"/>
      <w:isLgl/>
      <w:lvlText w:val="%1.%2.%3.%4."/>
      <w:lvlJc w:val="left"/>
      <w:pPr>
        <w:ind w:left="-970" w:hanging="1080"/>
      </w:pPr>
      <w:rPr>
        <w:rFonts w:hint="default"/>
      </w:rPr>
    </w:lvl>
    <w:lvl w:ilvl="4">
      <w:start w:val="1"/>
      <w:numFmt w:val="decimal"/>
      <w:isLgl/>
      <w:lvlText w:val="%1.%2.%3.%4.%5."/>
      <w:lvlJc w:val="left"/>
      <w:pPr>
        <w:ind w:left="-970" w:hanging="1080"/>
      </w:pPr>
      <w:rPr>
        <w:rFonts w:hint="default"/>
      </w:rPr>
    </w:lvl>
    <w:lvl w:ilvl="5">
      <w:start w:val="1"/>
      <w:numFmt w:val="decimal"/>
      <w:isLgl/>
      <w:lvlText w:val="%1.%2.%3.%4.%5.%6."/>
      <w:lvlJc w:val="left"/>
      <w:pPr>
        <w:ind w:left="-610" w:hanging="1440"/>
      </w:pPr>
      <w:rPr>
        <w:rFonts w:hint="default"/>
      </w:rPr>
    </w:lvl>
    <w:lvl w:ilvl="6">
      <w:start w:val="1"/>
      <w:numFmt w:val="decimal"/>
      <w:isLgl/>
      <w:lvlText w:val="%1.%2.%3.%4.%5.%6.%7."/>
      <w:lvlJc w:val="left"/>
      <w:pPr>
        <w:ind w:left="-610" w:hanging="1440"/>
      </w:pPr>
      <w:rPr>
        <w:rFonts w:hint="default"/>
      </w:rPr>
    </w:lvl>
    <w:lvl w:ilvl="7">
      <w:start w:val="1"/>
      <w:numFmt w:val="decimal"/>
      <w:isLgl/>
      <w:lvlText w:val="%1.%2.%3.%4.%5.%6.%7.%8."/>
      <w:lvlJc w:val="left"/>
      <w:pPr>
        <w:ind w:left="-250" w:hanging="1800"/>
      </w:pPr>
      <w:rPr>
        <w:rFonts w:hint="default"/>
      </w:rPr>
    </w:lvl>
    <w:lvl w:ilvl="8">
      <w:start w:val="1"/>
      <w:numFmt w:val="decimal"/>
      <w:isLgl/>
      <w:lvlText w:val="%1.%2.%3.%4.%5.%6.%7.%8.%9."/>
      <w:lvlJc w:val="left"/>
      <w:pPr>
        <w:ind w:left="-250" w:hanging="1800"/>
      </w:pPr>
      <w:rPr>
        <w:rFonts w:hint="default"/>
      </w:rPr>
    </w:lvl>
  </w:abstractNum>
  <w:abstractNum w:abstractNumId="7" w15:restartNumberingAfterBreak="0">
    <w:nsid w:val="132E7910"/>
    <w:multiLevelType w:val="hybridMultilevel"/>
    <w:tmpl w:val="3B048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3975E3"/>
    <w:multiLevelType w:val="hybridMultilevel"/>
    <w:tmpl w:val="7534E1AC"/>
    <w:lvl w:ilvl="0" w:tplc="06F4069A">
      <w:start w:val="1"/>
      <w:numFmt w:val="bullet"/>
      <w:lvlText w:val=""/>
      <w:lvlJc w:val="left"/>
      <w:pPr>
        <w:ind w:left="720" w:hanging="360"/>
      </w:pPr>
      <w:rPr>
        <w:rFonts w:ascii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1A3BA9"/>
    <w:multiLevelType w:val="hybridMultilevel"/>
    <w:tmpl w:val="3F6214BC"/>
    <w:lvl w:ilvl="0" w:tplc="CF882E52">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15C14065"/>
    <w:multiLevelType w:val="hybridMultilevel"/>
    <w:tmpl w:val="46988432"/>
    <w:lvl w:ilvl="0" w:tplc="62EEB4C6">
      <w:numFmt w:val="bullet"/>
      <w:lvlText w:val="•"/>
      <w:lvlJc w:val="left"/>
      <w:pPr>
        <w:ind w:left="720" w:hanging="360"/>
      </w:pPr>
      <w:rPr>
        <w:rFonts w:hint="default"/>
        <w:color w:val="000000" w:themeColor="text1"/>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BA4E4A"/>
    <w:multiLevelType w:val="multilevel"/>
    <w:tmpl w:val="125E11CC"/>
    <w:lvl w:ilvl="0">
      <w:start w:val="1"/>
      <w:numFmt w:val="decimal"/>
      <w:lvlText w:val="%1."/>
      <w:lvlJc w:val="left"/>
      <w:pPr>
        <w:ind w:left="425" w:hanging="425"/>
      </w:pPr>
      <w:rPr>
        <w:rFonts w:hint="eastAsia"/>
      </w:rPr>
    </w:lvl>
    <w:lvl w:ilvl="1">
      <w:start w:val="1"/>
      <w:numFmt w:val="none"/>
      <w:lvlText w:val="3.4."/>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2" w15:restartNumberingAfterBreak="0">
    <w:nsid w:val="1A6C58AF"/>
    <w:multiLevelType w:val="hybridMultilevel"/>
    <w:tmpl w:val="B4DC00C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7F087F"/>
    <w:multiLevelType w:val="hybridMultilevel"/>
    <w:tmpl w:val="23B088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D873C7"/>
    <w:multiLevelType w:val="hybridMultilevel"/>
    <w:tmpl w:val="766C8994"/>
    <w:lvl w:ilvl="0" w:tplc="97D2BE8C">
      <w:numFmt w:val="bullet"/>
      <w:lvlText w:val="•"/>
      <w:lvlJc w:val="left"/>
      <w:pPr>
        <w:ind w:left="720" w:hanging="360"/>
      </w:pPr>
      <w:rPr>
        <w:rFonts w:ascii="Calibri" w:eastAsiaTheme="minorEastAsia" w:hAnsi="Calibri" w:cs="Calibri" w:hint="default"/>
        <w:color w:val="4C286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F3339"/>
    <w:multiLevelType w:val="hybridMultilevel"/>
    <w:tmpl w:val="35C675E4"/>
    <w:lvl w:ilvl="0" w:tplc="46B298DA">
      <w:numFmt w:val="bullet"/>
      <w:lvlText w:val="•"/>
      <w:lvlJc w:val="left"/>
      <w:pPr>
        <w:ind w:left="720" w:hanging="360"/>
      </w:pPr>
      <w:rPr>
        <w:rFonts w:hint="default"/>
        <w:color w:val="4C2863"/>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13060B2"/>
    <w:multiLevelType w:val="hybridMultilevel"/>
    <w:tmpl w:val="72CEB0B8"/>
    <w:lvl w:ilvl="0" w:tplc="F8162248">
      <w:start w:val="1"/>
      <w:numFmt w:val="bullet"/>
      <w:lvlText w:val=""/>
      <w:lvlJc w:val="left"/>
      <w:pPr>
        <w:ind w:left="720" w:hanging="360"/>
      </w:pPr>
      <w:rPr>
        <w:rFonts w:ascii="Symbol" w:hAnsi="Symbol" w:hint="default"/>
        <w:color w:val="4C286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1C53FF5"/>
    <w:multiLevelType w:val="multilevel"/>
    <w:tmpl w:val="AF502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27890"/>
    <w:multiLevelType w:val="hybridMultilevel"/>
    <w:tmpl w:val="0EB8F7BA"/>
    <w:lvl w:ilvl="0" w:tplc="62EEB4C6">
      <w:numFmt w:val="bullet"/>
      <w:lvlText w:val="•"/>
      <w:lvlJc w:val="left"/>
      <w:pPr>
        <w:ind w:left="720" w:hanging="360"/>
      </w:pPr>
      <w:rPr>
        <w:rFonts w:hint="default"/>
        <w:color w:val="000000" w:themeColor="text1"/>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E5E1118"/>
    <w:multiLevelType w:val="multilevel"/>
    <w:tmpl w:val="4E882B1C"/>
    <w:lvl w:ilvl="0">
      <w:start w:val="1"/>
      <w:numFmt w:val="decimal"/>
      <w:lvlText w:val="%1."/>
      <w:lvlJc w:val="left"/>
      <w:pPr>
        <w:ind w:left="425" w:hanging="425"/>
      </w:pPr>
      <w:rPr>
        <w:rFonts w:hint="eastAsia"/>
      </w:rPr>
    </w:lvl>
    <w:lvl w:ilvl="1">
      <w:start w:val="1"/>
      <w:numFmt w:val="none"/>
      <w:lvlText w:val="3.5."/>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3A87627"/>
    <w:multiLevelType w:val="multilevel"/>
    <w:tmpl w:val="1694A2B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2B4803"/>
    <w:multiLevelType w:val="multilevel"/>
    <w:tmpl w:val="11CC0ACA"/>
    <w:lvl w:ilvl="0">
      <w:start w:val="1"/>
      <w:numFmt w:val="decimal"/>
      <w:lvlText w:val="%1."/>
      <w:lvlJc w:val="left"/>
      <w:pPr>
        <w:ind w:left="425" w:hanging="425"/>
      </w:pPr>
      <w:rPr>
        <w:rFonts w:hint="eastAsia"/>
      </w:rPr>
    </w:lvl>
    <w:lvl w:ilvl="1">
      <w:start w:val="1"/>
      <w:numFmt w:val="none"/>
      <w:lvlText w:val="2.4."/>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365A5BD3"/>
    <w:multiLevelType w:val="multilevel"/>
    <w:tmpl w:val="8D821698"/>
    <w:lvl w:ilvl="0">
      <w:start w:val="1"/>
      <w:numFmt w:val="decimal"/>
      <w:lvlText w:val="%1."/>
      <w:lvlJc w:val="left"/>
      <w:pPr>
        <w:ind w:left="425" w:hanging="425"/>
      </w:pPr>
      <w:rPr>
        <w:rFonts w:hint="eastAsia"/>
      </w:rPr>
    </w:lvl>
    <w:lvl w:ilvl="1">
      <w:start w:val="1"/>
      <w:numFmt w:val="none"/>
      <w:lvlText w:val="2.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3B54461F"/>
    <w:multiLevelType w:val="hybridMultilevel"/>
    <w:tmpl w:val="BDA63500"/>
    <w:lvl w:ilvl="0" w:tplc="C7B4CD68">
      <w:numFmt w:val="bullet"/>
      <w:lvlText w:val="-"/>
      <w:lvlJc w:val="left"/>
      <w:pPr>
        <w:ind w:left="1080" w:hanging="360"/>
      </w:pPr>
      <w:rPr>
        <w:rFonts w:ascii="Calibri" w:eastAsiaTheme="minorEastAsia"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CBD6B71"/>
    <w:multiLevelType w:val="hybridMultilevel"/>
    <w:tmpl w:val="77BAB48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E7C570A"/>
    <w:multiLevelType w:val="multilevel"/>
    <w:tmpl w:val="F22E81F8"/>
    <w:lvl w:ilvl="0">
      <w:start w:val="1"/>
      <w:numFmt w:val="decimal"/>
      <w:lvlText w:val="%1."/>
      <w:lvlJc w:val="left"/>
      <w:pPr>
        <w:ind w:left="425" w:hanging="425"/>
      </w:pPr>
      <w:rPr>
        <w:rFonts w:hint="eastAsia"/>
      </w:rPr>
    </w:lvl>
    <w:lvl w:ilvl="1">
      <w:start w:val="1"/>
      <w:numFmt w:val="none"/>
      <w:lvlText w:val="3.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6" w15:restartNumberingAfterBreak="0">
    <w:nsid w:val="45116782"/>
    <w:multiLevelType w:val="hybridMultilevel"/>
    <w:tmpl w:val="93AA8E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DB34C9"/>
    <w:multiLevelType w:val="multilevel"/>
    <w:tmpl w:val="6FDCC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1625BF"/>
    <w:multiLevelType w:val="hybridMultilevel"/>
    <w:tmpl w:val="B43E2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641F2"/>
    <w:multiLevelType w:val="multilevel"/>
    <w:tmpl w:val="81DC786A"/>
    <w:lvl w:ilvl="0">
      <w:start w:val="1"/>
      <w:numFmt w:val="bullet"/>
      <w:lvlText w:val="o"/>
      <w:lvlJc w:val="left"/>
      <w:pPr>
        <w:ind w:left="425" w:hanging="425"/>
      </w:pPr>
      <w:rPr>
        <w:rFonts w:ascii="Courier New" w:hAnsi="Courier New" w:cs="Courier New" w:hint="default"/>
      </w:rPr>
    </w:lvl>
    <w:lvl w:ilvl="1">
      <w:start w:val="1"/>
      <w:numFmt w:val="none"/>
      <w:lvlText w:val="2.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0" w15:restartNumberingAfterBreak="0">
    <w:nsid w:val="58B97791"/>
    <w:multiLevelType w:val="hybridMultilevel"/>
    <w:tmpl w:val="29D2E186"/>
    <w:lvl w:ilvl="0" w:tplc="BA8076E2">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D4D87"/>
    <w:multiLevelType w:val="multilevel"/>
    <w:tmpl w:val="65307F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D5414C"/>
    <w:multiLevelType w:val="hybridMultilevel"/>
    <w:tmpl w:val="AA60B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E1CA5"/>
    <w:multiLevelType w:val="hybridMultilevel"/>
    <w:tmpl w:val="2DEAE590"/>
    <w:lvl w:ilvl="0" w:tplc="88E65F0C">
      <w:start w:val="1"/>
      <w:numFmt w:val="bullet"/>
      <w:lvlText w:val=""/>
      <w:lvlJc w:val="left"/>
      <w:pPr>
        <w:ind w:left="720" w:hanging="360"/>
      </w:pPr>
      <w:rPr>
        <w:rFonts w:ascii="Symbol" w:hAnsi="Symbol" w:hint="default"/>
        <w:color w:val="4C286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3471A7"/>
    <w:multiLevelType w:val="multilevel"/>
    <w:tmpl w:val="20D60A84"/>
    <w:lvl w:ilvl="0">
      <w:start w:val="1"/>
      <w:numFmt w:val="decimal"/>
      <w:lvlText w:val="%1."/>
      <w:lvlJc w:val="left"/>
      <w:pPr>
        <w:ind w:left="425" w:hanging="425"/>
      </w:pPr>
      <w:rPr>
        <w:rFonts w:hint="eastAsia"/>
      </w:rPr>
    </w:lvl>
    <w:lvl w:ilvl="1">
      <w:start w:val="1"/>
      <w:numFmt w:val="none"/>
      <w:lvlText w:val="3.6."/>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15:restartNumberingAfterBreak="0">
    <w:nsid w:val="68FF5B12"/>
    <w:multiLevelType w:val="hybridMultilevel"/>
    <w:tmpl w:val="04B4A992"/>
    <w:lvl w:ilvl="0" w:tplc="62EEB4C6">
      <w:numFmt w:val="bullet"/>
      <w:lvlText w:val="•"/>
      <w:lvlJc w:val="left"/>
      <w:pPr>
        <w:ind w:left="502" w:hanging="360"/>
      </w:pPr>
      <w:rPr>
        <w:rFonts w:hint="default"/>
        <w:color w:val="000000" w:themeColor="text1"/>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810881"/>
    <w:multiLevelType w:val="multilevel"/>
    <w:tmpl w:val="65144BB6"/>
    <w:lvl w:ilvl="0">
      <w:start w:val="1"/>
      <w:numFmt w:val="decimal"/>
      <w:lvlText w:val="%1."/>
      <w:lvlJc w:val="left"/>
      <w:pPr>
        <w:ind w:left="425" w:hanging="425"/>
      </w:pPr>
      <w:rPr>
        <w:rFonts w:hint="default"/>
      </w:rPr>
    </w:lvl>
    <w:lvl w:ilvl="1">
      <w:start w:val="1"/>
      <w:numFmt w:val="decimal"/>
      <w:lvlText w:val="2.%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37" w15:restartNumberingAfterBreak="0">
    <w:nsid w:val="6EED40B6"/>
    <w:multiLevelType w:val="multilevel"/>
    <w:tmpl w:val="558E97A8"/>
    <w:lvl w:ilvl="0">
      <w:numFmt w:val="bullet"/>
      <w:lvlText w:val="•"/>
      <w:lvlJc w:val="left"/>
      <w:pPr>
        <w:ind w:left="850" w:hanging="425"/>
      </w:pPr>
      <w:rPr>
        <w:rFonts w:ascii="Calibri" w:eastAsiaTheme="minorEastAsia" w:hAnsi="Calibri" w:cs="Calibri" w:hint="default"/>
        <w:color w:val="4C2863"/>
      </w:rPr>
    </w:lvl>
    <w:lvl w:ilvl="1">
      <w:start w:val="1"/>
      <w:numFmt w:val="none"/>
      <w:lvlText w:val="2.3."/>
      <w:lvlJc w:val="left"/>
      <w:pPr>
        <w:ind w:left="992" w:hanging="567"/>
      </w:pPr>
      <w:rPr>
        <w:rFonts w:hint="eastAsia"/>
      </w:rPr>
    </w:lvl>
    <w:lvl w:ilvl="2">
      <w:start w:val="1"/>
      <w:numFmt w:val="decimal"/>
      <w:lvlText w:val="%1.%2.%3."/>
      <w:lvlJc w:val="left"/>
      <w:pPr>
        <w:ind w:left="1134" w:hanging="709"/>
      </w:pPr>
      <w:rPr>
        <w:rFonts w:hint="eastAsia"/>
      </w:rPr>
    </w:lvl>
    <w:lvl w:ilvl="3">
      <w:start w:val="1"/>
      <w:numFmt w:val="decimal"/>
      <w:lvlText w:val="%1.%2.%3.%4."/>
      <w:lvlJc w:val="left"/>
      <w:pPr>
        <w:ind w:left="1276" w:hanging="851"/>
      </w:pPr>
      <w:rPr>
        <w:rFonts w:hint="eastAsia"/>
      </w:rPr>
    </w:lvl>
    <w:lvl w:ilvl="4">
      <w:start w:val="1"/>
      <w:numFmt w:val="decimal"/>
      <w:lvlText w:val="%1.%2.%3.%4.%5."/>
      <w:lvlJc w:val="left"/>
      <w:pPr>
        <w:ind w:left="1417" w:hanging="992"/>
      </w:pPr>
      <w:rPr>
        <w:rFonts w:hint="eastAsia"/>
      </w:rPr>
    </w:lvl>
    <w:lvl w:ilvl="5">
      <w:start w:val="1"/>
      <w:numFmt w:val="decimal"/>
      <w:lvlText w:val="%1.%2.%3.%4.%5.%6."/>
      <w:lvlJc w:val="left"/>
      <w:pPr>
        <w:ind w:left="1559" w:hanging="1134"/>
      </w:pPr>
      <w:rPr>
        <w:rFonts w:hint="eastAsia"/>
      </w:rPr>
    </w:lvl>
    <w:lvl w:ilvl="6">
      <w:start w:val="1"/>
      <w:numFmt w:val="decimal"/>
      <w:lvlText w:val="%1.%2.%3.%4.%5.%6.%7."/>
      <w:lvlJc w:val="left"/>
      <w:pPr>
        <w:ind w:left="1701" w:hanging="1276"/>
      </w:pPr>
      <w:rPr>
        <w:rFonts w:hint="eastAsia"/>
      </w:rPr>
    </w:lvl>
    <w:lvl w:ilvl="7">
      <w:start w:val="1"/>
      <w:numFmt w:val="decimal"/>
      <w:lvlText w:val="%1.%2.%3.%4.%5.%6.%7.%8."/>
      <w:lvlJc w:val="left"/>
      <w:pPr>
        <w:ind w:left="1843" w:hanging="1418"/>
      </w:pPr>
      <w:rPr>
        <w:rFonts w:hint="eastAsia"/>
      </w:rPr>
    </w:lvl>
    <w:lvl w:ilvl="8">
      <w:start w:val="1"/>
      <w:numFmt w:val="decimal"/>
      <w:lvlText w:val="%1.%2.%3.%4.%5.%6.%7.%8.%9."/>
      <w:lvlJc w:val="left"/>
      <w:pPr>
        <w:ind w:left="1984" w:hanging="1559"/>
      </w:pPr>
      <w:rPr>
        <w:rFonts w:hint="eastAsia"/>
      </w:rPr>
    </w:lvl>
  </w:abstractNum>
  <w:abstractNum w:abstractNumId="38" w15:restartNumberingAfterBreak="0">
    <w:nsid w:val="70BB0543"/>
    <w:multiLevelType w:val="hybridMultilevel"/>
    <w:tmpl w:val="B4DC00CC"/>
    <w:lvl w:ilvl="0" w:tplc="EDD0E9B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E47C66"/>
    <w:multiLevelType w:val="multilevel"/>
    <w:tmpl w:val="C37CE678"/>
    <w:lvl w:ilvl="0">
      <w:start w:val="1"/>
      <w:numFmt w:val="none"/>
      <w:lvlText w:val="3."/>
      <w:lvlJc w:val="left"/>
      <w:pPr>
        <w:ind w:left="425" w:hanging="425"/>
      </w:pPr>
      <w:rPr>
        <w:rFonts w:hint="eastAsia"/>
      </w:rPr>
    </w:lvl>
    <w:lvl w:ilvl="1">
      <w:start w:val="1"/>
      <w:numFmt w:val="none"/>
      <w:lvlText w:val="3.1."/>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1F81A52"/>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1" w15:restartNumberingAfterBreak="0">
    <w:nsid w:val="73402B4C"/>
    <w:multiLevelType w:val="multilevel"/>
    <w:tmpl w:val="94785EC0"/>
    <w:lvl w:ilvl="0">
      <w:start w:val="1"/>
      <w:numFmt w:val="decimal"/>
      <w:lvlText w:val="%1."/>
      <w:lvlJc w:val="left"/>
      <w:pPr>
        <w:ind w:left="425" w:hanging="425"/>
      </w:pPr>
      <w:rPr>
        <w:rFonts w:hint="eastAsia"/>
      </w:rPr>
    </w:lvl>
    <w:lvl w:ilvl="1">
      <w:start w:val="1"/>
      <w:numFmt w:val="none"/>
      <w:lvlText w:val="3.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75673B46"/>
    <w:multiLevelType w:val="multilevel"/>
    <w:tmpl w:val="98CA143A"/>
    <w:lvl w:ilvl="0">
      <w:start w:val="1"/>
      <w:numFmt w:val="decimal"/>
      <w:lvlText w:val="%1."/>
      <w:lvlJc w:val="left"/>
      <w:pPr>
        <w:ind w:left="425" w:hanging="425"/>
      </w:pPr>
      <w:rPr>
        <w:rFonts w:hint="eastAsia"/>
      </w:rPr>
    </w:lvl>
    <w:lvl w:ilvl="1">
      <w:start w:val="1"/>
      <w:numFmt w:val="none"/>
      <w:lvlText w:val="2.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3" w15:restartNumberingAfterBreak="0">
    <w:nsid w:val="75853901"/>
    <w:multiLevelType w:val="hybridMultilevel"/>
    <w:tmpl w:val="1BA03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7E7C52"/>
    <w:multiLevelType w:val="multilevel"/>
    <w:tmpl w:val="2FC02DD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7B23B00"/>
    <w:multiLevelType w:val="multilevel"/>
    <w:tmpl w:val="3C24AFA8"/>
    <w:lvl w:ilvl="0">
      <w:start w:val="1"/>
      <w:numFmt w:val="decimal"/>
      <w:lvlText w:val="%1."/>
      <w:lvlJc w:val="left"/>
      <w:pPr>
        <w:ind w:left="425" w:hanging="425"/>
      </w:pPr>
      <w:rPr>
        <w:rFonts w:hint="eastAsia"/>
      </w:rPr>
    </w:lvl>
    <w:lvl w:ilvl="1">
      <w:start w:val="1"/>
      <w:numFmt w:val="none"/>
      <w:lvlText w:val="1.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6" w15:restartNumberingAfterBreak="0">
    <w:nsid w:val="787C0E54"/>
    <w:multiLevelType w:val="hybridMultilevel"/>
    <w:tmpl w:val="3B187C8A"/>
    <w:lvl w:ilvl="0" w:tplc="1D2ED322">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C701B8D"/>
    <w:multiLevelType w:val="hybridMultilevel"/>
    <w:tmpl w:val="4D46DB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FF470B"/>
    <w:multiLevelType w:val="multilevel"/>
    <w:tmpl w:val="8D821698"/>
    <w:lvl w:ilvl="0">
      <w:start w:val="1"/>
      <w:numFmt w:val="decimal"/>
      <w:lvlText w:val="%1."/>
      <w:lvlJc w:val="left"/>
      <w:pPr>
        <w:ind w:left="425" w:hanging="425"/>
      </w:pPr>
      <w:rPr>
        <w:rFonts w:hint="eastAsia"/>
      </w:rPr>
    </w:lvl>
    <w:lvl w:ilvl="1">
      <w:start w:val="1"/>
      <w:numFmt w:val="none"/>
      <w:lvlText w:val="2.3."/>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602452877">
    <w:abstractNumId w:val="6"/>
  </w:num>
  <w:num w:numId="2" w16cid:durableId="994989127">
    <w:abstractNumId w:val="39"/>
  </w:num>
  <w:num w:numId="3" w16cid:durableId="560676319">
    <w:abstractNumId w:val="25"/>
  </w:num>
  <w:num w:numId="4" w16cid:durableId="668020002">
    <w:abstractNumId w:val="11"/>
  </w:num>
  <w:num w:numId="5" w16cid:durableId="483737431">
    <w:abstractNumId w:val="40"/>
  </w:num>
  <w:num w:numId="6" w16cid:durableId="863132275">
    <w:abstractNumId w:val="36"/>
  </w:num>
  <w:num w:numId="7" w16cid:durableId="588974479">
    <w:abstractNumId w:val="42"/>
  </w:num>
  <w:num w:numId="8" w16cid:durableId="1002050536">
    <w:abstractNumId w:val="0"/>
  </w:num>
  <w:num w:numId="9" w16cid:durableId="1515922877">
    <w:abstractNumId w:val="21"/>
  </w:num>
  <w:num w:numId="10" w16cid:durableId="1811557453">
    <w:abstractNumId w:val="19"/>
  </w:num>
  <w:num w:numId="11" w16cid:durableId="889919211">
    <w:abstractNumId w:val="34"/>
  </w:num>
  <w:num w:numId="12" w16cid:durableId="1735664062">
    <w:abstractNumId w:val="45"/>
  </w:num>
  <w:num w:numId="13" w16cid:durableId="871766943">
    <w:abstractNumId w:val="18"/>
  </w:num>
  <w:num w:numId="14" w16cid:durableId="455952962">
    <w:abstractNumId w:val="16"/>
  </w:num>
  <w:num w:numId="15" w16cid:durableId="960115350">
    <w:abstractNumId w:val="11"/>
    <w:lvlOverride w:ilvl="0">
      <w:lvl w:ilvl="0">
        <w:start w:val="1"/>
        <w:numFmt w:val="decimal"/>
        <w:lvlText w:val="%1."/>
        <w:lvlJc w:val="left"/>
        <w:pPr>
          <w:ind w:left="425" w:hanging="425"/>
        </w:pPr>
        <w:rPr>
          <w:rFonts w:hint="eastAsia"/>
        </w:rPr>
      </w:lvl>
    </w:lvlOverride>
    <w:lvlOverride w:ilvl="1">
      <w:lvl w:ilvl="1">
        <w:start w:val="1"/>
        <w:numFmt w:val="none"/>
        <w:lvlText w:val="3.7."/>
        <w:lvlJc w:val="left"/>
        <w:pPr>
          <w:ind w:left="567" w:hanging="567"/>
        </w:pPr>
        <w:rPr>
          <w:rFonts w:hint="eastAsia"/>
        </w:rPr>
      </w:lvl>
    </w:lvlOverride>
    <w:lvlOverride w:ilvl="2">
      <w:lvl w:ilvl="2">
        <w:start w:val="1"/>
        <w:numFmt w:val="decimal"/>
        <w:lvlText w:val="%1.%2.%3."/>
        <w:lvlJc w:val="left"/>
        <w:pPr>
          <w:ind w:left="709" w:hanging="709"/>
        </w:pPr>
        <w:rPr>
          <w:rFonts w:hint="eastAsia"/>
        </w:rPr>
      </w:lvl>
    </w:lvlOverride>
    <w:lvlOverride w:ilvl="3">
      <w:lvl w:ilvl="3">
        <w:start w:val="1"/>
        <w:numFmt w:val="decimal"/>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16" w16cid:durableId="1981615760">
    <w:abstractNumId w:val="23"/>
  </w:num>
  <w:num w:numId="17" w16cid:durableId="1184396821">
    <w:abstractNumId w:val="10"/>
  </w:num>
  <w:num w:numId="18" w16cid:durableId="2100758756">
    <w:abstractNumId w:val="33"/>
  </w:num>
  <w:num w:numId="19" w16cid:durableId="1716852424">
    <w:abstractNumId w:val="15"/>
  </w:num>
  <w:num w:numId="20" w16cid:durableId="1204252697">
    <w:abstractNumId w:val="35"/>
  </w:num>
  <w:num w:numId="21" w16cid:durableId="190002098">
    <w:abstractNumId w:val="43"/>
  </w:num>
  <w:num w:numId="22" w16cid:durableId="2131900485">
    <w:abstractNumId w:val="8"/>
  </w:num>
  <w:num w:numId="23" w16cid:durableId="1903174426">
    <w:abstractNumId w:val="41"/>
  </w:num>
  <w:num w:numId="24" w16cid:durableId="613053197">
    <w:abstractNumId w:val="17"/>
  </w:num>
  <w:num w:numId="25" w16cid:durableId="1985349812">
    <w:abstractNumId w:val="2"/>
  </w:num>
  <w:num w:numId="26" w16cid:durableId="1702897857">
    <w:abstractNumId w:val="4"/>
    <w:lvlOverride w:ilvl="0">
      <w:lvl w:ilvl="0">
        <w:numFmt w:val="decimal"/>
        <w:lvlText w:val="%1."/>
        <w:lvlJc w:val="left"/>
      </w:lvl>
    </w:lvlOverride>
  </w:num>
  <w:num w:numId="27" w16cid:durableId="2049406618">
    <w:abstractNumId w:val="30"/>
  </w:num>
  <w:num w:numId="28" w16cid:durableId="1717898771">
    <w:abstractNumId w:val="3"/>
  </w:num>
  <w:num w:numId="29" w16cid:durableId="905069308">
    <w:abstractNumId w:val="46"/>
  </w:num>
  <w:num w:numId="30" w16cid:durableId="469446044">
    <w:abstractNumId w:val="24"/>
  </w:num>
  <w:num w:numId="31" w16cid:durableId="28604551">
    <w:abstractNumId w:val="31"/>
  </w:num>
  <w:num w:numId="32" w16cid:durableId="418141370">
    <w:abstractNumId w:val="38"/>
  </w:num>
  <w:num w:numId="33" w16cid:durableId="942222150">
    <w:abstractNumId w:val="9"/>
  </w:num>
  <w:num w:numId="34" w16cid:durableId="303778227">
    <w:abstractNumId w:val="12"/>
  </w:num>
  <w:num w:numId="35" w16cid:durableId="368385918">
    <w:abstractNumId w:val="5"/>
  </w:num>
  <w:num w:numId="36" w16cid:durableId="517357818">
    <w:abstractNumId w:val="28"/>
  </w:num>
  <w:num w:numId="37" w16cid:durableId="988173083">
    <w:abstractNumId w:val="13"/>
  </w:num>
  <w:num w:numId="38" w16cid:durableId="1752968454">
    <w:abstractNumId w:val="32"/>
  </w:num>
  <w:num w:numId="39" w16cid:durableId="1148399549">
    <w:abstractNumId w:val="7"/>
  </w:num>
  <w:num w:numId="40" w16cid:durableId="1060517592">
    <w:abstractNumId w:val="14"/>
  </w:num>
  <w:num w:numId="41" w16cid:durableId="511720865">
    <w:abstractNumId w:val="1"/>
  </w:num>
  <w:num w:numId="42" w16cid:durableId="1072313872">
    <w:abstractNumId w:val="22"/>
  </w:num>
  <w:num w:numId="43" w16cid:durableId="605505468">
    <w:abstractNumId w:val="29"/>
  </w:num>
  <w:num w:numId="44" w16cid:durableId="1087533827">
    <w:abstractNumId w:val="48"/>
  </w:num>
  <w:num w:numId="45" w16cid:durableId="948197444">
    <w:abstractNumId w:val="37"/>
  </w:num>
  <w:num w:numId="46" w16cid:durableId="1406369383">
    <w:abstractNumId w:val="47"/>
  </w:num>
  <w:num w:numId="47" w16cid:durableId="587034693">
    <w:abstractNumId w:val="26"/>
  </w:num>
  <w:num w:numId="48" w16cid:durableId="734662967">
    <w:abstractNumId w:val="44"/>
  </w:num>
  <w:num w:numId="49" w16cid:durableId="1891650579">
    <w:abstractNumId w:val="27"/>
  </w:num>
  <w:num w:numId="50" w16cid:durableId="1829981174">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B2B55"/>
    <w:rsid w:val="000004B9"/>
    <w:rsid w:val="000011CA"/>
    <w:rsid w:val="000034E2"/>
    <w:rsid w:val="000036F1"/>
    <w:rsid w:val="00003941"/>
    <w:rsid w:val="00003FCB"/>
    <w:rsid w:val="00004E37"/>
    <w:rsid w:val="00010DE0"/>
    <w:rsid w:val="00010FA1"/>
    <w:rsid w:val="00013512"/>
    <w:rsid w:val="000143A4"/>
    <w:rsid w:val="00014A22"/>
    <w:rsid w:val="00014BE3"/>
    <w:rsid w:val="00021945"/>
    <w:rsid w:val="0002455F"/>
    <w:rsid w:val="00025899"/>
    <w:rsid w:val="00025AE3"/>
    <w:rsid w:val="00025D5E"/>
    <w:rsid w:val="000262AD"/>
    <w:rsid w:val="000276EC"/>
    <w:rsid w:val="00030A7E"/>
    <w:rsid w:val="00031304"/>
    <w:rsid w:val="00032DB9"/>
    <w:rsid w:val="00033686"/>
    <w:rsid w:val="0003422A"/>
    <w:rsid w:val="00035295"/>
    <w:rsid w:val="0004185B"/>
    <w:rsid w:val="00043B05"/>
    <w:rsid w:val="00045777"/>
    <w:rsid w:val="00045F2D"/>
    <w:rsid w:val="00046F35"/>
    <w:rsid w:val="00047493"/>
    <w:rsid w:val="00051679"/>
    <w:rsid w:val="00051B4F"/>
    <w:rsid w:val="00051B8B"/>
    <w:rsid w:val="000525C7"/>
    <w:rsid w:val="00053363"/>
    <w:rsid w:val="00054C88"/>
    <w:rsid w:val="00056224"/>
    <w:rsid w:val="00057AF9"/>
    <w:rsid w:val="00057B5C"/>
    <w:rsid w:val="00060315"/>
    <w:rsid w:val="000608F5"/>
    <w:rsid w:val="00064EB9"/>
    <w:rsid w:val="00065ECA"/>
    <w:rsid w:val="000669E5"/>
    <w:rsid w:val="000705BB"/>
    <w:rsid w:val="00070C9E"/>
    <w:rsid w:val="00070DB4"/>
    <w:rsid w:val="00071BCF"/>
    <w:rsid w:val="00077142"/>
    <w:rsid w:val="00077DEB"/>
    <w:rsid w:val="00080C56"/>
    <w:rsid w:val="000810F3"/>
    <w:rsid w:val="00081111"/>
    <w:rsid w:val="00081B59"/>
    <w:rsid w:val="00082157"/>
    <w:rsid w:val="00082FD8"/>
    <w:rsid w:val="00083EBC"/>
    <w:rsid w:val="000853FF"/>
    <w:rsid w:val="0009022B"/>
    <w:rsid w:val="000945BA"/>
    <w:rsid w:val="00094656"/>
    <w:rsid w:val="00094F72"/>
    <w:rsid w:val="000956AB"/>
    <w:rsid w:val="000968C2"/>
    <w:rsid w:val="0009771B"/>
    <w:rsid w:val="000A13DF"/>
    <w:rsid w:val="000A1FC1"/>
    <w:rsid w:val="000A3E14"/>
    <w:rsid w:val="000A5F8D"/>
    <w:rsid w:val="000A65FD"/>
    <w:rsid w:val="000B1D3C"/>
    <w:rsid w:val="000B23FE"/>
    <w:rsid w:val="000B4016"/>
    <w:rsid w:val="000B526C"/>
    <w:rsid w:val="000C2B64"/>
    <w:rsid w:val="000C450E"/>
    <w:rsid w:val="000C72A8"/>
    <w:rsid w:val="000D1A3C"/>
    <w:rsid w:val="000D5045"/>
    <w:rsid w:val="000D62C6"/>
    <w:rsid w:val="000D6F90"/>
    <w:rsid w:val="000D7B93"/>
    <w:rsid w:val="000E15EE"/>
    <w:rsid w:val="000E3752"/>
    <w:rsid w:val="000F125E"/>
    <w:rsid w:val="000F15F4"/>
    <w:rsid w:val="000F3432"/>
    <w:rsid w:val="00100280"/>
    <w:rsid w:val="001011C8"/>
    <w:rsid w:val="00101795"/>
    <w:rsid w:val="00101E7C"/>
    <w:rsid w:val="00102CB8"/>
    <w:rsid w:val="001043F6"/>
    <w:rsid w:val="00106AD0"/>
    <w:rsid w:val="0011017E"/>
    <w:rsid w:val="00110858"/>
    <w:rsid w:val="001113AA"/>
    <w:rsid w:val="00112227"/>
    <w:rsid w:val="00112E01"/>
    <w:rsid w:val="00113551"/>
    <w:rsid w:val="0011497D"/>
    <w:rsid w:val="00114B42"/>
    <w:rsid w:val="00120982"/>
    <w:rsid w:val="001209DF"/>
    <w:rsid w:val="00120C38"/>
    <w:rsid w:val="00121759"/>
    <w:rsid w:val="0012290E"/>
    <w:rsid w:val="00124D88"/>
    <w:rsid w:val="001263F8"/>
    <w:rsid w:val="001264AE"/>
    <w:rsid w:val="00127DF8"/>
    <w:rsid w:val="0013098E"/>
    <w:rsid w:val="0013377F"/>
    <w:rsid w:val="00135650"/>
    <w:rsid w:val="00141309"/>
    <w:rsid w:val="0014246A"/>
    <w:rsid w:val="0014317F"/>
    <w:rsid w:val="00147452"/>
    <w:rsid w:val="001505A4"/>
    <w:rsid w:val="00150F7E"/>
    <w:rsid w:val="00150F8E"/>
    <w:rsid w:val="001524E5"/>
    <w:rsid w:val="00152E00"/>
    <w:rsid w:val="001543E2"/>
    <w:rsid w:val="001546E0"/>
    <w:rsid w:val="001555FA"/>
    <w:rsid w:val="001568C5"/>
    <w:rsid w:val="00160D5E"/>
    <w:rsid w:val="00160FD0"/>
    <w:rsid w:val="001610A4"/>
    <w:rsid w:val="001641B7"/>
    <w:rsid w:val="0016663E"/>
    <w:rsid w:val="00167A9C"/>
    <w:rsid w:val="00167D74"/>
    <w:rsid w:val="0017083C"/>
    <w:rsid w:val="00172460"/>
    <w:rsid w:val="0017388B"/>
    <w:rsid w:val="00175B86"/>
    <w:rsid w:val="00175BC7"/>
    <w:rsid w:val="00177F44"/>
    <w:rsid w:val="001808F9"/>
    <w:rsid w:val="00184453"/>
    <w:rsid w:val="001857EB"/>
    <w:rsid w:val="00186667"/>
    <w:rsid w:val="0018697A"/>
    <w:rsid w:val="00190889"/>
    <w:rsid w:val="001908C0"/>
    <w:rsid w:val="001937B4"/>
    <w:rsid w:val="00195044"/>
    <w:rsid w:val="001A15F4"/>
    <w:rsid w:val="001A192A"/>
    <w:rsid w:val="001A1BDA"/>
    <w:rsid w:val="001A2715"/>
    <w:rsid w:val="001A6516"/>
    <w:rsid w:val="001B0967"/>
    <w:rsid w:val="001B3168"/>
    <w:rsid w:val="001B33FC"/>
    <w:rsid w:val="001B3845"/>
    <w:rsid w:val="001B3F0D"/>
    <w:rsid w:val="001B6897"/>
    <w:rsid w:val="001C0F3B"/>
    <w:rsid w:val="001C1849"/>
    <w:rsid w:val="001C1D68"/>
    <w:rsid w:val="001C48F8"/>
    <w:rsid w:val="001C669A"/>
    <w:rsid w:val="001D14DE"/>
    <w:rsid w:val="001D1B35"/>
    <w:rsid w:val="001D3649"/>
    <w:rsid w:val="001D5BCE"/>
    <w:rsid w:val="001D5EBA"/>
    <w:rsid w:val="001D65E2"/>
    <w:rsid w:val="001E38C9"/>
    <w:rsid w:val="001E59BB"/>
    <w:rsid w:val="001F020F"/>
    <w:rsid w:val="001F2D72"/>
    <w:rsid w:val="001F3F15"/>
    <w:rsid w:val="001F50F3"/>
    <w:rsid w:val="001F59CB"/>
    <w:rsid w:val="00200834"/>
    <w:rsid w:val="002027F1"/>
    <w:rsid w:val="002032E3"/>
    <w:rsid w:val="00204B50"/>
    <w:rsid w:val="00204FEB"/>
    <w:rsid w:val="00206E7A"/>
    <w:rsid w:val="002120CE"/>
    <w:rsid w:val="00213319"/>
    <w:rsid w:val="002139EF"/>
    <w:rsid w:val="00215A40"/>
    <w:rsid w:val="00220AA0"/>
    <w:rsid w:val="002215AA"/>
    <w:rsid w:val="0022320B"/>
    <w:rsid w:val="00235864"/>
    <w:rsid w:val="0023685D"/>
    <w:rsid w:val="002412A4"/>
    <w:rsid w:val="00245448"/>
    <w:rsid w:val="00245F93"/>
    <w:rsid w:val="00247247"/>
    <w:rsid w:val="0024773E"/>
    <w:rsid w:val="002518FF"/>
    <w:rsid w:val="0025213B"/>
    <w:rsid w:val="002534B8"/>
    <w:rsid w:val="00260F85"/>
    <w:rsid w:val="00262A35"/>
    <w:rsid w:val="00262F07"/>
    <w:rsid w:val="002655F9"/>
    <w:rsid w:val="0026563F"/>
    <w:rsid w:val="0026782E"/>
    <w:rsid w:val="00267BC9"/>
    <w:rsid w:val="00270EFC"/>
    <w:rsid w:val="00276031"/>
    <w:rsid w:val="00276281"/>
    <w:rsid w:val="002764E0"/>
    <w:rsid w:val="0028163E"/>
    <w:rsid w:val="00282035"/>
    <w:rsid w:val="0028223F"/>
    <w:rsid w:val="002824EC"/>
    <w:rsid w:val="0028482D"/>
    <w:rsid w:val="00285846"/>
    <w:rsid w:val="00287908"/>
    <w:rsid w:val="0029009A"/>
    <w:rsid w:val="00290696"/>
    <w:rsid w:val="002925B9"/>
    <w:rsid w:val="00293527"/>
    <w:rsid w:val="00293810"/>
    <w:rsid w:val="00295724"/>
    <w:rsid w:val="002A0297"/>
    <w:rsid w:val="002A3D11"/>
    <w:rsid w:val="002A4801"/>
    <w:rsid w:val="002A52CB"/>
    <w:rsid w:val="002A7E1A"/>
    <w:rsid w:val="002B09AA"/>
    <w:rsid w:val="002B0EDC"/>
    <w:rsid w:val="002B1573"/>
    <w:rsid w:val="002B3C9F"/>
    <w:rsid w:val="002B3CB0"/>
    <w:rsid w:val="002B4FDA"/>
    <w:rsid w:val="002B6BD0"/>
    <w:rsid w:val="002C2F77"/>
    <w:rsid w:val="002C3576"/>
    <w:rsid w:val="002C40FF"/>
    <w:rsid w:val="002C474B"/>
    <w:rsid w:val="002D0A3E"/>
    <w:rsid w:val="002D3009"/>
    <w:rsid w:val="002D33A6"/>
    <w:rsid w:val="002D558B"/>
    <w:rsid w:val="002D77C9"/>
    <w:rsid w:val="002E110D"/>
    <w:rsid w:val="002E5B8B"/>
    <w:rsid w:val="002F083D"/>
    <w:rsid w:val="002F1ADD"/>
    <w:rsid w:val="002F7357"/>
    <w:rsid w:val="002F7A6A"/>
    <w:rsid w:val="003003BC"/>
    <w:rsid w:val="003023A1"/>
    <w:rsid w:val="00305E67"/>
    <w:rsid w:val="003062EF"/>
    <w:rsid w:val="003101BA"/>
    <w:rsid w:val="00311EF5"/>
    <w:rsid w:val="0031311F"/>
    <w:rsid w:val="00313226"/>
    <w:rsid w:val="00314016"/>
    <w:rsid w:val="0031521A"/>
    <w:rsid w:val="003156D6"/>
    <w:rsid w:val="00315E18"/>
    <w:rsid w:val="0032012A"/>
    <w:rsid w:val="0032283F"/>
    <w:rsid w:val="003300B8"/>
    <w:rsid w:val="0033138B"/>
    <w:rsid w:val="00332281"/>
    <w:rsid w:val="003328E8"/>
    <w:rsid w:val="003367A3"/>
    <w:rsid w:val="003404F5"/>
    <w:rsid w:val="00341041"/>
    <w:rsid w:val="003414BB"/>
    <w:rsid w:val="003430EF"/>
    <w:rsid w:val="00343186"/>
    <w:rsid w:val="0034404C"/>
    <w:rsid w:val="0034455B"/>
    <w:rsid w:val="003447F4"/>
    <w:rsid w:val="003510D0"/>
    <w:rsid w:val="00351822"/>
    <w:rsid w:val="00351C70"/>
    <w:rsid w:val="0035284C"/>
    <w:rsid w:val="00352D17"/>
    <w:rsid w:val="00354059"/>
    <w:rsid w:val="003612D8"/>
    <w:rsid w:val="00362DDB"/>
    <w:rsid w:val="00365A2A"/>
    <w:rsid w:val="00366274"/>
    <w:rsid w:val="00370C2C"/>
    <w:rsid w:val="003730E0"/>
    <w:rsid w:val="003737E9"/>
    <w:rsid w:val="00375199"/>
    <w:rsid w:val="003829D9"/>
    <w:rsid w:val="00383374"/>
    <w:rsid w:val="00384621"/>
    <w:rsid w:val="003848AA"/>
    <w:rsid w:val="00387F19"/>
    <w:rsid w:val="00390549"/>
    <w:rsid w:val="003908F1"/>
    <w:rsid w:val="0039119E"/>
    <w:rsid w:val="0039214B"/>
    <w:rsid w:val="00397687"/>
    <w:rsid w:val="003A3DC6"/>
    <w:rsid w:val="003A788C"/>
    <w:rsid w:val="003B0AD3"/>
    <w:rsid w:val="003B191A"/>
    <w:rsid w:val="003B576D"/>
    <w:rsid w:val="003B75D0"/>
    <w:rsid w:val="003C0216"/>
    <w:rsid w:val="003C164E"/>
    <w:rsid w:val="003C250C"/>
    <w:rsid w:val="003C3D42"/>
    <w:rsid w:val="003C7D10"/>
    <w:rsid w:val="003D1B20"/>
    <w:rsid w:val="003D614D"/>
    <w:rsid w:val="003E31FE"/>
    <w:rsid w:val="003E3533"/>
    <w:rsid w:val="003E4011"/>
    <w:rsid w:val="003E5206"/>
    <w:rsid w:val="003E75A8"/>
    <w:rsid w:val="003E7750"/>
    <w:rsid w:val="003E7B0B"/>
    <w:rsid w:val="003F4381"/>
    <w:rsid w:val="00400329"/>
    <w:rsid w:val="00402146"/>
    <w:rsid w:val="00402BF0"/>
    <w:rsid w:val="004054F4"/>
    <w:rsid w:val="00407097"/>
    <w:rsid w:val="00412728"/>
    <w:rsid w:val="00412C1D"/>
    <w:rsid w:val="00413992"/>
    <w:rsid w:val="00413DA0"/>
    <w:rsid w:val="004147D4"/>
    <w:rsid w:val="0041721D"/>
    <w:rsid w:val="00420A91"/>
    <w:rsid w:val="00420B79"/>
    <w:rsid w:val="00421F37"/>
    <w:rsid w:val="004262A5"/>
    <w:rsid w:val="00427696"/>
    <w:rsid w:val="00427C33"/>
    <w:rsid w:val="0043022F"/>
    <w:rsid w:val="004317A8"/>
    <w:rsid w:val="0044260D"/>
    <w:rsid w:val="00444D65"/>
    <w:rsid w:val="00446870"/>
    <w:rsid w:val="0045031B"/>
    <w:rsid w:val="004519A1"/>
    <w:rsid w:val="0045229C"/>
    <w:rsid w:val="0045317D"/>
    <w:rsid w:val="00453AD2"/>
    <w:rsid w:val="0045640B"/>
    <w:rsid w:val="0045669D"/>
    <w:rsid w:val="00457DA0"/>
    <w:rsid w:val="00460001"/>
    <w:rsid w:val="004601A7"/>
    <w:rsid w:val="00461463"/>
    <w:rsid w:val="00461E1A"/>
    <w:rsid w:val="00462D67"/>
    <w:rsid w:val="00466460"/>
    <w:rsid w:val="004717D7"/>
    <w:rsid w:val="00471E49"/>
    <w:rsid w:val="00472E54"/>
    <w:rsid w:val="004744E6"/>
    <w:rsid w:val="004746C2"/>
    <w:rsid w:val="00475810"/>
    <w:rsid w:val="00477317"/>
    <w:rsid w:val="0048224D"/>
    <w:rsid w:val="00485F4F"/>
    <w:rsid w:val="0049057F"/>
    <w:rsid w:val="00491CC7"/>
    <w:rsid w:val="004924D5"/>
    <w:rsid w:val="00496170"/>
    <w:rsid w:val="004A1201"/>
    <w:rsid w:val="004A37EC"/>
    <w:rsid w:val="004A41F3"/>
    <w:rsid w:val="004B2D10"/>
    <w:rsid w:val="004B3212"/>
    <w:rsid w:val="004C09AD"/>
    <w:rsid w:val="004C428F"/>
    <w:rsid w:val="004C7007"/>
    <w:rsid w:val="004D2927"/>
    <w:rsid w:val="004D4174"/>
    <w:rsid w:val="004D65EE"/>
    <w:rsid w:val="004D6811"/>
    <w:rsid w:val="004D6BE9"/>
    <w:rsid w:val="004D70D9"/>
    <w:rsid w:val="004D768D"/>
    <w:rsid w:val="004D76B1"/>
    <w:rsid w:val="004E1371"/>
    <w:rsid w:val="004E19B8"/>
    <w:rsid w:val="004E3135"/>
    <w:rsid w:val="004E547D"/>
    <w:rsid w:val="004E6779"/>
    <w:rsid w:val="004F74D1"/>
    <w:rsid w:val="004F776F"/>
    <w:rsid w:val="00501F79"/>
    <w:rsid w:val="0050223A"/>
    <w:rsid w:val="00504B69"/>
    <w:rsid w:val="005050FE"/>
    <w:rsid w:val="00507134"/>
    <w:rsid w:val="00507ADE"/>
    <w:rsid w:val="00507B28"/>
    <w:rsid w:val="0051133E"/>
    <w:rsid w:val="005113BC"/>
    <w:rsid w:val="0051197F"/>
    <w:rsid w:val="00513DF4"/>
    <w:rsid w:val="00514B99"/>
    <w:rsid w:val="00515DD1"/>
    <w:rsid w:val="00520B12"/>
    <w:rsid w:val="00524A5B"/>
    <w:rsid w:val="005253AB"/>
    <w:rsid w:val="00526440"/>
    <w:rsid w:val="00527AAD"/>
    <w:rsid w:val="005301C0"/>
    <w:rsid w:val="005325B4"/>
    <w:rsid w:val="0053377E"/>
    <w:rsid w:val="00535B5F"/>
    <w:rsid w:val="00535E7A"/>
    <w:rsid w:val="00537F50"/>
    <w:rsid w:val="00545E52"/>
    <w:rsid w:val="00546E8E"/>
    <w:rsid w:val="00551A43"/>
    <w:rsid w:val="00552859"/>
    <w:rsid w:val="00552B54"/>
    <w:rsid w:val="00552B6F"/>
    <w:rsid w:val="0055476E"/>
    <w:rsid w:val="00554BB2"/>
    <w:rsid w:val="00554BC9"/>
    <w:rsid w:val="005563EA"/>
    <w:rsid w:val="005567CF"/>
    <w:rsid w:val="0056086C"/>
    <w:rsid w:val="00565278"/>
    <w:rsid w:val="00566296"/>
    <w:rsid w:val="00566CA6"/>
    <w:rsid w:val="00567220"/>
    <w:rsid w:val="005677CE"/>
    <w:rsid w:val="00567BC5"/>
    <w:rsid w:val="00567F29"/>
    <w:rsid w:val="0057116A"/>
    <w:rsid w:val="00572A58"/>
    <w:rsid w:val="00573617"/>
    <w:rsid w:val="005742A6"/>
    <w:rsid w:val="00574AA0"/>
    <w:rsid w:val="005777FC"/>
    <w:rsid w:val="00577F22"/>
    <w:rsid w:val="0058055F"/>
    <w:rsid w:val="00580AEF"/>
    <w:rsid w:val="00580EEE"/>
    <w:rsid w:val="005855C0"/>
    <w:rsid w:val="0058643D"/>
    <w:rsid w:val="00586F93"/>
    <w:rsid w:val="0058748C"/>
    <w:rsid w:val="005902CB"/>
    <w:rsid w:val="00590AE4"/>
    <w:rsid w:val="005914C7"/>
    <w:rsid w:val="00593092"/>
    <w:rsid w:val="00594785"/>
    <w:rsid w:val="00595A62"/>
    <w:rsid w:val="00596574"/>
    <w:rsid w:val="00596FFC"/>
    <w:rsid w:val="005A012F"/>
    <w:rsid w:val="005A1455"/>
    <w:rsid w:val="005A3E50"/>
    <w:rsid w:val="005A643F"/>
    <w:rsid w:val="005A6797"/>
    <w:rsid w:val="005A6E75"/>
    <w:rsid w:val="005A793E"/>
    <w:rsid w:val="005B0C8B"/>
    <w:rsid w:val="005B2562"/>
    <w:rsid w:val="005B3C81"/>
    <w:rsid w:val="005B6014"/>
    <w:rsid w:val="005C0708"/>
    <w:rsid w:val="005C07AD"/>
    <w:rsid w:val="005C0F5F"/>
    <w:rsid w:val="005C2A40"/>
    <w:rsid w:val="005C380F"/>
    <w:rsid w:val="005C7440"/>
    <w:rsid w:val="005C7BE6"/>
    <w:rsid w:val="005C7E04"/>
    <w:rsid w:val="005D1CBD"/>
    <w:rsid w:val="005D4EE2"/>
    <w:rsid w:val="005D5036"/>
    <w:rsid w:val="005E080D"/>
    <w:rsid w:val="005E1C80"/>
    <w:rsid w:val="005E398C"/>
    <w:rsid w:val="005E4F9F"/>
    <w:rsid w:val="005F2314"/>
    <w:rsid w:val="005F2508"/>
    <w:rsid w:val="005F3A89"/>
    <w:rsid w:val="005F66CA"/>
    <w:rsid w:val="005F698F"/>
    <w:rsid w:val="00602284"/>
    <w:rsid w:val="0060511F"/>
    <w:rsid w:val="00606505"/>
    <w:rsid w:val="00607787"/>
    <w:rsid w:val="00610399"/>
    <w:rsid w:val="006108CD"/>
    <w:rsid w:val="0061101B"/>
    <w:rsid w:val="006118AE"/>
    <w:rsid w:val="00611AA5"/>
    <w:rsid w:val="0061329C"/>
    <w:rsid w:val="00613725"/>
    <w:rsid w:val="00617192"/>
    <w:rsid w:val="00617D0F"/>
    <w:rsid w:val="00617EC1"/>
    <w:rsid w:val="00624A42"/>
    <w:rsid w:val="00624B0F"/>
    <w:rsid w:val="00624D4D"/>
    <w:rsid w:val="006258AC"/>
    <w:rsid w:val="006262BB"/>
    <w:rsid w:val="00627971"/>
    <w:rsid w:val="0063044D"/>
    <w:rsid w:val="00630544"/>
    <w:rsid w:val="006323C0"/>
    <w:rsid w:val="00636E44"/>
    <w:rsid w:val="00637581"/>
    <w:rsid w:val="00643F3E"/>
    <w:rsid w:val="006443DE"/>
    <w:rsid w:val="0064487A"/>
    <w:rsid w:val="00645675"/>
    <w:rsid w:val="00646445"/>
    <w:rsid w:val="00647950"/>
    <w:rsid w:val="006515FF"/>
    <w:rsid w:val="00654E94"/>
    <w:rsid w:val="00660C64"/>
    <w:rsid w:val="006621E7"/>
    <w:rsid w:val="006625FF"/>
    <w:rsid w:val="00664983"/>
    <w:rsid w:val="0066546A"/>
    <w:rsid w:val="00665E72"/>
    <w:rsid w:val="00666531"/>
    <w:rsid w:val="00666945"/>
    <w:rsid w:val="0066704C"/>
    <w:rsid w:val="00667A98"/>
    <w:rsid w:val="00670526"/>
    <w:rsid w:val="0067254C"/>
    <w:rsid w:val="0067273F"/>
    <w:rsid w:val="00672DBE"/>
    <w:rsid w:val="006734FD"/>
    <w:rsid w:val="0067771A"/>
    <w:rsid w:val="00681794"/>
    <w:rsid w:val="00681AC2"/>
    <w:rsid w:val="0068523F"/>
    <w:rsid w:val="006909C4"/>
    <w:rsid w:val="00690D56"/>
    <w:rsid w:val="006915F8"/>
    <w:rsid w:val="00691CE1"/>
    <w:rsid w:val="00692AC4"/>
    <w:rsid w:val="00693135"/>
    <w:rsid w:val="00694C98"/>
    <w:rsid w:val="006964FC"/>
    <w:rsid w:val="00696814"/>
    <w:rsid w:val="00696B71"/>
    <w:rsid w:val="00697412"/>
    <w:rsid w:val="006A2662"/>
    <w:rsid w:val="006A2692"/>
    <w:rsid w:val="006A48A0"/>
    <w:rsid w:val="006A5053"/>
    <w:rsid w:val="006A6618"/>
    <w:rsid w:val="006A6642"/>
    <w:rsid w:val="006A73AE"/>
    <w:rsid w:val="006B1E69"/>
    <w:rsid w:val="006B2097"/>
    <w:rsid w:val="006B2BC7"/>
    <w:rsid w:val="006B37B9"/>
    <w:rsid w:val="006B46F9"/>
    <w:rsid w:val="006B4C35"/>
    <w:rsid w:val="006C0027"/>
    <w:rsid w:val="006C2531"/>
    <w:rsid w:val="006C3AC9"/>
    <w:rsid w:val="006C4CE0"/>
    <w:rsid w:val="006C60BD"/>
    <w:rsid w:val="006C63F2"/>
    <w:rsid w:val="006C7C45"/>
    <w:rsid w:val="006D15CA"/>
    <w:rsid w:val="006E4160"/>
    <w:rsid w:val="006E62C4"/>
    <w:rsid w:val="006F0018"/>
    <w:rsid w:val="006F162E"/>
    <w:rsid w:val="006F2897"/>
    <w:rsid w:val="00700AD8"/>
    <w:rsid w:val="00701FC8"/>
    <w:rsid w:val="00702CC0"/>
    <w:rsid w:val="0070462C"/>
    <w:rsid w:val="00707C14"/>
    <w:rsid w:val="00707C1B"/>
    <w:rsid w:val="007104CC"/>
    <w:rsid w:val="007108CF"/>
    <w:rsid w:val="00712D49"/>
    <w:rsid w:val="00712D95"/>
    <w:rsid w:val="00712EB7"/>
    <w:rsid w:val="00713470"/>
    <w:rsid w:val="00714325"/>
    <w:rsid w:val="007169EE"/>
    <w:rsid w:val="00720274"/>
    <w:rsid w:val="007225DB"/>
    <w:rsid w:val="007240DC"/>
    <w:rsid w:val="0072590C"/>
    <w:rsid w:val="00726823"/>
    <w:rsid w:val="0073113B"/>
    <w:rsid w:val="0073383E"/>
    <w:rsid w:val="00733CE4"/>
    <w:rsid w:val="00734BF6"/>
    <w:rsid w:val="00740D5D"/>
    <w:rsid w:val="00742F3E"/>
    <w:rsid w:val="00743B0C"/>
    <w:rsid w:val="00744642"/>
    <w:rsid w:val="0074505B"/>
    <w:rsid w:val="00745990"/>
    <w:rsid w:val="007501C1"/>
    <w:rsid w:val="007551E6"/>
    <w:rsid w:val="00757963"/>
    <w:rsid w:val="00761513"/>
    <w:rsid w:val="007617AE"/>
    <w:rsid w:val="00770491"/>
    <w:rsid w:val="00770EC3"/>
    <w:rsid w:val="00772AD3"/>
    <w:rsid w:val="00774D5E"/>
    <w:rsid w:val="0078212D"/>
    <w:rsid w:val="00785F5A"/>
    <w:rsid w:val="00787C45"/>
    <w:rsid w:val="007930DD"/>
    <w:rsid w:val="007937F1"/>
    <w:rsid w:val="0079487E"/>
    <w:rsid w:val="00795723"/>
    <w:rsid w:val="00797633"/>
    <w:rsid w:val="007A0CCD"/>
    <w:rsid w:val="007A1298"/>
    <w:rsid w:val="007A18E4"/>
    <w:rsid w:val="007A1BD8"/>
    <w:rsid w:val="007A2079"/>
    <w:rsid w:val="007A5B55"/>
    <w:rsid w:val="007B39CB"/>
    <w:rsid w:val="007B4B18"/>
    <w:rsid w:val="007B5356"/>
    <w:rsid w:val="007B61F1"/>
    <w:rsid w:val="007B66F4"/>
    <w:rsid w:val="007B701C"/>
    <w:rsid w:val="007B71EC"/>
    <w:rsid w:val="007B726D"/>
    <w:rsid w:val="007C05B6"/>
    <w:rsid w:val="007C0D5C"/>
    <w:rsid w:val="007C0F90"/>
    <w:rsid w:val="007C2840"/>
    <w:rsid w:val="007C4480"/>
    <w:rsid w:val="007C68E9"/>
    <w:rsid w:val="007C6FA1"/>
    <w:rsid w:val="007C709B"/>
    <w:rsid w:val="007C7422"/>
    <w:rsid w:val="007D0B60"/>
    <w:rsid w:val="007D288D"/>
    <w:rsid w:val="007D39C8"/>
    <w:rsid w:val="007D4053"/>
    <w:rsid w:val="007D58D3"/>
    <w:rsid w:val="007D5ACF"/>
    <w:rsid w:val="007D66C4"/>
    <w:rsid w:val="007D699F"/>
    <w:rsid w:val="007E03F6"/>
    <w:rsid w:val="007E7E60"/>
    <w:rsid w:val="007F0794"/>
    <w:rsid w:val="00801C36"/>
    <w:rsid w:val="00803086"/>
    <w:rsid w:val="00806C15"/>
    <w:rsid w:val="00811D86"/>
    <w:rsid w:val="0081282D"/>
    <w:rsid w:val="00815900"/>
    <w:rsid w:val="008173ED"/>
    <w:rsid w:val="00817C92"/>
    <w:rsid w:val="00817FA0"/>
    <w:rsid w:val="00820B2B"/>
    <w:rsid w:val="00820B32"/>
    <w:rsid w:val="008242D7"/>
    <w:rsid w:val="008245BE"/>
    <w:rsid w:val="008268E3"/>
    <w:rsid w:val="00827774"/>
    <w:rsid w:val="00827924"/>
    <w:rsid w:val="00831A84"/>
    <w:rsid w:val="008338ED"/>
    <w:rsid w:val="008348B6"/>
    <w:rsid w:val="00834EE9"/>
    <w:rsid w:val="008365D3"/>
    <w:rsid w:val="00836916"/>
    <w:rsid w:val="008402F9"/>
    <w:rsid w:val="00843C9A"/>
    <w:rsid w:val="00844B2C"/>
    <w:rsid w:val="008450F0"/>
    <w:rsid w:val="0084674B"/>
    <w:rsid w:val="0085037D"/>
    <w:rsid w:val="00851D64"/>
    <w:rsid w:val="00852042"/>
    <w:rsid w:val="008536D1"/>
    <w:rsid w:val="00853AD3"/>
    <w:rsid w:val="00854D0F"/>
    <w:rsid w:val="00854E40"/>
    <w:rsid w:val="00855890"/>
    <w:rsid w:val="00855B40"/>
    <w:rsid w:val="00866D7B"/>
    <w:rsid w:val="008705FC"/>
    <w:rsid w:val="008716ED"/>
    <w:rsid w:val="008733EA"/>
    <w:rsid w:val="00873A92"/>
    <w:rsid w:val="00877C53"/>
    <w:rsid w:val="00880DA8"/>
    <w:rsid w:val="00884303"/>
    <w:rsid w:val="00890948"/>
    <w:rsid w:val="00893039"/>
    <w:rsid w:val="0089444A"/>
    <w:rsid w:val="00895915"/>
    <w:rsid w:val="00896A3F"/>
    <w:rsid w:val="00896B40"/>
    <w:rsid w:val="008A06A5"/>
    <w:rsid w:val="008A23BF"/>
    <w:rsid w:val="008A300C"/>
    <w:rsid w:val="008A51FD"/>
    <w:rsid w:val="008A5B50"/>
    <w:rsid w:val="008A5C2F"/>
    <w:rsid w:val="008B0101"/>
    <w:rsid w:val="008B029F"/>
    <w:rsid w:val="008B0315"/>
    <w:rsid w:val="008B0E1F"/>
    <w:rsid w:val="008B3ACD"/>
    <w:rsid w:val="008B49EA"/>
    <w:rsid w:val="008B7951"/>
    <w:rsid w:val="008C0039"/>
    <w:rsid w:val="008C2851"/>
    <w:rsid w:val="008D03A7"/>
    <w:rsid w:val="008D0732"/>
    <w:rsid w:val="008D1556"/>
    <w:rsid w:val="008D219D"/>
    <w:rsid w:val="008D3404"/>
    <w:rsid w:val="008D454B"/>
    <w:rsid w:val="008E1D95"/>
    <w:rsid w:val="008E309F"/>
    <w:rsid w:val="008E3413"/>
    <w:rsid w:val="008E373D"/>
    <w:rsid w:val="008E3EE9"/>
    <w:rsid w:val="008E4271"/>
    <w:rsid w:val="008F1299"/>
    <w:rsid w:val="008F2774"/>
    <w:rsid w:val="008F3142"/>
    <w:rsid w:val="008F4CA1"/>
    <w:rsid w:val="008F52F7"/>
    <w:rsid w:val="008F6BC8"/>
    <w:rsid w:val="008F765E"/>
    <w:rsid w:val="009000E5"/>
    <w:rsid w:val="009049E4"/>
    <w:rsid w:val="0090745B"/>
    <w:rsid w:val="00907FD9"/>
    <w:rsid w:val="00911EA5"/>
    <w:rsid w:val="00914289"/>
    <w:rsid w:val="00914D8A"/>
    <w:rsid w:val="00916171"/>
    <w:rsid w:val="00921D97"/>
    <w:rsid w:val="00923C18"/>
    <w:rsid w:val="0092405E"/>
    <w:rsid w:val="009249C8"/>
    <w:rsid w:val="009252FC"/>
    <w:rsid w:val="00926368"/>
    <w:rsid w:val="00927242"/>
    <w:rsid w:val="00927987"/>
    <w:rsid w:val="009324B8"/>
    <w:rsid w:val="00933515"/>
    <w:rsid w:val="00933577"/>
    <w:rsid w:val="00934E02"/>
    <w:rsid w:val="0094486E"/>
    <w:rsid w:val="00945B12"/>
    <w:rsid w:val="009513B8"/>
    <w:rsid w:val="00951871"/>
    <w:rsid w:val="00954954"/>
    <w:rsid w:val="009602D2"/>
    <w:rsid w:val="00960BAB"/>
    <w:rsid w:val="009618D6"/>
    <w:rsid w:val="009651F1"/>
    <w:rsid w:val="009661FB"/>
    <w:rsid w:val="00970D41"/>
    <w:rsid w:val="00971346"/>
    <w:rsid w:val="0097314F"/>
    <w:rsid w:val="00981281"/>
    <w:rsid w:val="00981EA4"/>
    <w:rsid w:val="00985507"/>
    <w:rsid w:val="009865A6"/>
    <w:rsid w:val="009869A8"/>
    <w:rsid w:val="009905BA"/>
    <w:rsid w:val="00990A88"/>
    <w:rsid w:val="00996171"/>
    <w:rsid w:val="009961A4"/>
    <w:rsid w:val="009969D0"/>
    <w:rsid w:val="009A0E31"/>
    <w:rsid w:val="009A0F85"/>
    <w:rsid w:val="009A14AF"/>
    <w:rsid w:val="009A272A"/>
    <w:rsid w:val="009A39FA"/>
    <w:rsid w:val="009A53AC"/>
    <w:rsid w:val="009A635D"/>
    <w:rsid w:val="009A7301"/>
    <w:rsid w:val="009B23D6"/>
    <w:rsid w:val="009B2ECB"/>
    <w:rsid w:val="009B44E3"/>
    <w:rsid w:val="009B5DF1"/>
    <w:rsid w:val="009B627F"/>
    <w:rsid w:val="009B660A"/>
    <w:rsid w:val="009C1E60"/>
    <w:rsid w:val="009C4069"/>
    <w:rsid w:val="009C6071"/>
    <w:rsid w:val="009D2B4E"/>
    <w:rsid w:val="009D3775"/>
    <w:rsid w:val="009D73B0"/>
    <w:rsid w:val="009E3A29"/>
    <w:rsid w:val="009E4769"/>
    <w:rsid w:val="009E56AC"/>
    <w:rsid w:val="009F389F"/>
    <w:rsid w:val="009F38E2"/>
    <w:rsid w:val="009F57B0"/>
    <w:rsid w:val="009F73A9"/>
    <w:rsid w:val="00A00D5C"/>
    <w:rsid w:val="00A01E08"/>
    <w:rsid w:val="00A049CE"/>
    <w:rsid w:val="00A11FA0"/>
    <w:rsid w:val="00A12A76"/>
    <w:rsid w:val="00A1390B"/>
    <w:rsid w:val="00A14215"/>
    <w:rsid w:val="00A17E12"/>
    <w:rsid w:val="00A17EE6"/>
    <w:rsid w:val="00A21541"/>
    <w:rsid w:val="00A21CB1"/>
    <w:rsid w:val="00A23956"/>
    <w:rsid w:val="00A241FC"/>
    <w:rsid w:val="00A2754D"/>
    <w:rsid w:val="00A277A3"/>
    <w:rsid w:val="00A2780B"/>
    <w:rsid w:val="00A349C1"/>
    <w:rsid w:val="00A363D7"/>
    <w:rsid w:val="00A417B1"/>
    <w:rsid w:val="00A426BC"/>
    <w:rsid w:val="00A42FB9"/>
    <w:rsid w:val="00A431DA"/>
    <w:rsid w:val="00A4448D"/>
    <w:rsid w:val="00A45BA3"/>
    <w:rsid w:val="00A471B8"/>
    <w:rsid w:val="00A50919"/>
    <w:rsid w:val="00A5303F"/>
    <w:rsid w:val="00A53ABD"/>
    <w:rsid w:val="00A609B1"/>
    <w:rsid w:val="00A60E99"/>
    <w:rsid w:val="00A630B1"/>
    <w:rsid w:val="00A650A6"/>
    <w:rsid w:val="00A665CC"/>
    <w:rsid w:val="00A66794"/>
    <w:rsid w:val="00A668BD"/>
    <w:rsid w:val="00A70881"/>
    <w:rsid w:val="00A70F36"/>
    <w:rsid w:val="00A720F4"/>
    <w:rsid w:val="00A72399"/>
    <w:rsid w:val="00A73B2F"/>
    <w:rsid w:val="00A73CC3"/>
    <w:rsid w:val="00A74CA0"/>
    <w:rsid w:val="00A75AD4"/>
    <w:rsid w:val="00A76BBA"/>
    <w:rsid w:val="00A77016"/>
    <w:rsid w:val="00A810F3"/>
    <w:rsid w:val="00A81E3B"/>
    <w:rsid w:val="00A85BAD"/>
    <w:rsid w:val="00A86DB8"/>
    <w:rsid w:val="00A87A0A"/>
    <w:rsid w:val="00A907C9"/>
    <w:rsid w:val="00A92EFA"/>
    <w:rsid w:val="00A93F11"/>
    <w:rsid w:val="00AA20FB"/>
    <w:rsid w:val="00AA372F"/>
    <w:rsid w:val="00AA5A13"/>
    <w:rsid w:val="00AA5A51"/>
    <w:rsid w:val="00AA5CC8"/>
    <w:rsid w:val="00AA609D"/>
    <w:rsid w:val="00AB0DA0"/>
    <w:rsid w:val="00AB12B4"/>
    <w:rsid w:val="00AB25A5"/>
    <w:rsid w:val="00AB365A"/>
    <w:rsid w:val="00AB5454"/>
    <w:rsid w:val="00AB693C"/>
    <w:rsid w:val="00AB7D74"/>
    <w:rsid w:val="00AC034E"/>
    <w:rsid w:val="00AC2348"/>
    <w:rsid w:val="00AC3E57"/>
    <w:rsid w:val="00AC66D8"/>
    <w:rsid w:val="00AD0199"/>
    <w:rsid w:val="00AD320C"/>
    <w:rsid w:val="00AD3A31"/>
    <w:rsid w:val="00AD5473"/>
    <w:rsid w:val="00AD59D8"/>
    <w:rsid w:val="00AD6218"/>
    <w:rsid w:val="00AD65C9"/>
    <w:rsid w:val="00AD783A"/>
    <w:rsid w:val="00AE0CF4"/>
    <w:rsid w:val="00AE179A"/>
    <w:rsid w:val="00AE4265"/>
    <w:rsid w:val="00AE433C"/>
    <w:rsid w:val="00AE6868"/>
    <w:rsid w:val="00AE6D89"/>
    <w:rsid w:val="00AF1F76"/>
    <w:rsid w:val="00AF232E"/>
    <w:rsid w:val="00AF2B89"/>
    <w:rsid w:val="00AF322B"/>
    <w:rsid w:val="00AF42E5"/>
    <w:rsid w:val="00AF4350"/>
    <w:rsid w:val="00AF57F8"/>
    <w:rsid w:val="00B00C15"/>
    <w:rsid w:val="00B00FF7"/>
    <w:rsid w:val="00B01465"/>
    <w:rsid w:val="00B0191C"/>
    <w:rsid w:val="00B02F99"/>
    <w:rsid w:val="00B03A71"/>
    <w:rsid w:val="00B03C5A"/>
    <w:rsid w:val="00B05572"/>
    <w:rsid w:val="00B0689C"/>
    <w:rsid w:val="00B074C6"/>
    <w:rsid w:val="00B07814"/>
    <w:rsid w:val="00B10A44"/>
    <w:rsid w:val="00B11DCE"/>
    <w:rsid w:val="00B164C0"/>
    <w:rsid w:val="00B17FC8"/>
    <w:rsid w:val="00B23408"/>
    <w:rsid w:val="00B2429D"/>
    <w:rsid w:val="00B2437C"/>
    <w:rsid w:val="00B26617"/>
    <w:rsid w:val="00B326DA"/>
    <w:rsid w:val="00B3298F"/>
    <w:rsid w:val="00B33718"/>
    <w:rsid w:val="00B36CAD"/>
    <w:rsid w:val="00B43036"/>
    <w:rsid w:val="00B43929"/>
    <w:rsid w:val="00B43D40"/>
    <w:rsid w:val="00B44B6C"/>
    <w:rsid w:val="00B44BF9"/>
    <w:rsid w:val="00B46BB6"/>
    <w:rsid w:val="00B52698"/>
    <w:rsid w:val="00B52AFA"/>
    <w:rsid w:val="00B53A26"/>
    <w:rsid w:val="00B54510"/>
    <w:rsid w:val="00B576F6"/>
    <w:rsid w:val="00B57C9F"/>
    <w:rsid w:val="00B620F2"/>
    <w:rsid w:val="00B62A28"/>
    <w:rsid w:val="00B63125"/>
    <w:rsid w:val="00B63E93"/>
    <w:rsid w:val="00B67DEC"/>
    <w:rsid w:val="00B72146"/>
    <w:rsid w:val="00B73C2C"/>
    <w:rsid w:val="00B73DB9"/>
    <w:rsid w:val="00B76F25"/>
    <w:rsid w:val="00B77D51"/>
    <w:rsid w:val="00B8005D"/>
    <w:rsid w:val="00B8090A"/>
    <w:rsid w:val="00B81520"/>
    <w:rsid w:val="00B840D6"/>
    <w:rsid w:val="00B859EB"/>
    <w:rsid w:val="00B87541"/>
    <w:rsid w:val="00B9095D"/>
    <w:rsid w:val="00B92334"/>
    <w:rsid w:val="00B953AE"/>
    <w:rsid w:val="00B95F8E"/>
    <w:rsid w:val="00B978FA"/>
    <w:rsid w:val="00BA0028"/>
    <w:rsid w:val="00BA0114"/>
    <w:rsid w:val="00BA55CF"/>
    <w:rsid w:val="00BA6538"/>
    <w:rsid w:val="00BA6EB5"/>
    <w:rsid w:val="00BB1366"/>
    <w:rsid w:val="00BB2A1F"/>
    <w:rsid w:val="00BB2CFA"/>
    <w:rsid w:val="00BB5AD5"/>
    <w:rsid w:val="00BB6630"/>
    <w:rsid w:val="00BC1DBF"/>
    <w:rsid w:val="00BC1E71"/>
    <w:rsid w:val="00BC23C3"/>
    <w:rsid w:val="00BC5522"/>
    <w:rsid w:val="00BD3409"/>
    <w:rsid w:val="00BD38F2"/>
    <w:rsid w:val="00BD5695"/>
    <w:rsid w:val="00BD5C2A"/>
    <w:rsid w:val="00BD6585"/>
    <w:rsid w:val="00BD7F81"/>
    <w:rsid w:val="00BE2056"/>
    <w:rsid w:val="00BE4FAF"/>
    <w:rsid w:val="00BE5642"/>
    <w:rsid w:val="00BE5EB6"/>
    <w:rsid w:val="00BE6034"/>
    <w:rsid w:val="00BF0E9A"/>
    <w:rsid w:val="00BF286B"/>
    <w:rsid w:val="00BF52B2"/>
    <w:rsid w:val="00C01B00"/>
    <w:rsid w:val="00C03360"/>
    <w:rsid w:val="00C0346A"/>
    <w:rsid w:val="00C03ECA"/>
    <w:rsid w:val="00C06B68"/>
    <w:rsid w:val="00C105B8"/>
    <w:rsid w:val="00C10F7F"/>
    <w:rsid w:val="00C16565"/>
    <w:rsid w:val="00C17135"/>
    <w:rsid w:val="00C1779B"/>
    <w:rsid w:val="00C24B20"/>
    <w:rsid w:val="00C26251"/>
    <w:rsid w:val="00C2750C"/>
    <w:rsid w:val="00C33F49"/>
    <w:rsid w:val="00C344A2"/>
    <w:rsid w:val="00C34B17"/>
    <w:rsid w:val="00C35C7D"/>
    <w:rsid w:val="00C36ABB"/>
    <w:rsid w:val="00C376D4"/>
    <w:rsid w:val="00C40779"/>
    <w:rsid w:val="00C409B3"/>
    <w:rsid w:val="00C43B38"/>
    <w:rsid w:val="00C44164"/>
    <w:rsid w:val="00C46693"/>
    <w:rsid w:val="00C509BD"/>
    <w:rsid w:val="00C512C3"/>
    <w:rsid w:val="00C51D23"/>
    <w:rsid w:val="00C51DC4"/>
    <w:rsid w:val="00C52F3F"/>
    <w:rsid w:val="00C56BBA"/>
    <w:rsid w:val="00C61BE1"/>
    <w:rsid w:val="00C6312C"/>
    <w:rsid w:val="00C65F33"/>
    <w:rsid w:val="00C66338"/>
    <w:rsid w:val="00C6732C"/>
    <w:rsid w:val="00C67732"/>
    <w:rsid w:val="00C70C0E"/>
    <w:rsid w:val="00C75718"/>
    <w:rsid w:val="00C868B2"/>
    <w:rsid w:val="00C87C5F"/>
    <w:rsid w:val="00C90074"/>
    <w:rsid w:val="00C900E3"/>
    <w:rsid w:val="00C92E9C"/>
    <w:rsid w:val="00C9329B"/>
    <w:rsid w:val="00C93560"/>
    <w:rsid w:val="00C94040"/>
    <w:rsid w:val="00C95E44"/>
    <w:rsid w:val="00C97CF1"/>
    <w:rsid w:val="00CA004D"/>
    <w:rsid w:val="00CA19E8"/>
    <w:rsid w:val="00CA4889"/>
    <w:rsid w:val="00CA49C2"/>
    <w:rsid w:val="00CA4E53"/>
    <w:rsid w:val="00CB2F99"/>
    <w:rsid w:val="00CB4496"/>
    <w:rsid w:val="00CB7FF9"/>
    <w:rsid w:val="00CC14A3"/>
    <w:rsid w:val="00CC1B36"/>
    <w:rsid w:val="00CC1FC0"/>
    <w:rsid w:val="00CC2F95"/>
    <w:rsid w:val="00CC4682"/>
    <w:rsid w:val="00CD355C"/>
    <w:rsid w:val="00CD3FED"/>
    <w:rsid w:val="00CD5618"/>
    <w:rsid w:val="00CE1366"/>
    <w:rsid w:val="00CE3F53"/>
    <w:rsid w:val="00CE6983"/>
    <w:rsid w:val="00CE6F79"/>
    <w:rsid w:val="00CE7484"/>
    <w:rsid w:val="00CE7E78"/>
    <w:rsid w:val="00CF26C1"/>
    <w:rsid w:val="00CF3A4F"/>
    <w:rsid w:val="00CF3BD7"/>
    <w:rsid w:val="00CF46B0"/>
    <w:rsid w:val="00CF6147"/>
    <w:rsid w:val="00D044CE"/>
    <w:rsid w:val="00D06AC4"/>
    <w:rsid w:val="00D141DC"/>
    <w:rsid w:val="00D15342"/>
    <w:rsid w:val="00D15787"/>
    <w:rsid w:val="00D172E4"/>
    <w:rsid w:val="00D17D82"/>
    <w:rsid w:val="00D20A8D"/>
    <w:rsid w:val="00D2205F"/>
    <w:rsid w:val="00D22A52"/>
    <w:rsid w:val="00D23787"/>
    <w:rsid w:val="00D239BA"/>
    <w:rsid w:val="00D302A4"/>
    <w:rsid w:val="00D30974"/>
    <w:rsid w:val="00D32CA6"/>
    <w:rsid w:val="00D333BB"/>
    <w:rsid w:val="00D367A3"/>
    <w:rsid w:val="00D403DB"/>
    <w:rsid w:val="00D4078E"/>
    <w:rsid w:val="00D4144E"/>
    <w:rsid w:val="00D428A2"/>
    <w:rsid w:val="00D4530C"/>
    <w:rsid w:val="00D46E7E"/>
    <w:rsid w:val="00D46F25"/>
    <w:rsid w:val="00D47772"/>
    <w:rsid w:val="00D518A5"/>
    <w:rsid w:val="00D51C32"/>
    <w:rsid w:val="00D524EC"/>
    <w:rsid w:val="00D56226"/>
    <w:rsid w:val="00D56806"/>
    <w:rsid w:val="00D62837"/>
    <w:rsid w:val="00D6414C"/>
    <w:rsid w:val="00D65123"/>
    <w:rsid w:val="00D70162"/>
    <w:rsid w:val="00D7031D"/>
    <w:rsid w:val="00D7043E"/>
    <w:rsid w:val="00D7308C"/>
    <w:rsid w:val="00D812F6"/>
    <w:rsid w:val="00D83898"/>
    <w:rsid w:val="00D83CCA"/>
    <w:rsid w:val="00D85F27"/>
    <w:rsid w:val="00D862C0"/>
    <w:rsid w:val="00D87A97"/>
    <w:rsid w:val="00D91BB8"/>
    <w:rsid w:val="00D92CD9"/>
    <w:rsid w:val="00D92D95"/>
    <w:rsid w:val="00D9338E"/>
    <w:rsid w:val="00D9456D"/>
    <w:rsid w:val="00D96978"/>
    <w:rsid w:val="00D9745D"/>
    <w:rsid w:val="00DA0AA5"/>
    <w:rsid w:val="00DA0F96"/>
    <w:rsid w:val="00DA4184"/>
    <w:rsid w:val="00DA5619"/>
    <w:rsid w:val="00DA5EC3"/>
    <w:rsid w:val="00DA7DBD"/>
    <w:rsid w:val="00DB191B"/>
    <w:rsid w:val="00DB2102"/>
    <w:rsid w:val="00DB253A"/>
    <w:rsid w:val="00DB3B05"/>
    <w:rsid w:val="00DB4FA3"/>
    <w:rsid w:val="00DB5208"/>
    <w:rsid w:val="00DB7C19"/>
    <w:rsid w:val="00DC75B2"/>
    <w:rsid w:val="00DC7D37"/>
    <w:rsid w:val="00DC7FEB"/>
    <w:rsid w:val="00DD32FE"/>
    <w:rsid w:val="00DD432D"/>
    <w:rsid w:val="00DD49A5"/>
    <w:rsid w:val="00DD4DC6"/>
    <w:rsid w:val="00DD5C1C"/>
    <w:rsid w:val="00DD60D9"/>
    <w:rsid w:val="00DD63E9"/>
    <w:rsid w:val="00DD6510"/>
    <w:rsid w:val="00DD708C"/>
    <w:rsid w:val="00DD759C"/>
    <w:rsid w:val="00DD7E1A"/>
    <w:rsid w:val="00DE0DB9"/>
    <w:rsid w:val="00DE2AD1"/>
    <w:rsid w:val="00DF0B0B"/>
    <w:rsid w:val="00E00A87"/>
    <w:rsid w:val="00E015D5"/>
    <w:rsid w:val="00E04651"/>
    <w:rsid w:val="00E05567"/>
    <w:rsid w:val="00E11D5C"/>
    <w:rsid w:val="00E13DCD"/>
    <w:rsid w:val="00E15655"/>
    <w:rsid w:val="00E15893"/>
    <w:rsid w:val="00E15DFF"/>
    <w:rsid w:val="00E15F30"/>
    <w:rsid w:val="00E16160"/>
    <w:rsid w:val="00E16921"/>
    <w:rsid w:val="00E2281D"/>
    <w:rsid w:val="00E2291F"/>
    <w:rsid w:val="00E23ABF"/>
    <w:rsid w:val="00E23CD2"/>
    <w:rsid w:val="00E242C7"/>
    <w:rsid w:val="00E24C11"/>
    <w:rsid w:val="00E2557F"/>
    <w:rsid w:val="00E30595"/>
    <w:rsid w:val="00E320AF"/>
    <w:rsid w:val="00E32D2B"/>
    <w:rsid w:val="00E351B9"/>
    <w:rsid w:val="00E3779D"/>
    <w:rsid w:val="00E40537"/>
    <w:rsid w:val="00E42FFE"/>
    <w:rsid w:val="00E45D64"/>
    <w:rsid w:val="00E462E1"/>
    <w:rsid w:val="00E467E4"/>
    <w:rsid w:val="00E46BBB"/>
    <w:rsid w:val="00E47096"/>
    <w:rsid w:val="00E519DF"/>
    <w:rsid w:val="00E54CA0"/>
    <w:rsid w:val="00E56C3D"/>
    <w:rsid w:val="00E603E4"/>
    <w:rsid w:val="00E60C42"/>
    <w:rsid w:val="00E663B5"/>
    <w:rsid w:val="00E66F64"/>
    <w:rsid w:val="00E67CAD"/>
    <w:rsid w:val="00E71C5B"/>
    <w:rsid w:val="00E71D9A"/>
    <w:rsid w:val="00E739A4"/>
    <w:rsid w:val="00E81A90"/>
    <w:rsid w:val="00E827C1"/>
    <w:rsid w:val="00E8723B"/>
    <w:rsid w:val="00E8770C"/>
    <w:rsid w:val="00E87B40"/>
    <w:rsid w:val="00E91484"/>
    <w:rsid w:val="00E9243B"/>
    <w:rsid w:val="00E92815"/>
    <w:rsid w:val="00E93171"/>
    <w:rsid w:val="00E946B6"/>
    <w:rsid w:val="00E969CF"/>
    <w:rsid w:val="00EA02CD"/>
    <w:rsid w:val="00EA0CC8"/>
    <w:rsid w:val="00EA2DE3"/>
    <w:rsid w:val="00EA409A"/>
    <w:rsid w:val="00EA41D6"/>
    <w:rsid w:val="00EA5BD1"/>
    <w:rsid w:val="00EA7FC6"/>
    <w:rsid w:val="00EB0314"/>
    <w:rsid w:val="00EB2B55"/>
    <w:rsid w:val="00EB6042"/>
    <w:rsid w:val="00EB69C7"/>
    <w:rsid w:val="00EB7149"/>
    <w:rsid w:val="00EB7569"/>
    <w:rsid w:val="00EB7BE6"/>
    <w:rsid w:val="00EB7CEB"/>
    <w:rsid w:val="00EC1210"/>
    <w:rsid w:val="00EC30D6"/>
    <w:rsid w:val="00EC695A"/>
    <w:rsid w:val="00ED1C88"/>
    <w:rsid w:val="00ED20C5"/>
    <w:rsid w:val="00ED225A"/>
    <w:rsid w:val="00EE0C59"/>
    <w:rsid w:val="00EE2336"/>
    <w:rsid w:val="00EE3736"/>
    <w:rsid w:val="00EE508D"/>
    <w:rsid w:val="00EF03DD"/>
    <w:rsid w:val="00EF0B5F"/>
    <w:rsid w:val="00EF0C90"/>
    <w:rsid w:val="00F00C81"/>
    <w:rsid w:val="00F02F48"/>
    <w:rsid w:val="00F055BB"/>
    <w:rsid w:val="00F0632B"/>
    <w:rsid w:val="00F12A1C"/>
    <w:rsid w:val="00F1580A"/>
    <w:rsid w:val="00F17D78"/>
    <w:rsid w:val="00F20667"/>
    <w:rsid w:val="00F21544"/>
    <w:rsid w:val="00F21CB0"/>
    <w:rsid w:val="00F21F8D"/>
    <w:rsid w:val="00F21FC2"/>
    <w:rsid w:val="00F23AF2"/>
    <w:rsid w:val="00F2405D"/>
    <w:rsid w:val="00F25B35"/>
    <w:rsid w:val="00F34379"/>
    <w:rsid w:val="00F353B0"/>
    <w:rsid w:val="00F40789"/>
    <w:rsid w:val="00F40B1C"/>
    <w:rsid w:val="00F41912"/>
    <w:rsid w:val="00F4480A"/>
    <w:rsid w:val="00F4493C"/>
    <w:rsid w:val="00F45C4D"/>
    <w:rsid w:val="00F510D9"/>
    <w:rsid w:val="00F552EE"/>
    <w:rsid w:val="00F559A5"/>
    <w:rsid w:val="00F563F0"/>
    <w:rsid w:val="00F57D17"/>
    <w:rsid w:val="00F62C71"/>
    <w:rsid w:val="00F64D17"/>
    <w:rsid w:val="00F679AB"/>
    <w:rsid w:val="00F76BED"/>
    <w:rsid w:val="00F80ABC"/>
    <w:rsid w:val="00F82931"/>
    <w:rsid w:val="00F8306C"/>
    <w:rsid w:val="00F83B46"/>
    <w:rsid w:val="00F857F6"/>
    <w:rsid w:val="00F86CC4"/>
    <w:rsid w:val="00F86E33"/>
    <w:rsid w:val="00F870BA"/>
    <w:rsid w:val="00F90228"/>
    <w:rsid w:val="00F90AD1"/>
    <w:rsid w:val="00F9225A"/>
    <w:rsid w:val="00F927C8"/>
    <w:rsid w:val="00F94520"/>
    <w:rsid w:val="00F97434"/>
    <w:rsid w:val="00F97C97"/>
    <w:rsid w:val="00FA27F3"/>
    <w:rsid w:val="00FA2DEC"/>
    <w:rsid w:val="00FA65D1"/>
    <w:rsid w:val="00FA799E"/>
    <w:rsid w:val="00FA7F7D"/>
    <w:rsid w:val="00FB1A13"/>
    <w:rsid w:val="00FB1CA3"/>
    <w:rsid w:val="00FB1DAA"/>
    <w:rsid w:val="00FB3976"/>
    <w:rsid w:val="00FB5359"/>
    <w:rsid w:val="00FB66CC"/>
    <w:rsid w:val="00FB6C50"/>
    <w:rsid w:val="00FC334E"/>
    <w:rsid w:val="00FC3501"/>
    <w:rsid w:val="00FD5593"/>
    <w:rsid w:val="00FD58F8"/>
    <w:rsid w:val="00FD6210"/>
    <w:rsid w:val="00FD7815"/>
    <w:rsid w:val="00FE14B8"/>
    <w:rsid w:val="00FE2D8F"/>
    <w:rsid w:val="00FE77BE"/>
    <w:rsid w:val="00FE7867"/>
    <w:rsid w:val="00FE7D9F"/>
    <w:rsid w:val="00FF1564"/>
    <w:rsid w:val="00FF1B79"/>
    <w:rsid w:val="00FF2919"/>
    <w:rsid w:val="00FF3C7D"/>
    <w:rsid w:val="00FF4FC7"/>
    <w:rsid w:val="00FF727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DD88"/>
  <w15:chartTrackingRefBased/>
  <w15:docId w15:val="{5800CEDB-4B3D-4648-85B7-F8148766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55"/>
  </w:style>
  <w:style w:type="paragraph" w:styleId="Heading1">
    <w:name w:val="heading 1"/>
    <w:basedOn w:val="Normal"/>
    <w:next w:val="Normal"/>
    <w:link w:val="Heading1Char"/>
    <w:uiPriority w:val="9"/>
    <w:qFormat/>
    <w:rsid w:val="00EB2B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2B5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B2B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B2B5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B2B5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B2B55"/>
    <w:pPr>
      <w:keepNext/>
      <w:keepLines/>
      <w:spacing w:before="200" w:after="40" w:line="240" w:lineRule="auto"/>
      <w:outlineLvl w:val="5"/>
    </w:pPr>
    <w:rPr>
      <w:rFonts w:ascii="Times New Roman" w:eastAsia="Times New Roman" w:hAnsi="Times New Roman" w:cs="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B5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B2B5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B2B5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B2B55"/>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EB2B5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B2B55"/>
    <w:rPr>
      <w:rFonts w:ascii="Times New Roman" w:eastAsia="Times New Roman" w:hAnsi="Times New Roman" w:cs="Times New Roman"/>
      <w:b/>
      <w:sz w:val="20"/>
      <w:szCs w:val="20"/>
      <w:lang w:eastAsia="en-GB"/>
    </w:rPr>
  </w:style>
  <w:style w:type="paragraph" w:styleId="ListParagraph">
    <w:name w:val="List Paragraph"/>
    <w:basedOn w:val="Normal"/>
    <w:uiPriority w:val="1"/>
    <w:qFormat/>
    <w:rsid w:val="00EB2B55"/>
    <w:pPr>
      <w:ind w:left="720"/>
      <w:contextualSpacing/>
    </w:pPr>
  </w:style>
  <w:style w:type="character" w:styleId="CommentReference">
    <w:name w:val="annotation reference"/>
    <w:basedOn w:val="DefaultParagraphFont"/>
    <w:uiPriority w:val="99"/>
    <w:semiHidden/>
    <w:unhideWhenUsed/>
    <w:rsid w:val="00EB2B55"/>
    <w:rPr>
      <w:sz w:val="16"/>
      <w:szCs w:val="16"/>
    </w:rPr>
  </w:style>
  <w:style w:type="paragraph" w:styleId="CommentText">
    <w:name w:val="annotation text"/>
    <w:basedOn w:val="Normal"/>
    <w:link w:val="CommentTextChar"/>
    <w:uiPriority w:val="99"/>
    <w:unhideWhenUsed/>
    <w:rsid w:val="00EB2B55"/>
    <w:pPr>
      <w:spacing w:line="240" w:lineRule="auto"/>
    </w:pPr>
    <w:rPr>
      <w:sz w:val="20"/>
      <w:szCs w:val="20"/>
    </w:rPr>
  </w:style>
  <w:style w:type="character" w:customStyle="1" w:styleId="CommentTextChar">
    <w:name w:val="Comment Text Char"/>
    <w:basedOn w:val="DefaultParagraphFont"/>
    <w:link w:val="CommentText"/>
    <w:uiPriority w:val="99"/>
    <w:rsid w:val="00EB2B55"/>
    <w:rPr>
      <w:sz w:val="20"/>
      <w:szCs w:val="20"/>
    </w:rPr>
  </w:style>
  <w:style w:type="paragraph" w:styleId="CommentSubject">
    <w:name w:val="annotation subject"/>
    <w:basedOn w:val="CommentText"/>
    <w:next w:val="CommentText"/>
    <w:link w:val="CommentSubjectChar"/>
    <w:uiPriority w:val="99"/>
    <w:semiHidden/>
    <w:unhideWhenUsed/>
    <w:rsid w:val="00EB2B55"/>
    <w:rPr>
      <w:b/>
      <w:bCs/>
    </w:rPr>
  </w:style>
  <w:style w:type="character" w:customStyle="1" w:styleId="CommentSubjectChar">
    <w:name w:val="Comment Subject Char"/>
    <w:basedOn w:val="CommentTextChar"/>
    <w:link w:val="CommentSubject"/>
    <w:uiPriority w:val="99"/>
    <w:semiHidden/>
    <w:rsid w:val="00EB2B55"/>
    <w:rPr>
      <w:b/>
      <w:bCs/>
      <w:sz w:val="20"/>
      <w:szCs w:val="20"/>
    </w:rPr>
  </w:style>
  <w:style w:type="paragraph" w:styleId="BalloonText">
    <w:name w:val="Balloon Text"/>
    <w:basedOn w:val="Normal"/>
    <w:link w:val="BalloonTextChar"/>
    <w:uiPriority w:val="99"/>
    <w:semiHidden/>
    <w:unhideWhenUsed/>
    <w:rsid w:val="00EB2B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B55"/>
    <w:rPr>
      <w:rFonts w:ascii="Segoe UI" w:hAnsi="Segoe UI" w:cs="Segoe UI"/>
      <w:sz w:val="18"/>
      <w:szCs w:val="18"/>
    </w:rPr>
  </w:style>
  <w:style w:type="paragraph" w:styleId="FootnoteText">
    <w:name w:val="footnote text"/>
    <w:basedOn w:val="Normal"/>
    <w:link w:val="FootnoteTextChar"/>
    <w:uiPriority w:val="99"/>
    <w:semiHidden/>
    <w:unhideWhenUsed/>
    <w:rsid w:val="00EB2B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2B55"/>
    <w:rPr>
      <w:sz w:val="20"/>
      <w:szCs w:val="20"/>
    </w:rPr>
  </w:style>
  <w:style w:type="character" w:styleId="FootnoteReference">
    <w:name w:val="footnote reference"/>
    <w:basedOn w:val="DefaultParagraphFont"/>
    <w:uiPriority w:val="99"/>
    <w:semiHidden/>
    <w:unhideWhenUsed/>
    <w:rsid w:val="00EB2B55"/>
    <w:rPr>
      <w:vertAlign w:val="superscript"/>
    </w:rPr>
  </w:style>
  <w:style w:type="paragraph" w:styleId="Header">
    <w:name w:val="header"/>
    <w:basedOn w:val="Normal"/>
    <w:link w:val="HeaderChar"/>
    <w:uiPriority w:val="99"/>
    <w:unhideWhenUsed/>
    <w:rsid w:val="00EB2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B55"/>
  </w:style>
  <w:style w:type="paragraph" w:styleId="Footer">
    <w:name w:val="footer"/>
    <w:basedOn w:val="Normal"/>
    <w:link w:val="FooterChar"/>
    <w:uiPriority w:val="99"/>
    <w:unhideWhenUsed/>
    <w:rsid w:val="00EB2B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B55"/>
  </w:style>
  <w:style w:type="paragraph" w:customStyle="1" w:styleId="EndNoteBibliographyTitle">
    <w:name w:val="EndNote Bibliography Title"/>
    <w:basedOn w:val="Normal"/>
    <w:link w:val="EndNoteBibliographyTitleChar"/>
    <w:rsid w:val="00EB2B55"/>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B2B55"/>
    <w:rPr>
      <w:rFonts w:ascii="Calibri" w:hAnsi="Calibri" w:cs="Calibri"/>
      <w:noProof/>
    </w:rPr>
  </w:style>
  <w:style w:type="paragraph" w:customStyle="1" w:styleId="EndNoteBibliography">
    <w:name w:val="EndNote Bibliography"/>
    <w:basedOn w:val="Normal"/>
    <w:link w:val="EndNoteBibliographyChar"/>
    <w:rsid w:val="00EB2B5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EB2B55"/>
    <w:rPr>
      <w:rFonts w:ascii="Calibri" w:hAnsi="Calibri" w:cs="Calibri"/>
      <w:noProof/>
    </w:rPr>
  </w:style>
  <w:style w:type="character" w:styleId="Hyperlink">
    <w:name w:val="Hyperlink"/>
    <w:basedOn w:val="DefaultParagraphFont"/>
    <w:uiPriority w:val="99"/>
    <w:unhideWhenUsed/>
    <w:rsid w:val="00EB2B55"/>
    <w:rPr>
      <w:color w:val="0563C1" w:themeColor="hyperlink"/>
      <w:u w:val="single"/>
    </w:rPr>
  </w:style>
  <w:style w:type="paragraph" w:customStyle="1" w:styleId="EndNoteCategoryHeading">
    <w:name w:val="EndNote Category Heading"/>
    <w:basedOn w:val="Normal"/>
    <w:link w:val="EndNoteCategoryHeadingChar"/>
    <w:rsid w:val="00EB2B55"/>
    <w:pPr>
      <w:spacing w:before="120" w:after="120"/>
    </w:pPr>
    <w:rPr>
      <w:b/>
      <w:noProof/>
    </w:rPr>
  </w:style>
  <w:style w:type="character" w:customStyle="1" w:styleId="EndNoteCategoryHeadingChar">
    <w:name w:val="EndNote Category Heading Char"/>
    <w:basedOn w:val="DefaultParagraphFont"/>
    <w:link w:val="EndNoteCategoryHeading"/>
    <w:rsid w:val="00EB2B55"/>
    <w:rPr>
      <w:b/>
      <w:noProof/>
    </w:rPr>
  </w:style>
  <w:style w:type="table" w:styleId="TableGrid">
    <w:name w:val="Table Grid"/>
    <w:basedOn w:val="TableNormal"/>
    <w:uiPriority w:val="39"/>
    <w:rsid w:val="00EB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B2B55"/>
    <w:pPr>
      <w:spacing w:after="0" w:line="240" w:lineRule="auto"/>
    </w:pPr>
  </w:style>
  <w:style w:type="character" w:styleId="FollowedHyperlink">
    <w:name w:val="FollowedHyperlink"/>
    <w:basedOn w:val="DefaultParagraphFont"/>
    <w:uiPriority w:val="99"/>
    <w:semiHidden/>
    <w:unhideWhenUsed/>
    <w:rsid w:val="00EB2B55"/>
    <w:rPr>
      <w:color w:val="954F72" w:themeColor="followedHyperlink"/>
      <w:u w:val="single"/>
    </w:rPr>
  </w:style>
  <w:style w:type="character" w:customStyle="1" w:styleId="Subtitle1">
    <w:name w:val="Subtitle1"/>
    <w:basedOn w:val="DefaultParagraphFont"/>
    <w:rsid w:val="00EB2B55"/>
  </w:style>
  <w:style w:type="character" w:customStyle="1" w:styleId="colon-for-citation-subtitle">
    <w:name w:val="colon-for-citation-subtitle"/>
    <w:basedOn w:val="DefaultParagraphFont"/>
    <w:rsid w:val="00EB2B55"/>
  </w:style>
  <w:style w:type="character" w:styleId="Emphasis">
    <w:name w:val="Emphasis"/>
    <w:basedOn w:val="DefaultParagraphFont"/>
    <w:uiPriority w:val="20"/>
    <w:qFormat/>
    <w:rsid w:val="00EB2B55"/>
    <w:rPr>
      <w:i/>
      <w:iCs/>
    </w:rPr>
  </w:style>
  <w:style w:type="paragraph" w:styleId="TOC1">
    <w:name w:val="toc 1"/>
    <w:basedOn w:val="Normal"/>
    <w:next w:val="Normal"/>
    <w:autoRedefine/>
    <w:uiPriority w:val="39"/>
    <w:unhideWhenUsed/>
    <w:rsid w:val="005A793E"/>
    <w:pPr>
      <w:spacing w:before="120" w:after="120"/>
    </w:pPr>
    <w:rPr>
      <w:rFonts w:cstheme="minorHAnsi"/>
      <w:b/>
      <w:bCs/>
      <w:caps/>
      <w:sz w:val="20"/>
      <w:szCs w:val="20"/>
    </w:rPr>
  </w:style>
  <w:style w:type="paragraph" w:styleId="TOC2">
    <w:name w:val="toc 2"/>
    <w:basedOn w:val="Normal"/>
    <w:next w:val="Normal"/>
    <w:autoRedefine/>
    <w:uiPriority w:val="39"/>
    <w:unhideWhenUsed/>
    <w:rsid w:val="00057B5C"/>
    <w:pPr>
      <w:tabs>
        <w:tab w:val="left" w:pos="880"/>
        <w:tab w:val="right" w:leader="dot" w:pos="9016"/>
      </w:tabs>
      <w:spacing w:after="0"/>
      <w:ind w:left="851" w:hanging="851"/>
    </w:pPr>
    <w:rPr>
      <w:rFonts w:cstheme="minorHAnsi"/>
      <w:smallCaps/>
      <w:sz w:val="20"/>
      <w:szCs w:val="20"/>
    </w:rPr>
  </w:style>
  <w:style w:type="paragraph" w:styleId="TOC3">
    <w:name w:val="toc 3"/>
    <w:basedOn w:val="Normal"/>
    <w:next w:val="Normal"/>
    <w:autoRedefine/>
    <w:uiPriority w:val="39"/>
    <w:unhideWhenUsed/>
    <w:rsid w:val="00EB2B55"/>
    <w:pPr>
      <w:spacing w:after="0"/>
      <w:ind w:left="440"/>
    </w:pPr>
    <w:rPr>
      <w:rFonts w:cstheme="minorHAnsi"/>
      <w:i/>
      <w:iCs/>
      <w:sz w:val="20"/>
      <w:szCs w:val="20"/>
    </w:rPr>
  </w:style>
  <w:style w:type="paragraph" w:styleId="TOC4">
    <w:name w:val="toc 4"/>
    <w:basedOn w:val="Normal"/>
    <w:next w:val="Normal"/>
    <w:autoRedefine/>
    <w:uiPriority w:val="39"/>
    <w:unhideWhenUsed/>
    <w:rsid w:val="00EB2B55"/>
    <w:pPr>
      <w:spacing w:after="0"/>
      <w:ind w:left="660"/>
    </w:pPr>
    <w:rPr>
      <w:rFonts w:cstheme="minorHAnsi"/>
      <w:sz w:val="18"/>
      <w:szCs w:val="18"/>
    </w:rPr>
  </w:style>
  <w:style w:type="paragraph" w:styleId="TOC5">
    <w:name w:val="toc 5"/>
    <w:basedOn w:val="Normal"/>
    <w:next w:val="Normal"/>
    <w:autoRedefine/>
    <w:uiPriority w:val="39"/>
    <w:unhideWhenUsed/>
    <w:rsid w:val="00EB2B55"/>
    <w:pPr>
      <w:spacing w:after="0"/>
      <w:ind w:left="880"/>
    </w:pPr>
    <w:rPr>
      <w:rFonts w:cstheme="minorHAnsi"/>
      <w:sz w:val="18"/>
      <w:szCs w:val="18"/>
    </w:rPr>
  </w:style>
  <w:style w:type="paragraph" w:styleId="TOC6">
    <w:name w:val="toc 6"/>
    <w:basedOn w:val="Normal"/>
    <w:next w:val="Normal"/>
    <w:autoRedefine/>
    <w:uiPriority w:val="39"/>
    <w:unhideWhenUsed/>
    <w:rsid w:val="00EB2B55"/>
    <w:pPr>
      <w:spacing w:after="0"/>
      <w:ind w:left="1100"/>
    </w:pPr>
    <w:rPr>
      <w:rFonts w:cstheme="minorHAnsi"/>
      <w:sz w:val="18"/>
      <w:szCs w:val="18"/>
    </w:rPr>
  </w:style>
  <w:style w:type="paragraph" w:styleId="TOC7">
    <w:name w:val="toc 7"/>
    <w:basedOn w:val="Normal"/>
    <w:next w:val="Normal"/>
    <w:autoRedefine/>
    <w:uiPriority w:val="39"/>
    <w:unhideWhenUsed/>
    <w:rsid w:val="00EB2B55"/>
    <w:pPr>
      <w:spacing w:after="0"/>
      <w:ind w:left="1320"/>
    </w:pPr>
    <w:rPr>
      <w:rFonts w:cstheme="minorHAnsi"/>
      <w:sz w:val="18"/>
      <w:szCs w:val="18"/>
    </w:rPr>
  </w:style>
  <w:style w:type="paragraph" w:styleId="TOC8">
    <w:name w:val="toc 8"/>
    <w:basedOn w:val="Normal"/>
    <w:next w:val="Normal"/>
    <w:autoRedefine/>
    <w:uiPriority w:val="39"/>
    <w:unhideWhenUsed/>
    <w:rsid w:val="00EB2B55"/>
    <w:pPr>
      <w:spacing w:after="0"/>
      <w:ind w:left="1540"/>
    </w:pPr>
    <w:rPr>
      <w:rFonts w:cstheme="minorHAnsi"/>
      <w:sz w:val="18"/>
      <w:szCs w:val="18"/>
    </w:rPr>
  </w:style>
  <w:style w:type="paragraph" w:styleId="TOC9">
    <w:name w:val="toc 9"/>
    <w:basedOn w:val="Normal"/>
    <w:next w:val="Normal"/>
    <w:autoRedefine/>
    <w:uiPriority w:val="39"/>
    <w:unhideWhenUsed/>
    <w:rsid w:val="00EB2B55"/>
    <w:pPr>
      <w:spacing w:after="0"/>
      <w:ind w:left="1760"/>
    </w:pPr>
    <w:rPr>
      <w:rFonts w:cstheme="minorHAnsi"/>
      <w:sz w:val="18"/>
      <w:szCs w:val="18"/>
    </w:rPr>
  </w:style>
  <w:style w:type="numbering" w:customStyle="1" w:styleId="NoList1">
    <w:name w:val="No List1"/>
    <w:next w:val="NoList"/>
    <w:uiPriority w:val="99"/>
    <w:semiHidden/>
    <w:unhideWhenUsed/>
    <w:rsid w:val="00EB2B55"/>
  </w:style>
  <w:style w:type="paragraph" w:styleId="Title">
    <w:name w:val="Title"/>
    <w:basedOn w:val="Normal"/>
    <w:next w:val="Normal"/>
    <w:link w:val="TitleChar"/>
    <w:uiPriority w:val="1"/>
    <w:qFormat/>
    <w:rsid w:val="00EB2B55"/>
    <w:pPr>
      <w:keepNext/>
      <w:keepLines/>
      <w:spacing w:before="480" w:after="120" w:line="240" w:lineRule="auto"/>
    </w:pPr>
    <w:rPr>
      <w:rFonts w:ascii="Times New Roman" w:eastAsia="Times New Roman" w:hAnsi="Times New Roman" w:cs="Times New Roman"/>
      <w:b/>
      <w:sz w:val="72"/>
      <w:szCs w:val="72"/>
      <w:lang w:eastAsia="en-GB"/>
    </w:rPr>
  </w:style>
  <w:style w:type="character" w:customStyle="1" w:styleId="TitleChar">
    <w:name w:val="Title Char"/>
    <w:basedOn w:val="DefaultParagraphFont"/>
    <w:link w:val="Title"/>
    <w:uiPriority w:val="10"/>
    <w:rsid w:val="00EB2B55"/>
    <w:rPr>
      <w:rFonts w:ascii="Times New Roman" w:eastAsia="Times New Roman" w:hAnsi="Times New Roman" w:cs="Times New Roman"/>
      <w:b/>
      <w:sz w:val="72"/>
      <w:szCs w:val="72"/>
      <w:lang w:eastAsia="en-GB"/>
    </w:rPr>
  </w:style>
  <w:style w:type="paragraph" w:styleId="Subtitle">
    <w:name w:val="Subtitle"/>
    <w:basedOn w:val="Normal"/>
    <w:next w:val="Normal"/>
    <w:link w:val="SubtitleChar"/>
    <w:uiPriority w:val="11"/>
    <w:qFormat/>
    <w:rsid w:val="00EB2B55"/>
    <w:pPr>
      <w:keepNext/>
      <w:keepLines/>
      <w:spacing w:before="360" w:after="80" w:line="240" w:lineRule="auto"/>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EB2B55"/>
    <w:rPr>
      <w:rFonts w:ascii="Georgia" w:eastAsia="Georgia" w:hAnsi="Georgia" w:cs="Georgia"/>
      <w:i/>
      <w:color w:val="666666"/>
      <w:sz w:val="48"/>
      <w:szCs w:val="48"/>
      <w:lang w:eastAsia="en-GB"/>
    </w:rPr>
  </w:style>
  <w:style w:type="character" w:customStyle="1" w:styleId="UnresolvedMention1">
    <w:name w:val="Unresolved Mention1"/>
    <w:basedOn w:val="DefaultParagraphFont"/>
    <w:uiPriority w:val="99"/>
    <w:semiHidden/>
    <w:unhideWhenUsed/>
    <w:rsid w:val="00EB2B55"/>
    <w:rPr>
      <w:color w:val="605E5C"/>
      <w:shd w:val="clear" w:color="auto" w:fill="E1DFDD"/>
    </w:rPr>
  </w:style>
  <w:style w:type="table" w:customStyle="1" w:styleId="TableGrid1">
    <w:name w:val="Table Grid1"/>
    <w:basedOn w:val="TableNormal"/>
    <w:next w:val="TableGrid"/>
    <w:uiPriority w:val="39"/>
    <w:rsid w:val="00EB2B55"/>
    <w:pPr>
      <w:spacing w:after="0" w:line="240" w:lineRule="auto"/>
    </w:pPr>
    <w:rPr>
      <w:rFonts w:ascii="Calibri" w:eastAsia="Calibri" w:hAnsi="Calibri" w:cs="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2B5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EB2B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EB2B55"/>
  </w:style>
  <w:style w:type="paragraph" w:styleId="EndnoteText">
    <w:name w:val="endnote text"/>
    <w:basedOn w:val="Normal"/>
    <w:link w:val="EndnoteTextChar"/>
    <w:uiPriority w:val="99"/>
    <w:semiHidden/>
    <w:unhideWhenUsed/>
    <w:rsid w:val="00EB2B5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2B55"/>
    <w:rPr>
      <w:sz w:val="20"/>
      <w:szCs w:val="20"/>
    </w:rPr>
  </w:style>
  <w:style w:type="character" w:styleId="EndnoteReference">
    <w:name w:val="endnote reference"/>
    <w:basedOn w:val="DefaultParagraphFont"/>
    <w:uiPriority w:val="99"/>
    <w:semiHidden/>
    <w:unhideWhenUsed/>
    <w:rsid w:val="00EB2B55"/>
    <w:rPr>
      <w:vertAlign w:val="superscript"/>
    </w:rPr>
  </w:style>
  <w:style w:type="paragraph" w:customStyle="1" w:styleId="m-4327561480734396552msolistparagraph">
    <w:name w:val="m_-4327561480734396552msolistparagraph"/>
    <w:basedOn w:val="Normal"/>
    <w:rsid w:val="00960BA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3B191A"/>
    <w:pPr>
      <w:autoSpaceDE w:val="0"/>
      <w:autoSpaceDN w:val="0"/>
      <w:adjustRightInd w:val="0"/>
      <w:spacing w:after="0" w:line="240" w:lineRule="auto"/>
    </w:pPr>
    <w:rPr>
      <w:rFonts w:ascii="APBDC L+ Gulliver" w:hAnsi="APBDC L+ Gulliver" w:cs="APBDC L+ Gulliver"/>
      <w:color w:val="000000"/>
      <w:sz w:val="24"/>
      <w:szCs w:val="24"/>
    </w:rPr>
  </w:style>
  <w:style w:type="character" w:customStyle="1" w:styleId="hgkelc">
    <w:name w:val="hgkelc"/>
    <w:basedOn w:val="DefaultParagraphFont"/>
    <w:rsid w:val="00E91484"/>
  </w:style>
  <w:style w:type="character" w:customStyle="1" w:styleId="UnresolvedMention2">
    <w:name w:val="Unresolved Mention2"/>
    <w:basedOn w:val="DefaultParagraphFont"/>
    <w:uiPriority w:val="99"/>
    <w:semiHidden/>
    <w:unhideWhenUsed/>
    <w:rsid w:val="00E91484"/>
    <w:rPr>
      <w:color w:val="605E5C"/>
      <w:shd w:val="clear" w:color="auto" w:fill="E1DFDD"/>
    </w:rPr>
  </w:style>
  <w:style w:type="character" w:customStyle="1" w:styleId="author">
    <w:name w:val="author"/>
    <w:basedOn w:val="DefaultParagraphFont"/>
    <w:rsid w:val="00E91484"/>
  </w:style>
  <w:style w:type="character" w:customStyle="1" w:styleId="articletitle">
    <w:name w:val="articletitle"/>
    <w:basedOn w:val="DefaultParagraphFont"/>
    <w:rsid w:val="00E91484"/>
  </w:style>
  <w:style w:type="character" w:customStyle="1" w:styleId="pubyear">
    <w:name w:val="pubyear"/>
    <w:basedOn w:val="DefaultParagraphFont"/>
    <w:rsid w:val="00E91484"/>
  </w:style>
  <w:style w:type="character" w:customStyle="1" w:styleId="vol">
    <w:name w:val="vol"/>
    <w:basedOn w:val="DefaultParagraphFont"/>
    <w:rsid w:val="00E91484"/>
  </w:style>
  <w:style w:type="character" w:customStyle="1" w:styleId="citedissue">
    <w:name w:val="citedissue"/>
    <w:basedOn w:val="DefaultParagraphFont"/>
    <w:rsid w:val="00E91484"/>
  </w:style>
  <w:style w:type="character" w:customStyle="1" w:styleId="pagefirst">
    <w:name w:val="pagefirst"/>
    <w:basedOn w:val="DefaultParagraphFont"/>
    <w:rsid w:val="00E91484"/>
  </w:style>
  <w:style w:type="character" w:customStyle="1" w:styleId="pagelast">
    <w:name w:val="pagelast"/>
    <w:basedOn w:val="DefaultParagraphFont"/>
    <w:rsid w:val="00E91484"/>
  </w:style>
  <w:style w:type="paragraph" w:styleId="BodyText">
    <w:name w:val="Body Text"/>
    <w:basedOn w:val="Normal"/>
    <w:link w:val="BodyTextChar"/>
    <w:uiPriority w:val="1"/>
    <w:qFormat/>
    <w:rsid w:val="00094656"/>
    <w:pPr>
      <w:widowControl w:val="0"/>
      <w:autoSpaceDE w:val="0"/>
      <w:autoSpaceDN w:val="0"/>
      <w:spacing w:before="1" w:after="0" w:line="240" w:lineRule="auto"/>
    </w:pPr>
    <w:rPr>
      <w:rFonts w:ascii="Calibri" w:eastAsia="Calibri" w:hAnsi="Calibri" w:cs="Calibri"/>
      <w:b/>
      <w:bCs/>
      <w:lang w:eastAsia="en-US"/>
    </w:rPr>
  </w:style>
  <w:style w:type="character" w:customStyle="1" w:styleId="BodyTextChar">
    <w:name w:val="Body Text Char"/>
    <w:basedOn w:val="DefaultParagraphFont"/>
    <w:link w:val="BodyText"/>
    <w:uiPriority w:val="1"/>
    <w:rsid w:val="00094656"/>
    <w:rPr>
      <w:rFonts w:ascii="Calibri" w:eastAsia="Calibri" w:hAnsi="Calibri" w:cs="Calibri"/>
      <w:b/>
      <w:bCs/>
      <w:lang w:eastAsia="en-US"/>
    </w:rPr>
  </w:style>
  <w:style w:type="paragraph" w:customStyle="1" w:styleId="TableParagraph">
    <w:name w:val="Table Paragraph"/>
    <w:basedOn w:val="Normal"/>
    <w:uiPriority w:val="1"/>
    <w:qFormat/>
    <w:rsid w:val="00094656"/>
    <w:pPr>
      <w:widowControl w:val="0"/>
      <w:autoSpaceDE w:val="0"/>
      <w:autoSpaceDN w:val="0"/>
      <w:spacing w:before="1" w:after="0" w:line="240" w:lineRule="auto"/>
      <w:ind w:left="109"/>
    </w:pPr>
    <w:rPr>
      <w:rFonts w:ascii="Calibri" w:eastAsia="Calibri" w:hAnsi="Calibri" w:cs="Calibri"/>
      <w:lang w:eastAsia="en-US"/>
    </w:rPr>
  </w:style>
  <w:style w:type="character" w:customStyle="1" w:styleId="UnresolvedMention3">
    <w:name w:val="Unresolved Mention3"/>
    <w:basedOn w:val="DefaultParagraphFont"/>
    <w:uiPriority w:val="99"/>
    <w:semiHidden/>
    <w:unhideWhenUsed/>
    <w:rsid w:val="00094656"/>
    <w:rPr>
      <w:color w:val="605E5C"/>
      <w:shd w:val="clear" w:color="auto" w:fill="E1DFDD"/>
    </w:rPr>
  </w:style>
  <w:style w:type="character" w:styleId="UnresolvedMention">
    <w:name w:val="Unresolved Mention"/>
    <w:basedOn w:val="DefaultParagraphFont"/>
    <w:uiPriority w:val="99"/>
    <w:semiHidden/>
    <w:unhideWhenUsed/>
    <w:rsid w:val="00866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9376">
      <w:bodyDiv w:val="1"/>
      <w:marLeft w:val="0"/>
      <w:marRight w:val="0"/>
      <w:marTop w:val="0"/>
      <w:marBottom w:val="0"/>
      <w:divBdr>
        <w:top w:val="none" w:sz="0" w:space="0" w:color="auto"/>
        <w:left w:val="none" w:sz="0" w:space="0" w:color="auto"/>
        <w:bottom w:val="none" w:sz="0" w:space="0" w:color="auto"/>
        <w:right w:val="none" w:sz="0" w:space="0" w:color="auto"/>
      </w:divBdr>
      <w:divsChild>
        <w:div w:id="129985066">
          <w:marLeft w:val="0"/>
          <w:marRight w:val="0"/>
          <w:marTop w:val="0"/>
          <w:marBottom w:val="0"/>
          <w:divBdr>
            <w:top w:val="none" w:sz="0" w:space="0" w:color="auto"/>
            <w:left w:val="none" w:sz="0" w:space="0" w:color="auto"/>
            <w:bottom w:val="none" w:sz="0" w:space="0" w:color="auto"/>
            <w:right w:val="none" w:sz="0" w:space="0" w:color="auto"/>
          </w:divBdr>
          <w:divsChild>
            <w:div w:id="667710122">
              <w:marLeft w:val="0"/>
              <w:marRight w:val="0"/>
              <w:marTop w:val="0"/>
              <w:marBottom w:val="0"/>
              <w:divBdr>
                <w:top w:val="none" w:sz="0" w:space="0" w:color="auto"/>
                <w:left w:val="none" w:sz="0" w:space="0" w:color="auto"/>
                <w:bottom w:val="none" w:sz="0" w:space="0" w:color="auto"/>
                <w:right w:val="none" w:sz="0" w:space="0" w:color="auto"/>
              </w:divBdr>
              <w:divsChild>
                <w:div w:id="134266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41876">
      <w:bodyDiv w:val="1"/>
      <w:marLeft w:val="0"/>
      <w:marRight w:val="0"/>
      <w:marTop w:val="0"/>
      <w:marBottom w:val="0"/>
      <w:divBdr>
        <w:top w:val="none" w:sz="0" w:space="0" w:color="auto"/>
        <w:left w:val="none" w:sz="0" w:space="0" w:color="auto"/>
        <w:bottom w:val="none" w:sz="0" w:space="0" w:color="auto"/>
        <w:right w:val="none" w:sz="0" w:space="0" w:color="auto"/>
      </w:divBdr>
      <w:divsChild>
        <w:div w:id="843937680">
          <w:marLeft w:val="0"/>
          <w:marRight w:val="0"/>
          <w:marTop w:val="0"/>
          <w:marBottom w:val="0"/>
          <w:divBdr>
            <w:top w:val="none" w:sz="0" w:space="0" w:color="auto"/>
            <w:left w:val="none" w:sz="0" w:space="0" w:color="auto"/>
            <w:bottom w:val="none" w:sz="0" w:space="0" w:color="auto"/>
            <w:right w:val="none" w:sz="0" w:space="0" w:color="auto"/>
          </w:divBdr>
          <w:divsChild>
            <w:div w:id="1105467238">
              <w:marLeft w:val="0"/>
              <w:marRight w:val="0"/>
              <w:marTop w:val="0"/>
              <w:marBottom w:val="0"/>
              <w:divBdr>
                <w:top w:val="none" w:sz="0" w:space="0" w:color="auto"/>
                <w:left w:val="none" w:sz="0" w:space="0" w:color="auto"/>
                <w:bottom w:val="none" w:sz="0" w:space="0" w:color="auto"/>
                <w:right w:val="none" w:sz="0" w:space="0" w:color="auto"/>
              </w:divBdr>
              <w:divsChild>
                <w:div w:id="2135367500">
                  <w:marLeft w:val="0"/>
                  <w:marRight w:val="0"/>
                  <w:marTop w:val="0"/>
                  <w:marBottom w:val="0"/>
                  <w:divBdr>
                    <w:top w:val="none" w:sz="0" w:space="0" w:color="auto"/>
                    <w:left w:val="none" w:sz="0" w:space="0" w:color="auto"/>
                    <w:bottom w:val="none" w:sz="0" w:space="0" w:color="auto"/>
                    <w:right w:val="none" w:sz="0" w:space="0" w:color="auto"/>
                  </w:divBdr>
                  <w:divsChild>
                    <w:div w:id="1581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2201">
      <w:bodyDiv w:val="1"/>
      <w:marLeft w:val="0"/>
      <w:marRight w:val="0"/>
      <w:marTop w:val="0"/>
      <w:marBottom w:val="0"/>
      <w:divBdr>
        <w:top w:val="none" w:sz="0" w:space="0" w:color="auto"/>
        <w:left w:val="none" w:sz="0" w:space="0" w:color="auto"/>
        <w:bottom w:val="none" w:sz="0" w:space="0" w:color="auto"/>
        <w:right w:val="none" w:sz="0" w:space="0" w:color="auto"/>
      </w:divBdr>
      <w:divsChild>
        <w:div w:id="1261450103">
          <w:marLeft w:val="0"/>
          <w:marRight w:val="0"/>
          <w:marTop w:val="0"/>
          <w:marBottom w:val="0"/>
          <w:divBdr>
            <w:top w:val="none" w:sz="0" w:space="0" w:color="auto"/>
            <w:left w:val="none" w:sz="0" w:space="0" w:color="auto"/>
            <w:bottom w:val="none" w:sz="0" w:space="0" w:color="auto"/>
            <w:right w:val="none" w:sz="0" w:space="0" w:color="auto"/>
          </w:divBdr>
          <w:divsChild>
            <w:div w:id="1628587402">
              <w:marLeft w:val="0"/>
              <w:marRight w:val="0"/>
              <w:marTop w:val="0"/>
              <w:marBottom w:val="0"/>
              <w:divBdr>
                <w:top w:val="none" w:sz="0" w:space="0" w:color="auto"/>
                <w:left w:val="none" w:sz="0" w:space="0" w:color="auto"/>
                <w:bottom w:val="none" w:sz="0" w:space="0" w:color="auto"/>
                <w:right w:val="none" w:sz="0" w:space="0" w:color="auto"/>
              </w:divBdr>
              <w:divsChild>
                <w:div w:id="1790471351">
                  <w:marLeft w:val="0"/>
                  <w:marRight w:val="0"/>
                  <w:marTop w:val="0"/>
                  <w:marBottom w:val="0"/>
                  <w:divBdr>
                    <w:top w:val="none" w:sz="0" w:space="0" w:color="auto"/>
                    <w:left w:val="none" w:sz="0" w:space="0" w:color="auto"/>
                    <w:bottom w:val="none" w:sz="0" w:space="0" w:color="auto"/>
                    <w:right w:val="none" w:sz="0" w:space="0" w:color="auto"/>
                  </w:divBdr>
                  <w:divsChild>
                    <w:div w:id="4424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7212">
      <w:bodyDiv w:val="1"/>
      <w:marLeft w:val="0"/>
      <w:marRight w:val="0"/>
      <w:marTop w:val="0"/>
      <w:marBottom w:val="0"/>
      <w:divBdr>
        <w:top w:val="none" w:sz="0" w:space="0" w:color="auto"/>
        <w:left w:val="none" w:sz="0" w:space="0" w:color="auto"/>
        <w:bottom w:val="none" w:sz="0" w:space="0" w:color="auto"/>
        <w:right w:val="none" w:sz="0" w:space="0" w:color="auto"/>
      </w:divBdr>
      <w:divsChild>
        <w:div w:id="614485071">
          <w:marLeft w:val="0"/>
          <w:marRight w:val="0"/>
          <w:marTop w:val="0"/>
          <w:marBottom w:val="0"/>
          <w:divBdr>
            <w:top w:val="none" w:sz="0" w:space="0" w:color="auto"/>
            <w:left w:val="none" w:sz="0" w:space="0" w:color="auto"/>
            <w:bottom w:val="none" w:sz="0" w:space="0" w:color="auto"/>
            <w:right w:val="none" w:sz="0" w:space="0" w:color="auto"/>
          </w:divBdr>
          <w:divsChild>
            <w:div w:id="254751238">
              <w:marLeft w:val="0"/>
              <w:marRight w:val="0"/>
              <w:marTop w:val="0"/>
              <w:marBottom w:val="0"/>
              <w:divBdr>
                <w:top w:val="none" w:sz="0" w:space="0" w:color="auto"/>
                <w:left w:val="none" w:sz="0" w:space="0" w:color="auto"/>
                <w:bottom w:val="none" w:sz="0" w:space="0" w:color="auto"/>
                <w:right w:val="none" w:sz="0" w:space="0" w:color="auto"/>
              </w:divBdr>
              <w:divsChild>
                <w:div w:id="4225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0780">
      <w:bodyDiv w:val="1"/>
      <w:marLeft w:val="0"/>
      <w:marRight w:val="0"/>
      <w:marTop w:val="0"/>
      <w:marBottom w:val="0"/>
      <w:divBdr>
        <w:top w:val="none" w:sz="0" w:space="0" w:color="auto"/>
        <w:left w:val="none" w:sz="0" w:space="0" w:color="auto"/>
        <w:bottom w:val="none" w:sz="0" w:space="0" w:color="auto"/>
        <w:right w:val="none" w:sz="0" w:space="0" w:color="auto"/>
      </w:divBdr>
      <w:divsChild>
        <w:div w:id="593243286">
          <w:marLeft w:val="0"/>
          <w:marRight w:val="0"/>
          <w:marTop w:val="0"/>
          <w:marBottom w:val="0"/>
          <w:divBdr>
            <w:top w:val="none" w:sz="0" w:space="0" w:color="auto"/>
            <w:left w:val="none" w:sz="0" w:space="0" w:color="auto"/>
            <w:bottom w:val="none" w:sz="0" w:space="0" w:color="auto"/>
            <w:right w:val="none" w:sz="0" w:space="0" w:color="auto"/>
          </w:divBdr>
          <w:divsChild>
            <w:div w:id="672295587">
              <w:marLeft w:val="0"/>
              <w:marRight w:val="0"/>
              <w:marTop w:val="0"/>
              <w:marBottom w:val="0"/>
              <w:divBdr>
                <w:top w:val="none" w:sz="0" w:space="0" w:color="auto"/>
                <w:left w:val="none" w:sz="0" w:space="0" w:color="auto"/>
                <w:bottom w:val="none" w:sz="0" w:space="0" w:color="auto"/>
                <w:right w:val="none" w:sz="0" w:space="0" w:color="auto"/>
              </w:divBdr>
              <w:divsChild>
                <w:div w:id="1022052411">
                  <w:marLeft w:val="0"/>
                  <w:marRight w:val="0"/>
                  <w:marTop w:val="0"/>
                  <w:marBottom w:val="0"/>
                  <w:divBdr>
                    <w:top w:val="none" w:sz="0" w:space="0" w:color="auto"/>
                    <w:left w:val="none" w:sz="0" w:space="0" w:color="auto"/>
                    <w:bottom w:val="none" w:sz="0" w:space="0" w:color="auto"/>
                    <w:right w:val="none" w:sz="0" w:space="0" w:color="auto"/>
                  </w:divBdr>
                  <w:divsChild>
                    <w:div w:id="8953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31589">
      <w:bodyDiv w:val="1"/>
      <w:marLeft w:val="0"/>
      <w:marRight w:val="0"/>
      <w:marTop w:val="0"/>
      <w:marBottom w:val="0"/>
      <w:divBdr>
        <w:top w:val="none" w:sz="0" w:space="0" w:color="auto"/>
        <w:left w:val="none" w:sz="0" w:space="0" w:color="auto"/>
        <w:bottom w:val="none" w:sz="0" w:space="0" w:color="auto"/>
        <w:right w:val="none" w:sz="0" w:space="0" w:color="auto"/>
      </w:divBdr>
      <w:divsChild>
        <w:div w:id="31851854">
          <w:marLeft w:val="0"/>
          <w:marRight w:val="0"/>
          <w:marTop w:val="0"/>
          <w:marBottom w:val="0"/>
          <w:divBdr>
            <w:top w:val="none" w:sz="0" w:space="0" w:color="auto"/>
            <w:left w:val="none" w:sz="0" w:space="0" w:color="auto"/>
            <w:bottom w:val="none" w:sz="0" w:space="0" w:color="auto"/>
            <w:right w:val="none" w:sz="0" w:space="0" w:color="auto"/>
          </w:divBdr>
          <w:divsChild>
            <w:div w:id="882518719">
              <w:marLeft w:val="0"/>
              <w:marRight w:val="0"/>
              <w:marTop w:val="0"/>
              <w:marBottom w:val="0"/>
              <w:divBdr>
                <w:top w:val="none" w:sz="0" w:space="0" w:color="auto"/>
                <w:left w:val="none" w:sz="0" w:space="0" w:color="auto"/>
                <w:bottom w:val="none" w:sz="0" w:space="0" w:color="auto"/>
                <w:right w:val="none" w:sz="0" w:space="0" w:color="auto"/>
              </w:divBdr>
              <w:divsChild>
                <w:div w:id="16601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487587">
      <w:bodyDiv w:val="1"/>
      <w:marLeft w:val="0"/>
      <w:marRight w:val="0"/>
      <w:marTop w:val="0"/>
      <w:marBottom w:val="0"/>
      <w:divBdr>
        <w:top w:val="none" w:sz="0" w:space="0" w:color="auto"/>
        <w:left w:val="none" w:sz="0" w:space="0" w:color="auto"/>
        <w:bottom w:val="none" w:sz="0" w:space="0" w:color="auto"/>
        <w:right w:val="none" w:sz="0" w:space="0" w:color="auto"/>
      </w:divBdr>
      <w:divsChild>
        <w:div w:id="1944989880">
          <w:marLeft w:val="0"/>
          <w:marRight w:val="0"/>
          <w:marTop w:val="0"/>
          <w:marBottom w:val="0"/>
          <w:divBdr>
            <w:top w:val="none" w:sz="0" w:space="0" w:color="auto"/>
            <w:left w:val="none" w:sz="0" w:space="0" w:color="auto"/>
            <w:bottom w:val="none" w:sz="0" w:space="0" w:color="auto"/>
            <w:right w:val="none" w:sz="0" w:space="0" w:color="auto"/>
          </w:divBdr>
          <w:divsChild>
            <w:div w:id="175851868">
              <w:marLeft w:val="0"/>
              <w:marRight w:val="0"/>
              <w:marTop w:val="0"/>
              <w:marBottom w:val="0"/>
              <w:divBdr>
                <w:top w:val="none" w:sz="0" w:space="0" w:color="auto"/>
                <w:left w:val="none" w:sz="0" w:space="0" w:color="auto"/>
                <w:bottom w:val="none" w:sz="0" w:space="0" w:color="auto"/>
                <w:right w:val="none" w:sz="0" w:space="0" w:color="auto"/>
              </w:divBdr>
              <w:divsChild>
                <w:div w:id="452291632">
                  <w:marLeft w:val="0"/>
                  <w:marRight w:val="0"/>
                  <w:marTop w:val="0"/>
                  <w:marBottom w:val="0"/>
                  <w:divBdr>
                    <w:top w:val="none" w:sz="0" w:space="0" w:color="auto"/>
                    <w:left w:val="none" w:sz="0" w:space="0" w:color="auto"/>
                    <w:bottom w:val="none" w:sz="0" w:space="0" w:color="auto"/>
                    <w:right w:val="none" w:sz="0" w:space="0" w:color="auto"/>
                  </w:divBdr>
                  <w:divsChild>
                    <w:div w:id="204027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66672">
      <w:bodyDiv w:val="1"/>
      <w:marLeft w:val="0"/>
      <w:marRight w:val="0"/>
      <w:marTop w:val="0"/>
      <w:marBottom w:val="0"/>
      <w:divBdr>
        <w:top w:val="none" w:sz="0" w:space="0" w:color="auto"/>
        <w:left w:val="none" w:sz="0" w:space="0" w:color="auto"/>
        <w:bottom w:val="none" w:sz="0" w:space="0" w:color="auto"/>
        <w:right w:val="none" w:sz="0" w:space="0" w:color="auto"/>
      </w:divBdr>
      <w:divsChild>
        <w:div w:id="1009865367">
          <w:marLeft w:val="0"/>
          <w:marRight w:val="0"/>
          <w:marTop w:val="0"/>
          <w:marBottom w:val="0"/>
          <w:divBdr>
            <w:top w:val="none" w:sz="0" w:space="0" w:color="auto"/>
            <w:left w:val="none" w:sz="0" w:space="0" w:color="auto"/>
            <w:bottom w:val="none" w:sz="0" w:space="0" w:color="auto"/>
            <w:right w:val="none" w:sz="0" w:space="0" w:color="auto"/>
          </w:divBdr>
          <w:divsChild>
            <w:div w:id="831793610">
              <w:marLeft w:val="0"/>
              <w:marRight w:val="0"/>
              <w:marTop w:val="0"/>
              <w:marBottom w:val="0"/>
              <w:divBdr>
                <w:top w:val="none" w:sz="0" w:space="0" w:color="auto"/>
                <w:left w:val="none" w:sz="0" w:space="0" w:color="auto"/>
                <w:bottom w:val="none" w:sz="0" w:space="0" w:color="auto"/>
                <w:right w:val="none" w:sz="0" w:space="0" w:color="auto"/>
              </w:divBdr>
              <w:divsChild>
                <w:div w:id="11859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080122">
      <w:bodyDiv w:val="1"/>
      <w:marLeft w:val="0"/>
      <w:marRight w:val="0"/>
      <w:marTop w:val="0"/>
      <w:marBottom w:val="0"/>
      <w:divBdr>
        <w:top w:val="none" w:sz="0" w:space="0" w:color="auto"/>
        <w:left w:val="none" w:sz="0" w:space="0" w:color="auto"/>
        <w:bottom w:val="none" w:sz="0" w:space="0" w:color="auto"/>
        <w:right w:val="none" w:sz="0" w:space="0" w:color="auto"/>
      </w:divBdr>
      <w:divsChild>
        <w:div w:id="35589232">
          <w:marLeft w:val="0"/>
          <w:marRight w:val="0"/>
          <w:marTop w:val="0"/>
          <w:marBottom w:val="0"/>
          <w:divBdr>
            <w:top w:val="none" w:sz="0" w:space="0" w:color="auto"/>
            <w:left w:val="none" w:sz="0" w:space="0" w:color="auto"/>
            <w:bottom w:val="none" w:sz="0" w:space="0" w:color="auto"/>
            <w:right w:val="none" w:sz="0" w:space="0" w:color="auto"/>
          </w:divBdr>
          <w:divsChild>
            <w:div w:id="344744076">
              <w:marLeft w:val="0"/>
              <w:marRight w:val="0"/>
              <w:marTop w:val="0"/>
              <w:marBottom w:val="0"/>
              <w:divBdr>
                <w:top w:val="none" w:sz="0" w:space="0" w:color="auto"/>
                <w:left w:val="none" w:sz="0" w:space="0" w:color="auto"/>
                <w:bottom w:val="none" w:sz="0" w:space="0" w:color="auto"/>
                <w:right w:val="none" w:sz="0" w:space="0" w:color="auto"/>
              </w:divBdr>
              <w:divsChild>
                <w:div w:id="177551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555830">
      <w:bodyDiv w:val="1"/>
      <w:marLeft w:val="0"/>
      <w:marRight w:val="0"/>
      <w:marTop w:val="0"/>
      <w:marBottom w:val="0"/>
      <w:divBdr>
        <w:top w:val="none" w:sz="0" w:space="0" w:color="auto"/>
        <w:left w:val="none" w:sz="0" w:space="0" w:color="auto"/>
        <w:bottom w:val="none" w:sz="0" w:space="0" w:color="auto"/>
        <w:right w:val="none" w:sz="0" w:space="0" w:color="auto"/>
      </w:divBdr>
      <w:divsChild>
        <w:div w:id="860243340">
          <w:marLeft w:val="0"/>
          <w:marRight w:val="0"/>
          <w:marTop w:val="0"/>
          <w:marBottom w:val="0"/>
          <w:divBdr>
            <w:top w:val="none" w:sz="0" w:space="0" w:color="auto"/>
            <w:left w:val="none" w:sz="0" w:space="0" w:color="auto"/>
            <w:bottom w:val="none" w:sz="0" w:space="0" w:color="auto"/>
            <w:right w:val="none" w:sz="0" w:space="0" w:color="auto"/>
          </w:divBdr>
          <w:divsChild>
            <w:div w:id="407845263">
              <w:marLeft w:val="0"/>
              <w:marRight w:val="0"/>
              <w:marTop w:val="0"/>
              <w:marBottom w:val="0"/>
              <w:divBdr>
                <w:top w:val="none" w:sz="0" w:space="0" w:color="auto"/>
                <w:left w:val="none" w:sz="0" w:space="0" w:color="auto"/>
                <w:bottom w:val="none" w:sz="0" w:space="0" w:color="auto"/>
                <w:right w:val="none" w:sz="0" w:space="0" w:color="auto"/>
              </w:divBdr>
              <w:divsChild>
                <w:div w:id="8299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19178">
      <w:bodyDiv w:val="1"/>
      <w:marLeft w:val="0"/>
      <w:marRight w:val="0"/>
      <w:marTop w:val="0"/>
      <w:marBottom w:val="0"/>
      <w:divBdr>
        <w:top w:val="none" w:sz="0" w:space="0" w:color="auto"/>
        <w:left w:val="none" w:sz="0" w:space="0" w:color="auto"/>
        <w:bottom w:val="none" w:sz="0" w:space="0" w:color="auto"/>
        <w:right w:val="none" w:sz="0" w:space="0" w:color="auto"/>
      </w:divBdr>
      <w:divsChild>
        <w:div w:id="1253273722">
          <w:marLeft w:val="0"/>
          <w:marRight w:val="0"/>
          <w:marTop w:val="0"/>
          <w:marBottom w:val="0"/>
          <w:divBdr>
            <w:top w:val="none" w:sz="0" w:space="0" w:color="auto"/>
            <w:left w:val="none" w:sz="0" w:space="0" w:color="auto"/>
            <w:bottom w:val="none" w:sz="0" w:space="0" w:color="auto"/>
            <w:right w:val="none" w:sz="0" w:space="0" w:color="auto"/>
          </w:divBdr>
          <w:divsChild>
            <w:div w:id="1759522818">
              <w:marLeft w:val="0"/>
              <w:marRight w:val="0"/>
              <w:marTop w:val="0"/>
              <w:marBottom w:val="0"/>
              <w:divBdr>
                <w:top w:val="none" w:sz="0" w:space="0" w:color="auto"/>
                <w:left w:val="none" w:sz="0" w:space="0" w:color="auto"/>
                <w:bottom w:val="none" w:sz="0" w:space="0" w:color="auto"/>
                <w:right w:val="none" w:sz="0" w:space="0" w:color="auto"/>
              </w:divBdr>
              <w:divsChild>
                <w:div w:id="75309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0337">
      <w:bodyDiv w:val="1"/>
      <w:marLeft w:val="0"/>
      <w:marRight w:val="0"/>
      <w:marTop w:val="0"/>
      <w:marBottom w:val="0"/>
      <w:divBdr>
        <w:top w:val="none" w:sz="0" w:space="0" w:color="auto"/>
        <w:left w:val="none" w:sz="0" w:space="0" w:color="auto"/>
        <w:bottom w:val="none" w:sz="0" w:space="0" w:color="auto"/>
        <w:right w:val="none" w:sz="0" w:space="0" w:color="auto"/>
      </w:divBdr>
      <w:divsChild>
        <w:div w:id="966079963">
          <w:marLeft w:val="0"/>
          <w:marRight w:val="0"/>
          <w:marTop w:val="0"/>
          <w:marBottom w:val="0"/>
          <w:divBdr>
            <w:top w:val="none" w:sz="0" w:space="0" w:color="auto"/>
            <w:left w:val="none" w:sz="0" w:space="0" w:color="auto"/>
            <w:bottom w:val="none" w:sz="0" w:space="0" w:color="auto"/>
            <w:right w:val="none" w:sz="0" w:space="0" w:color="auto"/>
          </w:divBdr>
          <w:divsChild>
            <w:div w:id="2131001301">
              <w:marLeft w:val="0"/>
              <w:marRight w:val="0"/>
              <w:marTop w:val="0"/>
              <w:marBottom w:val="0"/>
              <w:divBdr>
                <w:top w:val="none" w:sz="0" w:space="0" w:color="auto"/>
                <w:left w:val="none" w:sz="0" w:space="0" w:color="auto"/>
                <w:bottom w:val="none" w:sz="0" w:space="0" w:color="auto"/>
                <w:right w:val="none" w:sz="0" w:space="0" w:color="auto"/>
              </w:divBdr>
              <w:divsChild>
                <w:div w:id="192259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065265">
      <w:bodyDiv w:val="1"/>
      <w:marLeft w:val="0"/>
      <w:marRight w:val="0"/>
      <w:marTop w:val="0"/>
      <w:marBottom w:val="0"/>
      <w:divBdr>
        <w:top w:val="none" w:sz="0" w:space="0" w:color="auto"/>
        <w:left w:val="none" w:sz="0" w:space="0" w:color="auto"/>
        <w:bottom w:val="none" w:sz="0" w:space="0" w:color="auto"/>
        <w:right w:val="none" w:sz="0" w:space="0" w:color="auto"/>
      </w:divBdr>
      <w:divsChild>
        <w:div w:id="1762484589">
          <w:marLeft w:val="0"/>
          <w:marRight w:val="0"/>
          <w:marTop w:val="0"/>
          <w:marBottom w:val="0"/>
          <w:divBdr>
            <w:top w:val="none" w:sz="0" w:space="0" w:color="auto"/>
            <w:left w:val="none" w:sz="0" w:space="0" w:color="auto"/>
            <w:bottom w:val="none" w:sz="0" w:space="0" w:color="auto"/>
            <w:right w:val="none" w:sz="0" w:space="0" w:color="auto"/>
          </w:divBdr>
          <w:divsChild>
            <w:div w:id="471871631">
              <w:marLeft w:val="0"/>
              <w:marRight w:val="0"/>
              <w:marTop w:val="0"/>
              <w:marBottom w:val="0"/>
              <w:divBdr>
                <w:top w:val="none" w:sz="0" w:space="0" w:color="auto"/>
                <w:left w:val="none" w:sz="0" w:space="0" w:color="auto"/>
                <w:bottom w:val="none" w:sz="0" w:space="0" w:color="auto"/>
                <w:right w:val="none" w:sz="0" w:space="0" w:color="auto"/>
              </w:divBdr>
              <w:divsChild>
                <w:div w:id="1576479110">
                  <w:marLeft w:val="0"/>
                  <w:marRight w:val="0"/>
                  <w:marTop w:val="0"/>
                  <w:marBottom w:val="0"/>
                  <w:divBdr>
                    <w:top w:val="none" w:sz="0" w:space="0" w:color="auto"/>
                    <w:left w:val="none" w:sz="0" w:space="0" w:color="auto"/>
                    <w:bottom w:val="none" w:sz="0" w:space="0" w:color="auto"/>
                    <w:right w:val="none" w:sz="0" w:space="0" w:color="auto"/>
                  </w:divBdr>
                  <w:divsChild>
                    <w:div w:id="2069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82198">
      <w:bodyDiv w:val="1"/>
      <w:marLeft w:val="0"/>
      <w:marRight w:val="0"/>
      <w:marTop w:val="0"/>
      <w:marBottom w:val="0"/>
      <w:divBdr>
        <w:top w:val="none" w:sz="0" w:space="0" w:color="auto"/>
        <w:left w:val="none" w:sz="0" w:space="0" w:color="auto"/>
        <w:bottom w:val="none" w:sz="0" w:space="0" w:color="auto"/>
        <w:right w:val="none" w:sz="0" w:space="0" w:color="auto"/>
      </w:divBdr>
      <w:divsChild>
        <w:div w:id="609826321">
          <w:marLeft w:val="0"/>
          <w:marRight w:val="0"/>
          <w:marTop w:val="0"/>
          <w:marBottom w:val="0"/>
          <w:divBdr>
            <w:top w:val="none" w:sz="0" w:space="0" w:color="auto"/>
            <w:left w:val="none" w:sz="0" w:space="0" w:color="auto"/>
            <w:bottom w:val="none" w:sz="0" w:space="0" w:color="auto"/>
            <w:right w:val="none" w:sz="0" w:space="0" w:color="auto"/>
          </w:divBdr>
          <w:divsChild>
            <w:div w:id="1943493736">
              <w:marLeft w:val="0"/>
              <w:marRight w:val="0"/>
              <w:marTop w:val="0"/>
              <w:marBottom w:val="0"/>
              <w:divBdr>
                <w:top w:val="none" w:sz="0" w:space="0" w:color="auto"/>
                <w:left w:val="none" w:sz="0" w:space="0" w:color="auto"/>
                <w:bottom w:val="none" w:sz="0" w:space="0" w:color="auto"/>
                <w:right w:val="none" w:sz="0" w:space="0" w:color="auto"/>
              </w:divBdr>
              <w:divsChild>
                <w:div w:id="19200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5967">
      <w:bodyDiv w:val="1"/>
      <w:marLeft w:val="0"/>
      <w:marRight w:val="0"/>
      <w:marTop w:val="0"/>
      <w:marBottom w:val="0"/>
      <w:divBdr>
        <w:top w:val="none" w:sz="0" w:space="0" w:color="auto"/>
        <w:left w:val="none" w:sz="0" w:space="0" w:color="auto"/>
        <w:bottom w:val="none" w:sz="0" w:space="0" w:color="auto"/>
        <w:right w:val="none" w:sz="0" w:space="0" w:color="auto"/>
      </w:divBdr>
      <w:divsChild>
        <w:div w:id="2068067743">
          <w:marLeft w:val="0"/>
          <w:marRight w:val="0"/>
          <w:marTop w:val="0"/>
          <w:marBottom w:val="0"/>
          <w:divBdr>
            <w:top w:val="none" w:sz="0" w:space="0" w:color="auto"/>
            <w:left w:val="none" w:sz="0" w:space="0" w:color="auto"/>
            <w:bottom w:val="none" w:sz="0" w:space="0" w:color="auto"/>
            <w:right w:val="none" w:sz="0" w:space="0" w:color="auto"/>
          </w:divBdr>
          <w:divsChild>
            <w:div w:id="2011331749">
              <w:marLeft w:val="0"/>
              <w:marRight w:val="0"/>
              <w:marTop w:val="0"/>
              <w:marBottom w:val="0"/>
              <w:divBdr>
                <w:top w:val="none" w:sz="0" w:space="0" w:color="auto"/>
                <w:left w:val="none" w:sz="0" w:space="0" w:color="auto"/>
                <w:bottom w:val="none" w:sz="0" w:space="0" w:color="auto"/>
                <w:right w:val="none" w:sz="0" w:space="0" w:color="auto"/>
              </w:divBdr>
              <w:divsChild>
                <w:div w:id="893929997">
                  <w:marLeft w:val="0"/>
                  <w:marRight w:val="0"/>
                  <w:marTop w:val="0"/>
                  <w:marBottom w:val="0"/>
                  <w:divBdr>
                    <w:top w:val="none" w:sz="0" w:space="0" w:color="auto"/>
                    <w:left w:val="none" w:sz="0" w:space="0" w:color="auto"/>
                    <w:bottom w:val="none" w:sz="0" w:space="0" w:color="auto"/>
                    <w:right w:val="none" w:sz="0" w:space="0" w:color="auto"/>
                  </w:divBdr>
                  <w:divsChild>
                    <w:div w:id="4226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282212">
      <w:bodyDiv w:val="1"/>
      <w:marLeft w:val="0"/>
      <w:marRight w:val="0"/>
      <w:marTop w:val="0"/>
      <w:marBottom w:val="0"/>
      <w:divBdr>
        <w:top w:val="none" w:sz="0" w:space="0" w:color="auto"/>
        <w:left w:val="none" w:sz="0" w:space="0" w:color="auto"/>
        <w:bottom w:val="none" w:sz="0" w:space="0" w:color="auto"/>
        <w:right w:val="none" w:sz="0" w:space="0" w:color="auto"/>
      </w:divBdr>
      <w:divsChild>
        <w:div w:id="780535526">
          <w:marLeft w:val="0"/>
          <w:marRight w:val="0"/>
          <w:marTop w:val="0"/>
          <w:marBottom w:val="0"/>
          <w:divBdr>
            <w:top w:val="none" w:sz="0" w:space="0" w:color="auto"/>
            <w:left w:val="none" w:sz="0" w:space="0" w:color="auto"/>
            <w:bottom w:val="none" w:sz="0" w:space="0" w:color="auto"/>
            <w:right w:val="none" w:sz="0" w:space="0" w:color="auto"/>
          </w:divBdr>
          <w:divsChild>
            <w:div w:id="1690795572">
              <w:marLeft w:val="0"/>
              <w:marRight w:val="0"/>
              <w:marTop w:val="0"/>
              <w:marBottom w:val="0"/>
              <w:divBdr>
                <w:top w:val="none" w:sz="0" w:space="0" w:color="auto"/>
                <w:left w:val="none" w:sz="0" w:space="0" w:color="auto"/>
                <w:bottom w:val="none" w:sz="0" w:space="0" w:color="auto"/>
                <w:right w:val="none" w:sz="0" w:space="0" w:color="auto"/>
              </w:divBdr>
              <w:divsChild>
                <w:div w:id="1478910315">
                  <w:marLeft w:val="0"/>
                  <w:marRight w:val="0"/>
                  <w:marTop w:val="0"/>
                  <w:marBottom w:val="0"/>
                  <w:divBdr>
                    <w:top w:val="none" w:sz="0" w:space="0" w:color="auto"/>
                    <w:left w:val="none" w:sz="0" w:space="0" w:color="auto"/>
                    <w:bottom w:val="none" w:sz="0" w:space="0" w:color="auto"/>
                    <w:right w:val="none" w:sz="0" w:space="0" w:color="auto"/>
                  </w:divBdr>
                  <w:divsChild>
                    <w:div w:id="31904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715586">
      <w:bodyDiv w:val="1"/>
      <w:marLeft w:val="0"/>
      <w:marRight w:val="0"/>
      <w:marTop w:val="0"/>
      <w:marBottom w:val="0"/>
      <w:divBdr>
        <w:top w:val="none" w:sz="0" w:space="0" w:color="auto"/>
        <w:left w:val="none" w:sz="0" w:space="0" w:color="auto"/>
        <w:bottom w:val="none" w:sz="0" w:space="0" w:color="auto"/>
        <w:right w:val="none" w:sz="0" w:space="0" w:color="auto"/>
      </w:divBdr>
      <w:divsChild>
        <w:div w:id="47069557">
          <w:marLeft w:val="0"/>
          <w:marRight w:val="0"/>
          <w:marTop w:val="0"/>
          <w:marBottom w:val="0"/>
          <w:divBdr>
            <w:top w:val="none" w:sz="0" w:space="0" w:color="auto"/>
            <w:left w:val="none" w:sz="0" w:space="0" w:color="auto"/>
            <w:bottom w:val="none" w:sz="0" w:space="0" w:color="auto"/>
            <w:right w:val="none" w:sz="0" w:space="0" w:color="auto"/>
          </w:divBdr>
          <w:divsChild>
            <w:div w:id="870340921">
              <w:marLeft w:val="0"/>
              <w:marRight w:val="0"/>
              <w:marTop w:val="0"/>
              <w:marBottom w:val="0"/>
              <w:divBdr>
                <w:top w:val="none" w:sz="0" w:space="0" w:color="auto"/>
                <w:left w:val="none" w:sz="0" w:space="0" w:color="auto"/>
                <w:bottom w:val="none" w:sz="0" w:space="0" w:color="auto"/>
                <w:right w:val="none" w:sz="0" w:space="0" w:color="auto"/>
              </w:divBdr>
              <w:divsChild>
                <w:div w:id="4659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5516">
      <w:bodyDiv w:val="1"/>
      <w:marLeft w:val="0"/>
      <w:marRight w:val="0"/>
      <w:marTop w:val="0"/>
      <w:marBottom w:val="0"/>
      <w:divBdr>
        <w:top w:val="none" w:sz="0" w:space="0" w:color="auto"/>
        <w:left w:val="none" w:sz="0" w:space="0" w:color="auto"/>
        <w:bottom w:val="none" w:sz="0" w:space="0" w:color="auto"/>
        <w:right w:val="none" w:sz="0" w:space="0" w:color="auto"/>
      </w:divBdr>
      <w:divsChild>
        <w:div w:id="1720782991">
          <w:marLeft w:val="0"/>
          <w:marRight w:val="0"/>
          <w:marTop w:val="0"/>
          <w:marBottom w:val="0"/>
          <w:divBdr>
            <w:top w:val="none" w:sz="0" w:space="0" w:color="auto"/>
            <w:left w:val="none" w:sz="0" w:space="0" w:color="auto"/>
            <w:bottom w:val="none" w:sz="0" w:space="0" w:color="auto"/>
            <w:right w:val="none" w:sz="0" w:space="0" w:color="auto"/>
          </w:divBdr>
          <w:divsChild>
            <w:div w:id="1962951447">
              <w:marLeft w:val="0"/>
              <w:marRight w:val="0"/>
              <w:marTop w:val="0"/>
              <w:marBottom w:val="0"/>
              <w:divBdr>
                <w:top w:val="none" w:sz="0" w:space="0" w:color="auto"/>
                <w:left w:val="none" w:sz="0" w:space="0" w:color="auto"/>
                <w:bottom w:val="none" w:sz="0" w:space="0" w:color="auto"/>
                <w:right w:val="none" w:sz="0" w:space="0" w:color="auto"/>
              </w:divBdr>
              <w:divsChild>
                <w:div w:id="1260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440866">
      <w:bodyDiv w:val="1"/>
      <w:marLeft w:val="0"/>
      <w:marRight w:val="0"/>
      <w:marTop w:val="0"/>
      <w:marBottom w:val="0"/>
      <w:divBdr>
        <w:top w:val="none" w:sz="0" w:space="0" w:color="auto"/>
        <w:left w:val="none" w:sz="0" w:space="0" w:color="auto"/>
        <w:bottom w:val="none" w:sz="0" w:space="0" w:color="auto"/>
        <w:right w:val="none" w:sz="0" w:space="0" w:color="auto"/>
      </w:divBdr>
      <w:divsChild>
        <w:div w:id="930040679">
          <w:marLeft w:val="0"/>
          <w:marRight w:val="0"/>
          <w:marTop w:val="0"/>
          <w:marBottom w:val="0"/>
          <w:divBdr>
            <w:top w:val="none" w:sz="0" w:space="0" w:color="auto"/>
            <w:left w:val="none" w:sz="0" w:space="0" w:color="auto"/>
            <w:bottom w:val="none" w:sz="0" w:space="0" w:color="auto"/>
            <w:right w:val="none" w:sz="0" w:space="0" w:color="auto"/>
          </w:divBdr>
          <w:divsChild>
            <w:div w:id="1504275552">
              <w:marLeft w:val="0"/>
              <w:marRight w:val="0"/>
              <w:marTop w:val="0"/>
              <w:marBottom w:val="0"/>
              <w:divBdr>
                <w:top w:val="none" w:sz="0" w:space="0" w:color="auto"/>
                <w:left w:val="none" w:sz="0" w:space="0" w:color="auto"/>
                <w:bottom w:val="none" w:sz="0" w:space="0" w:color="auto"/>
                <w:right w:val="none" w:sz="0" w:space="0" w:color="auto"/>
              </w:divBdr>
              <w:divsChild>
                <w:div w:id="1589077362">
                  <w:marLeft w:val="0"/>
                  <w:marRight w:val="0"/>
                  <w:marTop w:val="0"/>
                  <w:marBottom w:val="0"/>
                  <w:divBdr>
                    <w:top w:val="none" w:sz="0" w:space="0" w:color="auto"/>
                    <w:left w:val="none" w:sz="0" w:space="0" w:color="auto"/>
                    <w:bottom w:val="none" w:sz="0" w:space="0" w:color="auto"/>
                    <w:right w:val="none" w:sz="0" w:space="0" w:color="auto"/>
                  </w:divBdr>
                  <w:divsChild>
                    <w:div w:id="13897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071593">
      <w:bodyDiv w:val="1"/>
      <w:marLeft w:val="0"/>
      <w:marRight w:val="0"/>
      <w:marTop w:val="0"/>
      <w:marBottom w:val="0"/>
      <w:divBdr>
        <w:top w:val="none" w:sz="0" w:space="0" w:color="auto"/>
        <w:left w:val="none" w:sz="0" w:space="0" w:color="auto"/>
        <w:bottom w:val="none" w:sz="0" w:space="0" w:color="auto"/>
        <w:right w:val="none" w:sz="0" w:space="0" w:color="auto"/>
      </w:divBdr>
      <w:divsChild>
        <w:div w:id="68040877">
          <w:marLeft w:val="0"/>
          <w:marRight w:val="0"/>
          <w:marTop w:val="0"/>
          <w:marBottom w:val="0"/>
          <w:divBdr>
            <w:top w:val="none" w:sz="0" w:space="0" w:color="auto"/>
            <w:left w:val="none" w:sz="0" w:space="0" w:color="auto"/>
            <w:bottom w:val="none" w:sz="0" w:space="0" w:color="auto"/>
            <w:right w:val="none" w:sz="0" w:space="0" w:color="auto"/>
          </w:divBdr>
          <w:divsChild>
            <w:div w:id="286670362">
              <w:marLeft w:val="0"/>
              <w:marRight w:val="0"/>
              <w:marTop w:val="0"/>
              <w:marBottom w:val="0"/>
              <w:divBdr>
                <w:top w:val="none" w:sz="0" w:space="0" w:color="auto"/>
                <w:left w:val="none" w:sz="0" w:space="0" w:color="auto"/>
                <w:bottom w:val="none" w:sz="0" w:space="0" w:color="auto"/>
                <w:right w:val="none" w:sz="0" w:space="0" w:color="auto"/>
              </w:divBdr>
              <w:divsChild>
                <w:div w:id="17355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50265">
      <w:bodyDiv w:val="1"/>
      <w:marLeft w:val="0"/>
      <w:marRight w:val="0"/>
      <w:marTop w:val="0"/>
      <w:marBottom w:val="0"/>
      <w:divBdr>
        <w:top w:val="none" w:sz="0" w:space="0" w:color="auto"/>
        <w:left w:val="none" w:sz="0" w:space="0" w:color="auto"/>
        <w:bottom w:val="none" w:sz="0" w:space="0" w:color="auto"/>
        <w:right w:val="none" w:sz="0" w:space="0" w:color="auto"/>
      </w:divBdr>
    </w:div>
    <w:div w:id="1571623323">
      <w:bodyDiv w:val="1"/>
      <w:marLeft w:val="0"/>
      <w:marRight w:val="0"/>
      <w:marTop w:val="0"/>
      <w:marBottom w:val="0"/>
      <w:divBdr>
        <w:top w:val="none" w:sz="0" w:space="0" w:color="auto"/>
        <w:left w:val="none" w:sz="0" w:space="0" w:color="auto"/>
        <w:bottom w:val="none" w:sz="0" w:space="0" w:color="auto"/>
        <w:right w:val="none" w:sz="0" w:space="0" w:color="auto"/>
      </w:divBdr>
    </w:div>
    <w:div w:id="1697846757">
      <w:bodyDiv w:val="1"/>
      <w:marLeft w:val="0"/>
      <w:marRight w:val="0"/>
      <w:marTop w:val="0"/>
      <w:marBottom w:val="0"/>
      <w:divBdr>
        <w:top w:val="none" w:sz="0" w:space="0" w:color="auto"/>
        <w:left w:val="none" w:sz="0" w:space="0" w:color="auto"/>
        <w:bottom w:val="none" w:sz="0" w:space="0" w:color="auto"/>
        <w:right w:val="none" w:sz="0" w:space="0" w:color="auto"/>
      </w:divBdr>
      <w:divsChild>
        <w:div w:id="1380588011">
          <w:marLeft w:val="0"/>
          <w:marRight w:val="0"/>
          <w:marTop w:val="0"/>
          <w:marBottom w:val="0"/>
          <w:divBdr>
            <w:top w:val="none" w:sz="0" w:space="0" w:color="auto"/>
            <w:left w:val="none" w:sz="0" w:space="0" w:color="auto"/>
            <w:bottom w:val="none" w:sz="0" w:space="0" w:color="auto"/>
            <w:right w:val="none" w:sz="0" w:space="0" w:color="auto"/>
          </w:divBdr>
          <w:divsChild>
            <w:div w:id="197621120">
              <w:marLeft w:val="0"/>
              <w:marRight w:val="0"/>
              <w:marTop w:val="0"/>
              <w:marBottom w:val="0"/>
              <w:divBdr>
                <w:top w:val="none" w:sz="0" w:space="0" w:color="auto"/>
                <w:left w:val="none" w:sz="0" w:space="0" w:color="auto"/>
                <w:bottom w:val="none" w:sz="0" w:space="0" w:color="auto"/>
                <w:right w:val="none" w:sz="0" w:space="0" w:color="auto"/>
              </w:divBdr>
              <w:divsChild>
                <w:div w:id="13680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8530">
      <w:bodyDiv w:val="1"/>
      <w:marLeft w:val="0"/>
      <w:marRight w:val="0"/>
      <w:marTop w:val="0"/>
      <w:marBottom w:val="0"/>
      <w:divBdr>
        <w:top w:val="none" w:sz="0" w:space="0" w:color="auto"/>
        <w:left w:val="none" w:sz="0" w:space="0" w:color="auto"/>
        <w:bottom w:val="none" w:sz="0" w:space="0" w:color="auto"/>
        <w:right w:val="none" w:sz="0" w:space="0" w:color="auto"/>
      </w:divBdr>
      <w:divsChild>
        <w:div w:id="1114400681">
          <w:marLeft w:val="0"/>
          <w:marRight w:val="0"/>
          <w:marTop w:val="0"/>
          <w:marBottom w:val="0"/>
          <w:divBdr>
            <w:top w:val="none" w:sz="0" w:space="0" w:color="auto"/>
            <w:left w:val="none" w:sz="0" w:space="0" w:color="auto"/>
            <w:bottom w:val="none" w:sz="0" w:space="0" w:color="auto"/>
            <w:right w:val="none" w:sz="0" w:space="0" w:color="auto"/>
          </w:divBdr>
          <w:divsChild>
            <w:div w:id="4092904">
              <w:marLeft w:val="0"/>
              <w:marRight w:val="0"/>
              <w:marTop w:val="0"/>
              <w:marBottom w:val="0"/>
              <w:divBdr>
                <w:top w:val="none" w:sz="0" w:space="0" w:color="auto"/>
                <w:left w:val="none" w:sz="0" w:space="0" w:color="auto"/>
                <w:bottom w:val="none" w:sz="0" w:space="0" w:color="auto"/>
                <w:right w:val="none" w:sz="0" w:space="0" w:color="auto"/>
              </w:divBdr>
              <w:divsChild>
                <w:div w:id="134810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238">
      <w:bodyDiv w:val="1"/>
      <w:marLeft w:val="0"/>
      <w:marRight w:val="0"/>
      <w:marTop w:val="0"/>
      <w:marBottom w:val="0"/>
      <w:divBdr>
        <w:top w:val="none" w:sz="0" w:space="0" w:color="auto"/>
        <w:left w:val="none" w:sz="0" w:space="0" w:color="auto"/>
        <w:bottom w:val="none" w:sz="0" w:space="0" w:color="auto"/>
        <w:right w:val="none" w:sz="0" w:space="0" w:color="auto"/>
      </w:divBdr>
      <w:divsChild>
        <w:div w:id="2146198854">
          <w:marLeft w:val="0"/>
          <w:marRight w:val="0"/>
          <w:marTop w:val="0"/>
          <w:marBottom w:val="0"/>
          <w:divBdr>
            <w:top w:val="none" w:sz="0" w:space="0" w:color="auto"/>
            <w:left w:val="none" w:sz="0" w:space="0" w:color="auto"/>
            <w:bottom w:val="none" w:sz="0" w:space="0" w:color="auto"/>
            <w:right w:val="none" w:sz="0" w:space="0" w:color="auto"/>
          </w:divBdr>
          <w:divsChild>
            <w:div w:id="1183861718">
              <w:marLeft w:val="0"/>
              <w:marRight w:val="0"/>
              <w:marTop w:val="0"/>
              <w:marBottom w:val="0"/>
              <w:divBdr>
                <w:top w:val="none" w:sz="0" w:space="0" w:color="auto"/>
                <w:left w:val="none" w:sz="0" w:space="0" w:color="auto"/>
                <w:bottom w:val="none" w:sz="0" w:space="0" w:color="auto"/>
                <w:right w:val="none" w:sz="0" w:space="0" w:color="auto"/>
              </w:divBdr>
              <w:divsChild>
                <w:div w:id="210117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935201">
      <w:bodyDiv w:val="1"/>
      <w:marLeft w:val="0"/>
      <w:marRight w:val="0"/>
      <w:marTop w:val="0"/>
      <w:marBottom w:val="0"/>
      <w:divBdr>
        <w:top w:val="none" w:sz="0" w:space="0" w:color="auto"/>
        <w:left w:val="none" w:sz="0" w:space="0" w:color="auto"/>
        <w:bottom w:val="none" w:sz="0" w:space="0" w:color="auto"/>
        <w:right w:val="none" w:sz="0" w:space="0" w:color="auto"/>
      </w:divBdr>
      <w:divsChild>
        <w:div w:id="993216870">
          <w:marLeft w:val="0"/>
          <w:marRight w:val="0"/>
          <w:marTop w:val="0"/>
          <w:marBottom w:val="0"/>
          <w:divBdr>
            <w:top w:val="none" w:sz="0" w:space="0" w:color="auto"/>
            <w:left w:val="none" w:sz="0" w:space="0" w:color="auto"/>
            <w:bottom w:val="none" w:sz="0" w:space="0" w:color="auto"/>
            <w:right w:val="none" w:sz="0" w:space="0" w:color="auto"/>
          </w:divBdr>
          <w:divsChild>
            <w:div w:id="633027850">
              <w:marLeft w:val="0"/>
              <w:marRight w:val="0"/>
              <w:marTop w:val="0"/>
              <w:marBottom w:val="0"/>
              <w:divBdr>
                <w:top w:val="none" w:sz="0" w:space="0" w:color="auto"/>
                <w:left w:val="none" w:sz="0" w:space="0" w:color="auto"/>
                <w:bottom w:val="none" w:sz="0" w:space="0" w:color="auto"/>
                <w:right w:val="none" w:sz="0" w:space="0" w:color="auto"/>
              </w:divBdr>
              <w:divsChild>
                <w:div w:id="1808208011">
                  <w:marLeft w:val="0"/>
                  <w:marRight w:val="0"/>
                  <w:marTop w:val="0"/>
                  <w:marBottom w:val="0"/>
                  <w:divBdr>
                    <w:top w:val="none" w:sz="0" w:space="0" w:color="auto"/>
                    <w:left w:val="none" w:sz="0" w:space="0" w:color="auto"/>
                    <w:bottom w:val="none" w:sz="0" w:space="0" w:color="auto"/>
                    <w:right w:val="none" w:sz="0" w:space="0" w:color="auto"/>
                  </w:divBdr>
                  <w:divsChild>
                    <w:div w:id="207064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73998">
      <w:bodyDiv w:val="1"/>
      <w:marLeft w:val="0"/>
      <w:marRight w:val="0"/>
      <w:marTop w:val="0"/>
      <w:marBottom w:val="0"/>
      <w:divBdr>
        <w:top w:val="none" w:sz="0" w:space="0" w:color="auto"/>
        <w:left w:val="none" w:sz="0" w:space="0" w:color="auto"/>
        <w:bottom w:val="none" w:sz="0" w:space="0" w:color="auto"/>
        <w:right w:val="none" w:sz="0" w:space="0" w:color="auto"/>
      </w:divBdr>
    </w:div>
    <w:div w:id="1857380482">
      <w:bodyDiv w:val="1"/>
      <w:marLeft w:val="0"/>
      <w:marRight w:val="0"/>
      <w:marTop w:val="0"/>
      <w:marBottom w:val="0"/>
      <w:divBdr>
        <w:top w:val="none" w:sz="0" w:space="0" w:color="auto"/>
        <w:left w:val="none" w:sz="0" w:space="0" w:color="auto"/>
        <w:bottom w:val="none" w:sz="0" w:space="0" w:color="auto"/>
        <w:right w:val="none" w:sz="0" w:space="0" w:color="auto"/>
      </w:divBdr>
      <w:divsChild>
        <w:div w:id="1966425206">
          <w:marLeft w:val="0"/>
          <w:marRight w:val="0"/>
          <w:marTop w:val="0"/>
          <w:marBottom w:val="0"/>
          <w:divBdr>
            <w:top w:val="none" w:sz="0" w:space="0" w:color="auto"/>
            <w:left w:val="none" w:sz="0" w:space="0" w:color="auto"/>
            <w:bottom w:val="none" w:sz="0" w:space="0" w:color="auto"/>
            <w:right w:val="none" w:sz="0" w:space="0" w:color="auto"/>
          </w:divBdr>
          <w:divsChild>
            <w:div w:id="1739816745">
              <w:marLeft w:val="0"/>
              <w:marRight w:val="0"/>
              <w:marTop w:val="0"/>
              <w:marBottom w:val="0"/>
              <w:divBdr>
                <w:top w:val="none" w:sz="0" w:space="0" w:color="auto"/>
                <w:left w:val="none" w:sz="0" w:space="0" w:color="auto"/>
                <w:bottom w:val="none" w:sz="0" w:space="0" w:color="auto"/>
                <w:right w:val="none" w:sz="0" w:space="0" w:color="auto"/>
              </w:divBdr>
              <w:divsChild>
                <w:div w:id="18098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518583">
      <w:bodyDiv w:val="1"/>
      <w:marLeft w:val="0"/>
      <w:marRight w:val="0"/>
      <w:marTop w:val="0"/>
      <w:marBottom w:val="0"/>
      <w:divBdr>
        <w:top w:val="none" w:sz="0" w:space="0" w:color="auto"/>
        <w:left w:val="none" w:sz="0" w:space="0" w:color="auto"/>
        <w:bottom w:val="none" w:sz="0" w:space="0" w:color="auto"/>
        <w:right w:val="none" w:sz="0" w:space="0" w:color="auto"/>
      </w:divBdr>
      <w:divsChild>
        <w:div w:id="943003996">
          <w:marLeft w:val="0"/>
          <w:marRight w:val="0"/>
          <w:marTop w:val="0"/>
          <w:marBottom w:val="0"/>
          <w:divBdr>
            <w:top w:val="none" w:sz="0" w:space="0" w:color="auto"/>
            <w:left w:val="none" w:sz="0" w:space="0" w:color="auto"/>
            <w:bottom w:val="none" w:sz="0" w:space="0" w:color="auto"/>
            <w:right w:val="none" w:sz="0" w:space="0" w:color="auto"/>
          </w:divBdr>
          <w:divsChild>
            <w:div w:id="77753877">
              <w:marLeft w:val="0"/>
              <w:marRight w:val="0"/>
              <w:marTop w:val="0"/>
              <w:marBottom w:val="0"/>
              <w:divBdr>
                <w:top w:val="none" w:sz="0" w:space="0" w:color="auto"/>
                <w:left w:val="none" w:sz="0" w:space="0" w:color="auto"/>
                <w:bottom w:val="none" w:sz="0" w:space="0" w:color="auto"/>
                <w:right w:val="none" w:sz="0" w:space="0" w:color="auto"/>
              </w:divBdr>
              <w:divsChild>
                <w:div w:id="1423141675">
                  <w:marLeft w:val="0"/>
                  <w:marRight w:val="0"/>
                  <w:marTop w:val="0"/>
                  <w:marBottom w:val="0"/>
                  <w:divBdr>
                    <w:top w:val="none" w:sz="0" w:space="0" w:color="auto"/>
                    <w:left w:val="none" w:sz="0" w:space="0" w:color="auto"/>
                    <w:bottom w:val="none" w:sz="0" w:space="0" w:color="auto"/>
                    <w:right w:val="none" w:sz="0" w:space="0" w:color="auto"/>
                  </w:divBdr>
                  <w:divsChild>
                    <w:div w:id="17684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813">
      <w:bodyDiv w:val="1"/>
      <w:marLeft w:val="0"/>
      <w:marRight w:val="0"/>
      <w:marTop w:val="0"/>
      <w:marBottom w:val="0"/>
      <w:divBdr>
        <w:top w:val="none" w:sz="0" w:space="0" w:color="auto"/>
        <w:left w:val="none" w:sz="0" w:space="0" w:color="auto"/>
        <w:bottom w:val="none" w:sz="0" w:space="0" w:color="auto"/>
        <w:right w:val="none" w:sz="0" w:space="0" w:color="auto"/>
      </w:divBdr>
      <w:divsChild>
        <w:div w:id="1035232650">
          <w:marLeft w:val="0"/>
          <w:marRight w:val="0"/>
          <w:marTop w:val="0"/>
          <w:marBottom w:val="0"/>
          <w:divBdr>
            <w:top w:val="none" w:sz="0" w:space="0" w:color="auto"/>
            <w:left w:val="none" w:sz="0" w:space="0" w:color="auto"/>
            <w:bottom w:val="none" w:sz="0" w:space="0" w:color="auto"/>
            <w:right w:val="none" w:sz="0" w:space="0" w:color="auto"/>
          </w:divBdr>
          <w:divsChild>
            <w:div w:id="687485553">
              <w:marLeft w:val="0"/>
              <w:marRight w:val="0"/>
              <w:marTop w:val="0"/>
              <w:marBottom w:val="0"/>
              <w:divBdr>
                <w:top w:val="none" w:sz="0" w:space="0" w:color="auto"/>
                <w:left w:val="none" w:sz="0" w:space="0" w:color="auto"/>
                <w:bottom w:val="none" w:sz="0" w:space="0" w:color="auto"/>
                <w:right w:val="none" w:sz="0" w:space="0" w:color="auto"/>
              </w:divBdr>
              <w:divsChild>
                <w:div w:id="110457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655152">
      <w:bodyDiv w:val="1"/>
      <w:marLeft w:val="0"/>
      <w:marRight w:val="0"/>
      <w:marTop w:val="0"/>
      <w:marBottom w:val="0"/>
      <w:divBdr>
        <w:top w:val="none" w:sz="0" w:space="0" w:color="auto"/>
        <w:left w:val="none" w:sz="0" w:space="0" w:color="auto"/>
        <w:bottom w:val="none" w:sz="0" w:space="0" w:color="auto"/>
        <w:right w:val="none" w:sz="0" w:space="0" w:color="auto"/>
      </w:divBdr>
      <w:divsChild>
        <w:div w:id="634414664">
          <w:marLeft w:val="0"/>
          <w:marRight w:val="0"/>
          <w:marTop w:val="0"/>
          <w:marBottom w:val="0"/>
          <w:divBdr>
            <w:top w:val="none" w:sz="0" w:space="0" w:color="auto"/>
            <w:left w:val="none" w:sz="0" w:space="0" w:color="auto"/>
            <w:bottom w:val="none" w:sz="0" w:space="0" w:color="auto"/>
            <w:right w:val="none" w:sz="0" w:space="0" w:color="auto"/>
          </w:divBdr>
          <w:divsChild>
            <w:div w:id="2008098399">
              <w:marLeft w:val="0"/>
              <w:marRight w:val="0"/>
              <w:marTop w:val="0"/>
              <w:marBottom w:val="0"/>
              <w:divBdr>
                <w:top w:val="none" w:sz="0" w:space="0" w:color="auto"/>
                <w:left w:val="none" w:sz="0" w:space="0" w:color="auto"/>
                <w:bottom w:val="none" w:sz="0" w:space="0" w:color="auto"/>
                <w:right w:val="none" w:sz="0" w:space="0" w:color="auto"/>
              </w:divBdr>
              <w:divsChild>
                <w:div w:id="777990117">
                  <w:marLeft w:val="0"/>
                  <w:marRight w:val="0"/>
                  <w:marTop w:val="0"/>
                  <w:marBottom w:val="0"/>
                  <w:divBdr>
                    <w:top w:val="none" w:sz="0" w:space="0" w:color="auto"/>
                    <w:left w:val="none" w:sz="0" w:space="0" w:color="auto"/>
                    <w:bottom w:val="none" w:sz="0" w:space="0" w:color="auto"/>
                    <w:right w:val="none" w:sz="0" w:space="0" w:color="auto"/>
                  </w:divBdr>
                  <w:divsChild>
                    <w:div w:id="46473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43280">
      <w:bodyDiv w:val="1"/>
      <w:marLeft w:val="0"/>
      <w:marRight w:val="0"/>
      <w:marTop w:val="0"/>
      <w:marBottom w:val="0"/>
      <w:divBdr>
        <w:top w:val="none" w:sz="0" w:space="0" w:color="auto"/>
        <w:left w:val="none" w:sz="0" w:space="0" w:color="auto"/>
        <w:bottom w:val="none" w:sz="0" w:space="0" w:color="auto"/>
        <w:right w:val="none" w:sz="0" w:space="0" w:color="auto"/>
      </w:divBdr>
      <w:divsChild>
        <w:div w:id="1556701758">
          <w:marLeft w:val="0"/>
          <w:marRight w:val="0"/>
          <w:marTop w:val="0"/>
          <w:marBottom w:val="0"/>
          <w:divBdr>
            <w:top w:val="none" w:sz="0" w:space="0" w:color="auto"/>
            <w:left w:val="none" w:sz="0" w:space="0" w:color="auto"/>
            <w:bottom w:val="none" w:sz="0" w:space="0" w:color="auto"/>
            <w:right w:val="none" w:sz="0" w:space="0" w:color="auto"/>
          </w:divBdr>
          <w:divsChild>
            <w:div w:id="1977295156">
              <w:marLeft w:val="0"/>
              <w:marRight w:val="0"/>
              <w:marTop w:val="0"/>
              <w:marBottom w:val="0"/>
              <w:divBdr>
                <w:top w:val="none" w:sz="0" w:space="0" w:color="auto"/>
                <w:left w:val="none" w:sz="0" w:space="0" w:color="auto"/>
                <w:bottom w:val="none" w:sz="0" w:space="0" w:color="auto"/>
                <w:right w:val="none" w:sz="0" w:space="0" w:color="auto"/>
              </w:divBdr>
              <w:divsChild>
                <w:div w:id="809324099">
                  <w:marLeft w:val="0"/>
                  <w:marRight w:val="0"/>
                  <w:marTop w:val="0"/>
                  <w:marBottom w:val="0"/>
                  <w:divBdr>
                    <w:top w:val="none" w:sz="0" w:space="0" w:color="auto"/>
                    <w:left w:val="none" w:sz="0" w:space="0" w:color="auto"/>
                    <w:bottom w:val="none" w:sz="0" w:space="0" w:color="auto"/>
                    <w:right w:val="none" w:sz="0" w:space="0" w:color="auto"/>
                  </w:divBdr>
                  <w:divsChild>
                    <w:div w:id="153006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27283">
      <w:bodyDiv w:val="1"/>
      <w:marLeft w:val="0"/>
      <w:marRight w:val="0"/>
      <w:marTop w:val="0"/>
      <w:marBottom w:val="0"/>
      <w:divBdr>
        <w:top w:val="none" w:sz="0" w:space="0" w:color="auto"/>
        <w:left w:val="none" w:sz="0" w:space="0" w:color="auto"/>
        <w:bottom w:val="none" w:sz="0" w:space="0" w:color="auto"/>
        <w:right w:val="none" w:sz="0" w:space="0" w:color="auto"/>
      </w:divBdr>
      <w:divsChild>
        <w:div w:id="413287198">
          <w:marLeft w:val="0"/>
          <w:marRight w:val="0"/>
          <w:marTop w:val="0"/>
          <w:marBottom w:val="0"/>
          <w:divBdr>
            <w:top w:val="none" w:sz="0" w:space="0" w:color="auto"/>
            <w:left w:val="none" w:sz="0" w:space="0" w:color="auto"/>
            <w:bottom w:val="none" w:sz="0" w:space="0" w:color="auto"/>
            <w:right w:val="none" w:sz="0" w:space="0" w:color="auto"/>
          </w:divBdr>
          <w:divsChild>
            <w:div w:id="1289047082">
              <w:marLeft w:val="0"/>
              <w:marRight w:val="0"/>
              <w:marTop w:val="0"/>
              <w:marBottom w:val="0"/>
              <w:divBdr>
                <w:top w:val="none" w:sz="0" w:space="0" w:color="auto"/>
                <w:left w:val="none" w:sz="0" w:space="0" w:color="auto"/>
                <w:bottom w:val="none" w:sz="0" w:space="0" w:color="auto"/>
                <w:right w:val="none" w:sz="0" w:space="0" w:color="auto"/>
              </w:divBdr>
              <w:divsChild>
                <w:div w:id="764115785">
                  <w:marLeft w:val="0"/>
                  <w:marRight w:val="0"/>
                  <w:marTop w:val="0"/>
                  <w:marBottom w:val="0"/>
                  <w:divBdr>
                    <w:top w:val="none" w:sz="0" w:space="0" w:color="auto"/>
                    <w:left w:val="none" w:sz="0" w:space="0" w:color="auto"/>
                    <w:bottom w:val="none" w:sz="0" w:space="0" w:color="auto"/>
                    <w:right w:val="none" w:sz="0" w:space="0" w:color="auto"/>
                  </w:divBdr>
                  <w:divsChild>
                    <w:div w:id="5048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168161">
      <w:bodyDiv w:val="1"/>
      <w:marLeft w:val="0"/>
      <w:marRight w:val="0"/>
      <w:marTop w:val="0"/>
      <w:marBottom w:val="0"/>
      <w:divBdr>
        <w:top w:val="none" w:sz="0" w:space="0" w:color="auto"/>
        <w:left w:val="none" w:sz="0" w:space="0" w:color="auto"/>
        <w:bottom w:val="none" w:sz="0" w:space="0" w:color="auto"/>
        <w:right w:val="none" w:sz="0" w:space="0" w:color="auto"/>
      </w:divBdr>
      <w:divsChild>
        <w:div w:id="53356947">
          <w:marLeft w:val="0"/>
          <w:marRight w:val="0"/>
          <w:marTop w:val="0"/>
          <w:marBottom w:val="0"/>
          <w:divBdr>
            <w:top w:val="none" w:sz="0" w:space="0" w:color="auto"/>
            <w:left w:val="none" w:sz="0" w:space="0" w:color="auto"/>
            <w:bottom w:val="none" w:sz="0" w:space="0" w:color="auto"/>
            <w:right w:val="none" w:sz="0" w:space="0" w:color="auto"/>
          </w:divBdr>
          <w:divsChild>
            <w:div w:id="1213083301">
              <w:marLeft w:val="0"/>
              <w:marRight w:val="0"/>
              <w:marTop w:val="0"/>
              <w:marBottom w:val="0"/>
              <w:divBdr>
                <w:top w:val="none" w:sz="0" w:space="0" w:color="auto"/>
                <w:left w:val="none" w:sz="0" w:space="0" w:color="auto"/>
                <w:bottom w:val="none" w:sz="0" w:space="0" w:color="auto"/>
                <w:right w:val="none" w:sz="0" w:space="0" w:color="auto"/>
              </w:divBdr>
              <w:divsChild>
                <w:div w:id="691539767">
                  <w:marLeft w:val="0"/>
                  <w:marRight w:val="0"/>
                  <w:marTop w:val="0"/>
                  <w:marBottom w:val="0"/>
                  <w:divBdr>
                    <w:top w:val="none" w:sz="0" w:space="0" w:color="auto"/>
                    <w:left w:val="none" w:sz="0" w:space="0" w:color="auto"/>
                    <w:bottom w:val="none" w:sz="0" w:space="0" w:color="auto"/>
                    <w:right w:val="none" w:sz="0" w:space="0" w:color="auto"/>
                  </w:divBdr>
                  <w:divsChild>
                    <w:div w:id="1819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anz.org.au/info-" TargetMode="External"/><Relationship Id="rId18" Type="http://schemas.openxmlformats.org/officeDocument/2006/relationships/hyperlink" Target="https://doi.org/10.1111/jpc.14508" TargetMode="External"/><Relationship Id="rId26" Type="http://schemas.openxmlformats.org/officeDocument/2006/relationships/hyperlink" Target="https://app.magicapp.org/" TargetMode="External"/><Relationship Id="rId39" Type="http://schemas.openxmlformats.org/officeDocument/2006/relationships/hyperlink" Target="http://www.nhmrc.gov.au/about-" TargetMode="External"/><Relationship Id="rId21" Type="http://schemas.openxmlformats.org/officeDocument/2006/relationships/hyperlink" Target="http://ovidsp.ovid.com/ovidweb.cgi?T=JS&amp;PAGE=main&amp;D=medall&amp;MODE=ovid&amp;SEARCH=%28exp+Health+Services+Accessibility%2f+or+exp+Delivery+of+Health+Care%2f+or+Quality+Assurance%2c+Health+Care%2f+or+Quality+of+Health+Care%2f+or+Healthcare+Disparities%2f+or+exp+Health+Policy%2f+or+exp+Primary+Health+Care%2f%29+and+%28Sexism%2f+or+Sex+Factors%2f+or+Gender+Equity%2f%29+and+%28Systematic+Review%2f+or+%28systematic+or+scoping+or+synthesis+or+meta-analysis%29.ti.%29%07%28%28gender+bias+or+gender+disparities%29+and+%28systematic+or+scoping+or+synthesis+or+meta-analysis%29%29.ti.+or+%28%28gender+bias+or+gender+disparities%29+adj10+%28systematic+or+scoping+or+synthesis+or+meta-analysis%29%29.ab.%07%28%28bias+or+disparities+or+inequalit%2a+or+inequit%2a%29+adj20+%28intervention+or+reduc%2a%29+adj20+%28healthcare+or+health+care%29+adj20+gender%29.ti%2cab.+or+%28%28Sex+Factors%2f+or+Sexism%2f+or+gender.ti.+or+%28gender+bias+or+sex+disparit%2a+or+sex+based+or+gender+based%29.ti%2cab.%29+adj20+%28intervention+or+reduc%2a%29.ti%2cab.+adj20+%28healthcare+or+health+care+or+health+services%29.ti%2cab.%29%07%28%28gender%2a+or+sex%29+adj2+%28bias%2a+or+prejudice%2a+or+equalit%2a+or+inequalit%2a+or+equit%2a+or+inequit%2a+or+disparit%2a+or+norms+or+gap+or+gaps+or+difference%2a+or+discriminat%2a%29+adj10+%28reduc%2a+or+minimi%3fe%2a+or+overcom%2a+or+advance+or+barriers+or+promot%2a+or+address%2a+or+prevent%2a+or+improv%2a+or+counter%2a%29%29.ti.%07%28%28gender%2a+or+sex%29+adj+%28bias%2a+or+disparit%2a%29+adj5+%28reduc%2a+or+minimi%3fe%2a+or+overcom%2a+or+advance+or+barriers+or+promot%2a+or+address%2a+or+prevent%2a+or+improv%2a+or+counter%2a%29%29.ab.%07%28gender%2a+adj+%28integrated+or+accommodating+or+transformative%29+adj5+%28strategy+or+strategies+or+intervention%2a+or+program%2a+or+initiative%2a+or+policy+or+policies+or+law+or+laws+or+evaluat%2a+or+tool%2a+or+measure%2a+or+checklist%2a%29%29.ti%2cab.%071+or+2+or+3%07limit+7+to+dt%3d20181201-20231115%07limit+7+to+yr%3d%222019+-Current%22%078+or+9%074+or+5+or+6%07limit+11+to+yr%3d%222014+-Current%22%0710+or+12%07%28Animals%252" TargetMode="External"/><Relationship Id="rId34" Type="http://schemas.openxmlformats.org/officeDocument/2006/relationships/hyperlink" Target="https://copdx.org.au/" TargetMode="External"/><Relationship Id="rId42" Type="http://schemas.openxmlformats.org/officeDocument/2006/relationships/hyperlink" Target="http://www.nhmrc.gov.au/about-" TargetMode="External"/><Relationship Id="rId47" Type="http://schemas.openxmlformats.org/officeDocument/2006/relationships/hyperlink" Target="http://www.phoenixaustralia.org/austr" TargetMode="External"/><Relationship Id="rId50" Type="http://schemas.openxmlformats.org/officeDocument/2006/relationships/hyperlink" Target="http://www.rhdaustralia.org.au/syste" TargetMode="External"/><Relationship Id="rId55" Type="http://schemas.openxmlformats.org/officeDocument/2006/relationships/hyperlink" Target="http://www.ranzcr.com/college/docu" TargetMode="External"/><Relationship Id="rId63" Type="http://schemas.openxmlformats.org/officeDocument/2006/relationships/hyperlink" Target="http://www.racgp.org.au/getattachme" TargetMode="External"/><Relationship Id="rId68" Type="http://schemas.openxmlformats.org/officeDocument/2006/relationships/hyperlink" Target="https://www.racgp.org.au/getattachment/b1dc3adb-e3bc-4e0d-a872-8b53e7b59aee/Part-A.aspx" TargetMode="External"/><Relationship Id="rId76" Type="http://schemas.openxmlformats.org/officeDocument/2006/relationships/hyperlink" Target="http://www.racgp.org.au/clinical-" TargetMode="External"/><Relationship Id="rId84" Type="http://schemas.openxmlformats.org/officeDocument/2006/relationships/hyperlink" Target="http://www.racgp.org.au/FSDEDEV/me" TargetMode="External"/><Relationship Id="rId89" Type="http://schemas.openxmlformats.org/officeDocument/2006/relationships/hyperlink" Target="http://www.racgp.org.au/getattachme" TargetMode="External"/><Relationship Id="rId7" Type="http://schemas.openxmlformats.org/officeDocument/2006/relationships/endnotes" Target="endnotes.xml"/><Relationship Id="rId71" Type="http://schemas.openxmlformats.org/officeDocument/2006/relationships/hyperlink" Target="http://www.racgp.org.au/getattachme"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www.cope.org.au/wp-" TargetMode="External"/><Relationship Id="rId11" Type="http://schemas.openxmlformats.org/officeDocument/2006/relationships/footer" Target="footer1.xml"/><Relationship Id="rId24" Type="http://schemas.openxmlformats.org/officeDocument/2006/relationships/hyperlink" Target="https://www.concussioninsport.gov.au/__data/assets/pdf_file/0004/1133545/37382_Concussion-and-Brain-Health-Position-Statement-2024-FA.pdf" TargetMode="External"/><Relationship Id="rId32" Type="http://schemas.openxmlformats.org/officeDocument/2006/relationships/hyperlink" Target="http://www.childrens.health.qld.gov.a/" TargetMode="External"/><Relationship Id="rId37" Type="http://schemas.openxmlformats.org/officeDocument/2006/relationships/hyperlink" Target="http://www.nhmrc.gov.au/about-" TargetMode="External"/><Relationship Id="rId40" Type="http://schemas.openxmlformats.org/officeDocument/2006/relationships/hyperlink" Target="http://www.nhmrc.gov.au/about-" TargetMode="External"/><Relationship Id="rId45" Type="http://schemas.openxmlformats.org/officeDocument/2006/relationships/hyperlink" Target="http://www.phoenixaustralia.org/austr" TargetMode="External"/><Relationship Id="rId53" Type="http://schemas.openxmlformats.org/officeDocument/2006/relationships/hyperlink" Target="http://www.ranzcr.com/component/e" TargetMode="External"/><Relationship Id="rId58" Type="http://schemas.openxmlformats.org/officeDocument/2006/relationships/hyperlink" Target="http://www.racgp.org.au/clinical-" TargetMode="External"/><Relationship Id="rId66" Type="http://schemas.openxmlformats.org/officeDocument/2006/relationships/hyperlink" Target="http://www.racgp.org.au/getattachme" TargetMode="External"/><Relationship Id="rId74" Type="http://schemas.openxmlformats.org/officeDocument/2006/relationships/hyperlink" Target="http://www.racgp.org.au/clinical-" TargetMode="External"/><Relationship Id="rId79" Type="http://schemas.openxmlformats.org/officeDocument/2006/relationships/hyperlink" Target="http://www.racgp.org.au/getattachme" TargetMode="External"/><Relationship Id="rId87" Type="http://schemas.openxmlformats.org/officeDocument/2006/relationships/hyperlink" Target="https://doi.org/10.5694/mja2.50004" TargetMode="External"/><Relationship Id="rId5" Type="http://schemas.openxmlformats.org/officeDocument/2006/relationships/webSettings" Target="webSettings.xml"/><Relationship Id="rId61" Type="http://schemas.openxmlformats.org/officeDocument/2006/relationships/hyperlink" Target="http://www.racgp.org.au/getattachme" TargetMode="External"/><Relationship Id="rId82" Type="http://schemas.openxmlformats.org/officeDocument/2006/relationships/hyperlink" Target="http://www.racgp.org.au/silverbook" TargetMode="External"/><Relationship Id="rId90" Type="http://schemas.openxmlformats.org/officeDocument/2006/relationships/hyperlink" Target="http://www.racgp.org.au/getattachme" TargetMode="External"/><Relationship Id="rId19" Type="http://schemas.openxmlformats.org/officeDocument/2006/relationships/hyperlink" Target="https://doi.org/10.5694/mja2.50004" TargetMode="External"/><Relationship Id="rId14" Type="http://schemas.openxmlformats.org/officeDocument/2006/relationships/hyperlink" Target="http://www.usanz.org.au/info-" TargetMode="External"/><Relationship Id="rId22" Type="http://schemas.openxmlformats.org/officeDocument/2006/relationships/hyperlink" Target="https://files.magicapp.org/guideline/bb6a4ff1-031c-429d-b1ce-5c907287251b/published_guideline_6122-1_15.pdf" TargetMode="External"/><Relationship Id="rId27" Type="http://schemas.openxmlformats.org/officeDocument/2006/relationships/hyperlink" Target="http://www.cancer.org.au/assets/pdf/" TargetMode="External"/><Relationship Id="rId30" Type="http://schemas.openxmlformats.org/officeDocument/2006/relationships/hyperlink" Target="https://doi.org/10.1111/jpc.14508" TargetMode="External"/><Relationship Id="rId35" Type="http://schemas.openxmlformats.org/officeDocument/2006/relationships/hyperlink" Target="https://www.racgp.org.au/FSDEDEV/media/documents/Clinical%20Resources/Guidelines/Mental%20health/Work-related-mental-health-conditions-in-general-practice.pdf" TargetMode="External"/><Relationship Id="rId43" Type="http://schemas.openxmlformats.org/officeDocument/2006/relationships/hyperlink" Target="http://www.nhmrc.gov.au/about-" TargetMode="External"/><Relationship Id="rId48" Type="http://schemas.openxmlformats.org/officeDocument/2006/relationships/hyperlink" Target="http://www.rhdaustralia.org.au/syste" TargetMode="External"/><Relationship Id="rId56" Type="http://schemas.openxmlformats.org/officeDocument/2006/relationships/hyperlink" Target="http://www.ranzcr.com/college/docu" TargetMode="External"/><Relationship Id="rId64" Type="http://schemas.openxmlformats.org/officeDocument/2006/relationships/hyperlink" Target="http://www.racgp.org.au/getattachme" TargetMode="External"/><Relationship Id="rId69" Type="http://schemas.openxmlformats.org/officeDocument/2006/relationships/hyperlink" Target="http://www.racgp.org.au/getattachme" TargetMode="External"/><Relationship Id="rId77" Type="http://schemas.openxmlformats.org/officeDocument/2006/relationships/hyperlink" Target="http://www.racgp.org.au/clinical-" TargetMode="External"/><Relationship Id="rId8" Type="http://schemas.openxmlformats.org/officeDocument/2006/relationships/header" Target="header1.xml"/><Relationship Id="rId51" Type="http://schemas.openxmlformats.org/officeDocument/2006/relationships/hyperlink" Target="http://www.rhdaustralia.org.au/syste" TargetMode="External"/><Relationship Id="rId72" Type="http://schemas.openxmlformats.org/officeDocument/2006/relationships/hyperlink" Target="http://www.racgp.org.au/clinical-" TargetMode="External"/><Relationship Id="rId80" Type="http://schemas.openxmlformats.org/officeDocument/2006/relationships/hyperlink" Target="http://www.racgp.org.au/getattachme" TargetMode="External"/><Relationship Id="rId85" Type="http://schemas.openxmlformats.org/officeDocument/2006/relationships/hyperlink" Target="http://www.racgp.org.au/FSDEDEV/me"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usanz.org.au/info-" TargetMode="External"/><Relationship Id="rId17" Type="http://schemas.openxmlformats.org/officeDocument/2006/relationships/hyperlink" Target="https://genderequality.gov.au/sites/default/files/2024-03/working-for-women-a-strategy-for-gender-equality.pdf" TargetMode="External"/><Relationship Id="rId25" Type="http://schemas.openxmlformats.org/officeDocument/2006/relationships/hyperlink" Target="https://www.cancer.org.au/assets/pdf/guidelines-lung-cancer" TargetMode="External"/><Relationship Id="rId33" Type="http://schemas.openxmlformats.org/officeDocument/2006/relationships/hyperlink" Target="http://www.childrens.health.qld.gov.a/" TargetMode="External"/><Relationship Id="rId38" Type="http://schemas.openxmlformats.org/officeDocument/2006/relationships/hyperlink" Target="http://www.nhmrc.gov.au/about-" TargetMode="External"/><Relationship Id="rId46" Type="http://schemas.openxmlformats.org/officeDocument/2006/relationships/hyperlink" Target="http://www.phoenixaustralia.org/austr" TargetMode="External"/><Relationship Id="rId59" Type="http://schemas.openxmlformats.org/officeDocument/2006/relationships/hyperlink" Target="http://www.racgp.org.au/clinical-" TargetMode="External"/><Relationship Id="rId67" Type="http://schemas.openxmlformats.org/officeDocument/2006/relationships/hyperlink" Target="http://www.racgp.org.au/getattachme" TargetMode="External"/><Relationship Id="rId20" Type="http://schemas.openxmlformats.org/officeDocument/2006/relationships/hyperlink" Target="https://www.usaid.gov/global-health/health-systems-innovation/gender-and-health" TargetMode="External"/><Relationship Id="rId41" Type="http://schemas.openxmlformats.org/officeDocument/2006/relationships/hyperlink" Target="http://www.nhmrc.gov.au/about-" TargetMode="External"/><Relationship Id="rId54" Type="http://schemas.openxmlformats.org/officeDocument/2006/relationships/hyperlink" Target="http://www.ranzcr.com/component/e" TargetMode="External"/><Relationship Id="rId62" Type="http://schemas.openxmlformats.org/officeDocument/2006/relationships/hyperlink" Target="http://www.racgp.org.au/getattachme" TargetMode="External"/><Relationship Id="rId70" Type="http://schemas.openxmlformats.org/officeDocument/2006/relationships/hyperlink" Target="http://www.racgp.org.au/getattachme" TargetMode="External"/><Relationship Id="rId75" Type="http://schemas.openxmlformats.org/officeDocument/2006/relationships/hyperlink" Target="http://www.racgp.org.au/clinical-" TargetMode="External"/><Relationship Id="rId83" Type="http://schemas.openxmlformats.org/officeDocument/2006/relationships/hyperlink" Target="http://www.racgp.org.au/silverbook" TargetMode="External"/><Relationship Id="rId88" Type="http://schemas.openxmlformats.org/officeDocument/2006/relationships/hyperlink" Target="https://tsanz.com.au/storage/documents/TSANZ_Clinical_Guidelines_Version-111_13062023Final-Version.pdf" TargetMode="External"/><Relationship Id="rId91" Type="http://schemas.openxmlformats.org/officeDocument/2006/relationships/hyperlink" Target="http://www.racgp.org.au/getattachm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usanz.org.au/info-" TargetMode="External"/><Relationship Id="rId23" Type="http://schemas.openxmlformats.org/officeDocument/2006/relationships/hyperlink" Target="http://www.diabetessociety.com.au/2" TargetMode="External"/><Relationship Id="rId28" Type="http://schemas.openxmlformats.org/officeDocument/2006/relationships/hyperlink" Target="http://www.cope.org.au/wp-" TargetMode="External"/><Relationship Id="rId36" Type="http://schemas.openxmlformats.org/officeDocument/2006/relationships/hyperlink" Target="http://www.asthmahandbook.org.au/" TargetMode="External"/><Relationship Id="rId49" Type="http://schemas.openxmlformats.org/officeDocument/2006/relationships/hyperlink" Target="http://www.rhdaustralia.org.au/syste" TargetMode="External"/><Relationship Id="rId57" Type="http://schemas.openxmlformats.org/officeDocument/2006/relationships/hyperlink" Target="http://www.ranzcr.com/college/docu" TargetMode="External"/><Relationship Id="rId10" Type="http://schemas.openxmlformats.org/officeDocument/2006/relationships/header" Target="header2.xml"/><Relationship Id="rId31" Type="http://schemas.openxmlformats.org/officeDocument/2006/relationships/hyperlink" Target="http://www.childrens.health.qld.gov.a/" TargetMode="External"/><Relationship Id="rId44" Type="http://schemas.openxmlformats.org/officeDocument/2006/relationships/hyperlink" Target="http://www.nhmrc.gov.au/about-" TargetMode="External"/><Relationship Id="rId52" Type="http://schemas.openxmlformats.org/officeDocument/2006/relationships/hyperlink" Target="http://www.ranzcr.com/component/e" TargetMode="External"/><Relationship Id="rId60" Type="http://schemas.openxmlformats.org/officeDocument/2006/relationships/hyperlink" Target="http://www.racgp.org.au/clinical-" TargetMode="External"/><Relationship Id="rId65" Type="http://schemas.openxmlformats.org/officeDocument/2006/relationships/hyperlink" Target="http://www.racgp.org.au/getattachme" TargetMode="External"/><Relationship Id="rId73" Type="http://schemas.openxmlformats.org/officeDocument/2006/relationships/hyperlink" Target="http://www.racgp.org.au/clinical-" TargetMode="External"/><Relationship Id="rId78" Type="http://schemas.openxmlformats.org/officeDocument/2006/relationships/hyperlink" Target="http://www.racgp.org.au/getattachme" TargetMode="External"/><Relationship Id="rId81" Type="http://schemas.openxmlformats.org/officeDocument/2006/relationships/hyperlink" Target="http://www.racgp.org.au/silverbook" TargetMode="External"/><Relationship Id="rId86" Type="http://schemas.openxmlformats.org/officeDocument/2006/relationships/hyperlink" Target="http://www.racgp.org.au/FSDEDEV/me" TargetMode="External"/><Relationship Id="rId4" Type="http://schemas.openxmlformats.org/officeDocument/2006/relationships/settings" Target="settings.xml"/><Relationship Id="rId9" Type="http://schemas.openxmlformats.org/officeDocument/2006/relationships/hyperlink" Target="http://www.health.gov.au/resources/publications/literature-review-to-inform-strategies-to-address-sex-and-gender-bias-in-the-health-syste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bestpractice.bmj.com/info/us/toolkit/learn-ebm/what-is-grade/" TargetMode="External"/><Relationship Id="rId1" Type="http://schemas.openxmlformats.org/officeDocument/2006/relationships/hyperlink" Target="https://www.bmj.com/content/336/7650/9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F7DB6-7B3B-4FF5-B549-9EBE9880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137</Pages>
  <Words>42364</Words>
  <Characters>254185</Characters>
  <Application>Microsoft Office Word</Application>
  <DocSecurity>0</DocSecurity>
  <Lines>10167</Lines>
  <Paragraphs>4493</Paragraphs>
  <ScaleCrop>false</ScaleCrop>
  <HeadingPairs>
    <vt:vector size="2" baseType="variant">
      <vt:variant>
        <vt:lpstr>Title</vt:lpstr>
      </vt:variant>
      <vt:variant>
        <vt:i4>1</vt:i4>
      </vt:variant>
    </vt:vector>
  </HeadingPairs>
  <TitlesOfParts>
    <vt:vector size="1" baseType="lpstr">
      <vt:lpstr>Literature review to inform strategies to address sex and gender bias in the health system</vt:lpstr>
    </vt:vector>
  </TitlesOfParts>
  <Company/>
  <LinksUpToDate>false</LinksUpToDate>
  <CharactersWithSpaces>292056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review to inform strategies to address sex and gender bias in the health system</dc:title>
  <dc:subject>National Women’s Health Advisory Council</dc:subject>
  <dc:creator>Australian Government Department of Health and Aged Care</dc:creator>
  <cp:keywords>Women's health; Sexual health; Gender bias</cp:keywords>
  <dc:description/>
  <cp:revision>5</cp:revision>
  <cp:lastPrinted>2024-07-16T02:07:00Z</cp:lastPrinted>
  <dcterms:created xsi:type="dcterms:W3CDTF">2025-02-06T05:42:00Z</dcterms:created>
  <dcterms:modified xsi:type="dcterms:W3CDTF">2025-02-06T05:49:00Z</dcterms:modified>
</cp:coreProperties>
</file>