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3E12" w14:textId="77777777" w:rsidR="009D1AC0" w:rsidRDefault="001F1559" w:rsidP="000377AE">
      <w:pPr>
        <w:pStyle w:val="Heading2"/>
        <w:spacing w:after="0"/>
        <w:rPr>
          <w:rFonts w:cs="Rubik Medium"/>
          <w:sz w:val="36"/>
          <w:szCs w:val="36"/>
        </w:rPr>
      </w:pPr>
      <w:bookmarkStart w:id="0" w:name="_usdc0nj6twdp" w:colFirst="0" w:colLast="0"/>
      <w:bookmarkEnd w:id="0"/>
      <w:r w:rsidRPr="001F1559">
        <w:rPr>
          <w:rFonts w:cs="Rubik Medium"/>
          <w:sz w:val="36"/>
          <w:szCs w:val="36"/>
        </w:rPr>
        <w:t xml:space="preserve">Toolkit Resource: </w:t>
      </w:r>
    </w:p>
    <w:p w14:paraId="603CC2F5" w14:textId="17F4CDC6" w:rsidR="002A7500" w:rsidRDefault="001F1559" w:rsidP="000377AE">
      <w:pPr>
        <w:pStyle w:val="Heading2"/>
        <w:spacing w:after="0"/>
      </w:pPr>
      <w:r w:rsidRPr="001F1559">
        <w:rPr>
          <w:rFonts w:cs="Rubik Medium"/>
          <w:sz w:val="36"/>
          <w:szCs w:val="36"/>
        </w:rPr>
        <w:t>Example</w:t>
      </w:r>
      <w:r w:rsidR="005C05E0">
        <w:rPr>
          <w:rFonts w:cs="Rubik Medium"/>
          <w:sz w:val="36"/>
          <w:szCs w:val="36"/>
        </w:rPr>
        <w:t xml:space="preserve"> li</w:t>
      </w:r>
      <w:r w:rsidR="009D1AC0">
        <w:rPr>
          <w:rFonts w:cs="Rubik Medium"/>
          <w:sz w:val="36"/>
          <w:szCs w:val="36"/>
        </w:rPr>
        <w:t>s</w:t>
      </w:r>
      <w:r w:rsidR="005C05E0">
        <w:rPr>
          <w:rFonts w:cs="Rubik Medium"/>
          <w:sz w:val="36"/>
          <w:szCs w:val="36"/>
        </w:rPr>
        <w:t>t</w:t>
      </w:r>
      <w:r w:rsidRPr="001F1559">
        <w:rPr>
          <w:rFonts w:cs="Rubik Medium"/>
          <w:sz w:val="36"/>
          <w:szCs w:val="36"/>
        </w:rPr>
        <w:t xml:space="preserve"> of gender-responsive actions</w:t>
      </w:r>
    </w:p>
    <w:p w14:paraId="7D365E29" w14:textId="17EFE5AA" w:rsidR="00D318B9" w:rsidRDefault="003C0E72" w:rsidP="003C0E72">
      <w:pPr>
        <w:spacing w:after="160" w:line="259" w:lineRule="auto"/>
        <w:rPr>
          <w:color w:val="000000"/>
          <w:sz w:val="22"/>
          <w:szCs w:val="22"/>
        </w:rPr>
      </w:pPr>
      <w:r w:rsidRPr="003C0E72">
        <w:rPr>
          <w:sz w:val="22"/>
          <w:szCs w:val="22"/>
        </w:rPr>
        <w:t>The list below provides examples of gender-responsive actions that can be taken in different settings and contexts.</w:t>
      </w:r>
      <w:r w:rsidRPr="003C0E72">
        <w:rPr>
          <w:color w:val="000000"/>
          <w:sz w:val="22"/>
          <w:szCs w:val="22"/>
        </w:rPr>
        <w:t xml:space="preserve"> </w:t>
      </w:r>
    </w:p>
    <w:p w14:paraId="6303423A" w14:textId="77777777" w:rsidR="0055165F" w:rsidRDefault="0055165F" w:rsidP="003C0E72">
      <w:pPr>
        <w:spacing w:after="160" w:line="259" w:lineRule="auto"/>
        <w:rPr>
          <w:color w:val="000000"/>
          <w:sz w:val="22"/>
          <w:szCs w:val="22"/>
        </w:rPr>
      </w:pPr>
    </w:p>
    <w:p w14:paraId="0E3B760D" w14:textId="77777777" w:rsidR="0055165F" w:rsidRDefault="0055165F" w:rsidP="0055165F">
      <w:pPr>
        <w:pStyle w:val="Heading3"/>
        <w:spacing w:before="120"/>
      </w:pPr>
      <w:r>
        <w:t>Workforce capacity and continuing professional development:</w:t>
      </w:r>
    </w:p>
    <w:p w14:paraId="1A2C7CA2" w14:textId="77777777" w:rsidR="0055165F" w:rsidRPr="001F1559" w:rsidRDefault="0055165F" w:rsidP="0055165F">
      <w:pPr>
        <w:pStyle w:val="ListParagraph"/>
        <w:numPr>
          <w:ilvl w:val="0"/>
          <w:numId w:val="5"/>
        </w:numPr>
        <w:pBdr>
          <w:top w:val="nil"/>
          <w:left w:val="nil"/>
          <w:bottom w:val="nil"/>
          <w:right w:val="nil"/>
          <w:between w:val="nil"/>
        </w:pBdr>
        <w:spacing w:line="259" w:lineRule="auto"/>
        <w:rPr>
          <w:sz w:val="22"/>
          <w:szCs w:val="22"/>
        </w:rPr>
      </w:pPr>
      <w:r w:rsidRPr="001F1559">
        <w:rPr>
          <w:color w:val="000000"/>
          <w:sz w:val="22"/>
          <w:szCs w:val="22"/>
        </w:rPr>
        <w:t>Provide mandatory training on gender-responsive health and prevention in different areas of health and wellbeing.</w:t>
      </w:r>
    </w:p>
    <w:p w14:paraId="37B61743" w14:textId="77777777" w:rsidR="0055165F" w:rsidRDefault="0055165F" w:rsidP="0055165F">
      <w:pPr>
        <w:pStyle w:val="ListParagraph"/>
        <w:numPr>
          <w:ilvl w:val="0"/>
          <w:numId w:val="5"/>
        </w:numPr>
        <w:spacing w:after="160" w:line="259" w:lineRule="auto"/>
        <w:rPr>
          <w:sz w:val="22"/>
          <w:szCs w:val="22"/>
        </w:rPr>
      </w:pPr>
      <w:r w:rsidRPr="005C05E0">
        <w:rPr>
          <w:sz w:val="22"/>
          <w:szCs w:val="22"/>
        </w:rPr>
        <w:t>Include gender-responsive approaches to health and prevention in education qualifications and training pathways, including universities, vocational institutions, training bodies and associations.</w:t>
      </w:r>
    </w:p>
    <w:p w14:paraId="5FA738F5" w14:textId="77777777" w:rsidR="0055165F" w:rsidRDefault="0055165F" w:rsidP="0055165F">
      <w:pPr>
        <w:pStyle w:val="ListParagraph"/>
        <w:numPr>
          <w:ilvl w:val="0"/>
          <w:numId w:val="5"/>
        </w:numPr>
        <w:spacing w:after="160" w:line="259" w:lineRule="auto"/>
        <w:rPr>
          <w:sz w:val="22"/>
          <w:szCs w:val="22"/>
        </w:rPr>
      </w:pPr>
      <w:r w:rsidRPr="005C05E0">
        <w:rPr>
          <w:sz w:val="22"/>
          <w:szCs w:val="22"/>
        </w:rPr>
        <w:t>Provide mandatory training on trauma-informed care and vicarious trauma.</w:t>
      </w:r>
    </w:p>
    <w:p w14:paraId="0C3BD572" w14:textId="77777777" w:rsidR="009A4378" w:rsidRPr="009A4378" w:rsidRDefault="009A4378" w:rsidP="009A4378">
      <w:pPr>
        <w:spacing w:after="160" w:line="259" w:lineRule="auto"/>
        <w:rPr>
          <w:sz w:val="22"/>
          <w:szCs w:val="22"/>
        </w:rPr>
      </w:pPr>
    </w:p>
    <w:p w14:paraId="2D41041E" w14:textId="77777777" w:rsidR="0055165F" w:rsidRDefault="0055165F" w:rsidP="0055165F">
      <w:pPr>
        <w:pStyle w:val="Heading3"/>
        <w:spacing w:before="120"/>
      </w:pPr>
      <w:r>
        <w:t>Health and social care settings:</w:t>
      </w:r>
    </w:p>
    <w:p w14:paraId="3247C911" w14:textId="02671A00" w:rsidR="0055165F" w:rsidRPr="001F1559" w:rsidRDefault="0055165F" w:rsidP="0055165F">
      <w:pPr>
        <w:pStyle w:val="ListParagraph"/>
        <w:numPr>
          <w:ilvl w:val="0"/>
          <w:numId w:val="5"/>
        </w:numPr>
        <w:pBdr>
          <w:top w:val="nil"/>
          <w:left w:val="nil"/>
          <w:bottom w:val="nil"/>
          <w:right w:val="nil"/>
          <w:between w:val="nil"/>
        </w:pBdr>
        <w:spacing w:line="259" w:lineRule="auto"/>
        <w:rPr>
          <w:color w:val="000000"/>
          <w:sz w:val="22"/>
          <w:szCs w:val="22"/>
        </w:rPr>
      </w:pPr>
      <w:r w:rsidRPr="001F1559">
        <w:rPr>
          <w:color w:val="000000"/>
          <w:sz w:val="22"/>
          <w:szCs w:val="22"/>
        </w:rPr>
        <w:t>Apply principles of p</w:t>
      </w:r>
      <w:r w:rsidR="00FA4A8A">
        <w:rPr>
          <w:color w:val="000000"/>
          <w:sz w:val="22"/>
          <w:szCs w:val="22"/>
        </w:rPr>
        <w:t>eople</w:t>
      </w:r>
      <w:r w:rsidRPr="001F1559">
        <w:rPr>
          <w:color w:val="000000"/>
          <w:sz w:val="22"/>
          <w:szCs w:val="22"/>
        </w:rPr>
        <w:t>-centred</w:t>
      </w:r>
      <w:r w:rsidR="00FA4A8A">
        <w:rPr>
          <w:color w:val="000000"/>
          <w:sz w:val="22"/>
          <w:szCs w:val="22"/>
        </w:rPr>
        <w:t>,</w:t>
      </w:r>
      <w:r w:rsidRPr="001F1559">
        <w:rPr>
          <w:color w:val="000000"/>
          <w:sz w:val="22"/>
          <w:szCs w:val="22"/>
        </w:rPr>
        <w:t xml:space="preserve"> trauma-informed care, including emotional support, empathy and respect that consider a person’s intersectional gendered experience.</w:t>
      </w:r>
    </w:p>
    <w:p w14:paraId="06F966AC" w14:textId="77777777" w:rsidR="0055165F" w:rsidRPr="001F1559" w:rsidRDefault="0055165F" w:rsidP="0055165F">
      <w:pPr>
        <w:pStyle w:val="ListParagraph"/>
        <w:numPr>
          <w:ilvl w:val="0"/>
          <w:numId w:val="5"/>
        </w:numPr>
        <w:pBdr>
          <w:top w:val="nil"/>
          <w:left w:val="nil"/>
          <w:bottom w:val="nil"/>
          <w:right w:val="nil"/>
          <w:between w:val="nil"/>
        </w:pBdr>
        <w:spacing w:line="259" w:lineRule="auto"/>
        <w:rPr>
          <w:color w:val="000000"/>
          <w:sz w:val="22"/>
          <w:szCs w:val="22"/>
        </w:rPr>
      </w:pPr>
      <w:r w:rsidRPr="001F1559">
        <w:rPr>
          <w:color w:val="000000"/>
          <w:sz w:val="22"/>
          <w:szCs w:val="22"/>
        </w:rPr>
        <w:t>Provide appropriate and accessible health information for everyone, including women from diverse backgrounds, such as in-language, plain English and Easy English resources.</w:t>
      </w:r>
    </w:p>
    <w:p w14:paraId="28E491A1" w14:textId="77777777" w:rsidR="0055165F" w:rsidRPr="001F1559" w:rsidRDefault="0055165F" w:rsidP="0055165F">
      <w:pPr>
        <w:pStyle w:val="ListParagraph"/>
        <w:numPr>
          <w:ilvl w:val="0"/>
          <w:numId w:val="5"/>
        </w:numPr>
        <w:pBdr>
          <w:top w:val="nil"/>
          <w:left w:val="nil"/>
          <w:bottom w:val="nil"/>
          <w:right w:val="nil"/>
          <w:between w:val="nil"/>
        </w:pBdr>
        <w:spacing w:line="259" w:lineRule="auto"/>
        <w:rPr>
          <w:color w:val="000000"/>
          <w:sz w:val="22"/>
          <w:szCs w:val="22"/>
        </w:rPr>
      </w:pPr>
      <w:r w:rsidRPr="001F1559">
        <w:rPr>
          <w:color w:val="000000"/>
          <w:sz w:val="22"/>
          <w:szCs w:val="22"/>
        </w:rPr>
        <w:t>Provide information about referral pathways to specialists, allied health and social supports, particularly for less understood health issues and conditions that disproportionately affect women.</w:t>
      </w:r>
    </w:p>
    <w:p w14:paraId="415C68CA" w14:textId="7CA84789" w:rsidR="006D5623" w:rsidRPr="006D5623" w:rsidRDefault="0055165F" w:rsidP="0055165F">
      <w:pPr>
        <w:pStyle w:val="ListParagraph"/>
        <w:numPr>
          <w:ilvl w:val="0"/>
          <w:numId w:val="5"/>
        </w:numPr>
        <w:pBdr>
          <w:top w:val="nil"/>
          <w:left w:val="nil"/>
          <w:bottom w:val="nil"/>
          <w:right w:val="nil"/>
          <w:between w:val="nil"/>
        </w:pBdr>
        <w:spacing w:after="160" w:line="259" w:lineRule="auto"/>
        <w:rPr>
          <w:sz w:val="22"/>
          <w:szCs w:val="22"/>
        </w:rPr>
      </w:pPr>
      <w:r w:rsidRPr="00C40FEA">
        <w:rPr>
          <w:color w:val="000000"/>
          <w:sz w:val="22"/>
          <w:szCs w:val="22"/>
        </w:rPr>
        <w:t>Employ people from diverse backgrounds</w:t>
      </w:r>
      <w:r w:rsidR="006D5623">
        <w:rPr>
          <w:color w:val="000000"/>
          <w:sz w:val="22"/>
          <w:szCs w:val="22"/>
        </w:rPr>
        <w:t xml:space="preserve"> </w:t>
      </w:r>
      <w:r w:rsidR="006D5623" w:rsidRPr="00C40FEA">
        <w:rPr>
          <w:color w:val="000000"/>
          <w:sz w:val="22"/>
          <w:szCs w:val="22"/>
        </w:rPr>
        <w:t xml:space="preserve">such as women and gender diverse </w:t>
      </w:r>
      <w:r w:rsidR="006D5623">
        <w:rPr>
          <w:color w:val="000000"/>
          <w:sz w:val="22"/>
          <w:szCs w:val="22"/>
        </w:rPr>
        <w:t xml:space="preserve">people, </w:t>
      </w:r>
      <w:r w:rsidR="006D5623" w:rsidRPr="00C40FEA">
        <w:rPr>
          <w:color w:val="000000"/>
          <w:sz w:val="22"/>
          <w:szCs w:val="22"/>
        </w:rPr>
        <w:t>women with disability</w:t>
      </w:r>
      <w:r w:rsidR="006D5623">
        <w:rPr>
          <w:color w:val="000000"/>
          <w:sz w:val="22"/>
          <w:szCs w:val="22"/>
        </w:rPr>
        <w:t xml:space="preserve">, Aboriginal health workers and </w:t>
      </w:r>
      <w:r w:rsidR="006D5623" w:rsidRPr="00C40FEA">
        <w:rPr>
          <w:color w:val="000000"/>
          <w:sz w:val="22"/>
          <w:szCs w:val="22"/>
        </w:rPr>
        <w:t>bilingual health workers</w:t>
      </w:r>
      <w:r w:rsidR="006D5623">
        <w:rPr>
          <w:color w:val="000000"/>
          <w:sz w:val="22"/>
          <w:szCs w:val="22"/>
        </w:rPr>
        <w:t>.</w:t>
      </w:r>
    </w:p>
    <w:p w14:paraId="63B3895B" w14:textId="71259B17" w:rsidR="0055165F" w:rsidRPr="00C40FEA" w:rsidRDefault="006D5623" w:rsidP="0055165F">
      <w:pPr>
        <w:pStyle w:val="ListParagraph"/>
        <w:numPr>
          <w:ilvl w:val="0"/>
          <w:numId w:val="5"/>
        </w:numPr>
        <w:pBdr>
          <w:top w:val="nil"/>
          <w:left w:val="nil"/>
          <w:bottom w:val="nil"/>
          <w:right w:val="nil"/>
          <w:between w:val="nil"/>
        </w:pBdr>
        <w:spacing w:after="160" w:line="259" w:lineRule="auto"/>
        <w:rPr>
          <w:sz w:val="22"/>
          <w:szCs w:val="22"/>
        </w:rPr>
      </w:pPr>
      <w:r>
        <w:rPr>
          <w:color w:val="000000"/>
          <w:sz w:val="22"/>
          <w:szCs w:val="22"/>
        </w:rPr>
        <w:t>C</w:t>
      </w:r>
      <w:r w:rsidR="0055165F" w:rsidRPr="00C40FEA">
        <w:rPr>
          <w:color w:val="000000"/>
          <w:sz w:val="22"/>
          <w:szCs w:val="22"/>
        </w:rPr>
        <w:t>onnect with community</w:t>
      </w:r>
      <w:r>
        <w:rPr>
          <w:color w:val="000000"/>
          <w:sz w:val="22"/>
          <w:szCs w:val="22"/>
        </w:rPr>
        <w:t>-controlled</w:t>
      </w:r>
      <w:r w:rsidR="0055165F" w:rsidRPr="00C40FEA">
        <w:rPr>
          <w:color w:val="000000"/>
          <w:sz w:val="22"/>
          <w:szCs w:val="22"/>
        </w:rPr>
        <w:t xml:space="preserve"> organisations to provide holistic support, </w:t>
      </w:r>
      <w:r>
        <w:rPr>
          <w:color w:val="000000"/>
          <w:sz w:val="22"/>
          <w:szCs w:val="22"/>
        </w:rPr>
        <w:t>including women’s led services and Aboriginal Community Controlled Health Services (ACCHS).</w:t>
      </w:r>
    </w:p>
    <w:p w14:paraId="79A946EA" w14:textId="77777777" w:rsidR="0055165F" w:rsidRPr="009A4378" w:rsidRDefault="0055165F" w:rsidP="0055165F">
      <w:pPr>
        <w:pStyle w:val="ListParagraph"/>
        <w:numPr>
          <w:ilvl w:val="0"/>
          <w:numId w:val="5"/>
        </w:numPr>
        <w:pBdr>
          <w:top w:val="nil"/>
          <w:left w:val="nil"/>
          <w:bottom w:val="nil"/>
          <w:right w:val="nil"/>
          <w:between w:val="nil"/>
        </w:pBdr>
        <w:spacing w:after="160" w:line="259" w:lineRule="auto"/>
        <w:rPr>
          <w:sz w:val="22"/>
          <w:szCs w:val="22"/>
        </w:rPr>
      </w:pPr>
      <w:r w:rsidRPr="00C40FEA">
        <w:rPr>
          <w:color w:val="000000"/>
          <w:sz w:val="22"/>
          <w:szCs w:val="22"/>
        </w:rPr>
        <w:t>Co-design services with health consumers and people of all genders, backgrounds and abilities with lived experience.</w:t>
      </w:r>
    </w:p>
    <w:p w14:paraId="10055F19" w14:textId="77777777" w:rsidR="009A4378" w:rsidRPr="009A4378" w:rsidRDefault="009A4378" w:rsidP="009A4378">
      <w:pPr>
        <w:pBdr>
          <w:top w:val="nil"/>
          <w:left w:val="nil"/>
          <w:bottom w:val="nil"/>
          <w:right w:val="nil"/>
          <w:between w:val="nil"/>
        </w:pBdr>
        <w:spacing w:after="160" w:line="259" w:lineRule="auto"/>
        <w:rPr>
          <w:sz w:val="22"/>
          <w:szCs w:val="22"/>
        </w:rPr>
      </w:pPr>
    </w:p>
    <w:p w14:paraId="6E127D8F" w14:textId="77777777" w:rsidR="0055165F" w:rsidRPr="001F1559" w:rsidRDefault="0055165F" w:rsidP="0055165F">
      <w:pPr>
        <w:pStyle w:val="Heading3"/>
      </w:pPr>
      <w:r>
        <w:t>Workplaces:</w:t>
      </w:r>
    </w:p>
    <w:p w14:paraId="5667CF35" w14:textId="77777777" w:rsidR="0055165F" w:rsidRPr="001F1559" w:rsidRDefault="0055165F" w:rsidP="0055165F">
      <w:pPr>
        <w:pStyle w:val="ListParagraph"/>
        <w:numPr>
          <w:ilvl w:val="0"/>
          <w:numId w:val="5"/>
        </w:numPr>
        <w:pBdr>
          <w:top w:val="nil"/>
          <w:left w:val="nil"/>
          <w:bottom w:val="nil"/>
          <w:right w:val="nil"/>
          <w:between w:val="nil"/>
        </w:pBdr>
        <w:spacing w:line="259" w:lineRule="auto"/>
        <w:rPr>
          <w:color w:val="000000"/>
          <w:sz w:val="22"/>
          <w:szCs w:val="22"/>
        </w:rPr>
      </w:pPr>
      <w:r w:rsidRPr="001F1559">
        <w:rPr>
          <w:color w:val="000000"/>
          <w:sz w:val="22"/>
          <w:szCs w:val="22"/>
        </w:rPr>
        <w:t xml:space="preserve">Implement gender-responsive policies to support employee health and participation, for example, reproductive health leave, domestic and family violence leave, carers leave, disability accommodation plans etc. </w:t>
      </w:r>
    </w:p>
    <w:p w14:paraId="7F875B70" w14:textId="77777777" w:rsidR="0055165F" w:rsidRPr="0055165F" w:rsidRDefault="0055165F" w:rsidP="0055165F">
      <w:pPr>
        <w:pStyle w:val="ListParagraph"/>
        <w:numPr>
          <w:ilvl w:val="0"/>
          <w:numId w:val="5"/>
        </w:numPr>
        <w:pBdr>
          <w:top w:val="nil"/>
          <w:left w:val="nil"/>
          <w:bottom w:val="nil"/>
          <w:right w:val="nil"/>
          <w:between w:val="nil"/>
        </w:pBdr>
        <w:spacing w:after="160" w:line="259" w:lineRule="auto"/>
        <w:rPr>
          <w:sz w:val="22"/>
          <w:szCs w:val="22"/>
        </w:rPr>
      </w:pPr>
      <w:r w:rsidRPr="0055165F">
        <w:rPr>
          <w:color w:val="000000"/>
          <w:sz w:val="22"/>
          <w:szCs w:val="22"/>
        </w:rPr>
        <w:t>Implement policies that improve access to affordable health care for casual workers, including in industries with workforces disproportionately made up of women.</w:t>
      </w:r>
    </w:p>
    <w:p w14:paraId="0B59C732" w14:textId="3377370A" w:rsidR="0055165F" w:rsidRPr="0055165F" w:rsidRDefault="0055165F" w:rsidP="0055165F">
      <w:pPr>
        <w:pStyle w:val="ListParagraph"/>
        <w:numPr>
          <w:ilvl w:val="0"/>
          <w:numId w:val="5"/>
        </w:numPr>
        <w:pBdr>
          <w:top w:val="nil"/>
          <w:left w:val="nil"/>
          <w:bottom w:val="nil"/>
          <w:right w:val="nil"/>
          <w:between w:val="nil"/>
        </w:pBdr>
        <w:spacing w:after="160" w:line="259" w:lineRule="auto"/>
        <w:rPr>
          <w:sz w:val="22"/>
          <w:szCs w:val="22"/>
        </w:rPr>
      </w:pPr>
      <w:r w:rsidRPr="0055165F">
        <w:rPr>
          <w:color w:val="000000"/>
          <w:sz w:val="22"/>
          <w:szCs w:val="22"/>
        </w:rPr>
        <w:t>Implement workforce strategies that value and support employees’ care work and responsibilities.</w:t>
      </w:r>
    </w:p>
    <w:p w14:paraId="0F077559" w14:textId="77777777" w:rsidR="0055165F" w:rsidRDefault="0055165F">
      <w:pPr>
        <w:rPr>
          <w:rFonts w:ascii="Rubik regular" w:hAnsi="Rubik regular"/>
          <w:color w:val="6F1A82"/>
          <w:sz w:val="24"/>
          <w:szCs w:val="28"/>
        </w:rPr>
      </w:pPr>
      <w:r>
        <w:br w:type="page"/>
      </w:r>
    </w:p>
    <w:p w14:paraId="3C4AF2AD" w14:textId="41204BC4" w:rsidR="0055165F" w:rsidRDefault="0055165F" w:rsidP="0055165F">
      <w:pPr>
        <w:pStyle w:val="Heading3"/>
      </w:pPr>
      <w:r>
        <w:lastRenderedPageBreak/>
        <w:t>Public policy:</w:t>
      </w:r>
    </w:p>
    <w:p w14:paraId="224C9F4E" w14:textId="77777777" w:rsidR="0055165F" w:rsidRPr="001F1559" w:rsidRDefault="0055165F" w:rsidP="0055165F">
      <w:pPr>
        <w:pStyle w:val="ListParagraph"/>
        <w:numPr>
          <w:ilvl w:val="0"/>
          <w:numId w:val="5"/>
        </w:numPr>
        <w:pBdr>
          <w:top w:val="nil"/>
          <w:left w:val="nil"/>
          <w:bottom w:val="nil"/>
          <w:right w:val="nil"/>
          <w:between w:val="nil"/>
        </w:pBdr>
        <w:spacing w:line="259" w:lineRule="auto"/>
        <w:rPr>
          <w:color w:val="000000"/>
          <w:sz w:val="22"/>
          <w:szCs w:val="22"/>
        </w:rPr>
      </w:pPr>
      <w:r w:rsidRPr="001F1559">
        <w:rPr>
          <w:color w:val="000000"/>
          <w:sz w:val="22"/>
          <w:szCs w:val="22"/>
        </w:rPr>
        <w:t>Improve access to culturally responsive, appropriate, affordable care for people on temporary visas</w:t>
      </w:r>
      <w:r>
        <w:rPr>
          <w:color w:val="000000"/>
          <w:sz w:val="22"/>
          <w:szCs w:val="22"/>
        </w:rPr>
        <w:t>, including addressing gendered barriers that disproportionately impact migrant and refugee women.</w:t>
      </w:r>
    </w:p>
    <w:p w14:paraId="70883F9C" w14:textId="77777777" w:rsidR="0055165F" w:rsidRPr="001F1559" w:rsidRDefault="0055165F" w:rsidP="0055165F">
      <w:pPr>
        <w:pStyle w:val="ListParagraph"/>
        <w:numPr>
          <w:ilvl w:val="0"/>
          <w:numId w:val="5"/>
        </w:numPr>
        <w:pBdr>
          <w:top w:val="nil"/>
          <w:left w:val="nil"/>
          <w:bottom w:val="nil"/>
          <w:right w:val="nil"/>
          <w:between w:val="nil"/>
        </w:pBdr>
        <w:spacing w:line="259" w:lineRule="auto"/>
        <w:rPr>
          <w:color w:val="000000"/>
          <w:sz w:val="22"/>
          <w:szCs w:val="22"/>
        </w:rPr>
      </w:pPr>
      <w:r w:rsidRPr="001F1559">
        <w:rPr>
          <w:color w:val="000000"/>
          <w:sz w:val="22"/>
          <w:szCs w:val="22"/>
        </w:rPr>
        <w:t>Invest in the multilingual health workforce</w:t>
      </w:r>
      <w:r>
        <w:rPr>
          <w:color w:val="000000"/>
          <w:sz w:val="22"/>
          <w:szCs w:val="22"/>
        </w:rPr>
        <w:t>, considering the roles of women and men to address health inequity and share credible health information in their communities</w:t>
      </w:r>
      <w:r w:rsidRPr="001F1559">
        <w:rPr>
          <w:color w:val="000000"/>
          <w:sz w:val="22"/>
          <w:szCs w:val="22"/>
        </w:rPr>
        <w:t xml:space="preserve">. </w:t>
      </w:r>
    </w:p>
    <w:p w14:paraId="55D135B5" w14:textId="77777777" w:rsidR="0055165F" w:rsidRPr="0055165F" w:rsidRDefault="0055165F" w:rsidP="0055165F">
      <w:pPr>
        <w:pStyle w:val="ListParagraph"/>
        <w:numPr>
          <w:ilvl w:val="0"/>
          <w:numId w:val="5"/>
        </w:numPr>
        <w:pBdr>
          <w:top w:val="nil"/>
          <w:left w:val="nil"/>
          <w:bottom w:val="nil"/>
          <w:right w:val="nil"/>
          <w:between w:val="nil"/>
        </w:pBdr>
        <w:spacing w:after="160" w:line="259" w:lineRule="auto"/>
        <w:rPr>
          <w:sz w:val="22"/>
          <w:szCs w:val="22"/>
        </w:rPr>
      </w:pPr>
      <w:r w:rsidRPr="0055165F">
        <w:rPr>
          <w:color w:val="000000"/>
          <w:sz w:val="22"/>
          <w:szCs w:val="22"/>
        </w:rPr>
        <w:t xml:space="preserve">Ensure lived experience is </w:t>
      </w:r>
      <w:r w:rsidRPr="0055165F">
        <w:rPr>
          <w:sz w:val="22"/>
          <w:szCs w:val="22"/>
        </w:rPr>
        <w:t>embedded</w:t>
      </w:r>
      <w:r w:rsidRPr="0055165F">
        <w:rPr>
          <w:color w:val="000000"/>
          <w:sz w:val="22"/>
          <w:szCs w:val="22"/>
        </w:rPr>
        <w:t xml:space="preserve"> in the development and review of policies, including women and gender diverse people from priority populations.</w:t>
      </w:r>
    </w:p>
    <w:p w14:paraId="2F858814" w14:textId="06005533" w:rsidR="0055165F" w:rsidRDefault="0055165F" w:rsidP="0055165F">
      <w:pPr>
        <w:pStyle w:val="ListParagraph"/>
        <w:numPr>
          <w:ilvl w:val="0"/>
          <w:numId w:val="5"/>
        </w:numPr>
        <w:pBdr>
          <w:top w:val="nil"/>
          <w:left w:val="nil"/>
          <w:bottom w:val="nil"/>
          <w:right w:val="nil"/>
          <w:between w:val="nil"/>
        </w:pBdr>
        <w:spacing w:after="160" w:line="259" w:lineRule="auto"/>
        <w:rPr>
          <w:sz w:val="22"/>
          <w:szCs w:val="22"/>
        </w:rPr>
      </w:pPr>
      <w:r w:rsidRPr="0055165F">
        <w:rPr>
          <w:sz w:val="22"/>
          <w:szCs w:val="22"/>
        </w:rPr>
        <w:t>Include gender disaggregated measures when evaluating the effectiveness of prevention actions and health reforms.</w:t>
      </w:r>
    </w:p>
    <w:p w14:paraId="231159C8" w14:textId="77777777" w:rsidR="009A4378" w:rsidRPr="009A4378" w:rsidRDefault="009A4378" w:rsidP="009A4378">
      <w:pPr>
        <w:pBdr>
          <w:top w:val="nil"/>
          <w:left w:val="nil"/>
          <w:bottom w:val="nil"/>
          <w:right w:val="nil"/>
          <w:between w:val="nil"/>
        </w:pBdr>
        <w:spacing w:after="160" w:line="259" w:lineRule="auto"/>
        <w:rPr>
          <w:sz w:val="22"/>
          <w:szCs w:val="22"/>
        </w:rPr>
      </w:pPr>
    </w:p>
    <w:p w14:paraId="5BADA999" w14:textId="77777777" w:rsidR="0055165F" w:rsidRDefault="0055165F" w:rsidP="0055165F">
      <w:pPr>
        <w:pStyle w:val="Heading3"/>
      </w:pPr>
      <w:r>
        <w:t>Research:</w:t>
      </w:r>
    </w:p>
    <w:p w14:paraId="47DD2A2C" w14:textId="77777777" w:rsidR="00722628" w:rsidRPr="00722628" w:rsidRDefault="00722628" w:rsidP="0055165F">
      <w:pPr>
        <w:pStyle w:val="ListParagraph"/>
        <w:numPr>
          <w:ilvl w:val="0"/>
          <w:numId w:val="5"/>
        </w:numPr>
        <w:pBdr>
          <w:top w:val="nil"/>
          <w:left w:val="nil"/>
          <w:bottom w:val="nil"/>
          <w:right w:val="nil"/>
          <w:between w:val="nil"/>
        </w:pBdr>
        <w:spacing w:after="160" w:line="259" w:lineRule="auto"/>
        <w:rPr>
          <w:sz w:val="22"/>
          <w:szCs w:val="22"/>
        </w:rPr>
      </w:pPr>
      <w:r>
        <w:rPr>
          <w:color w:val="000000"/>
          <w:sz w:val="22"/>
          <w:szCs w:val="22"/>
        </w:rPr>
        <w:t xml:space="preserve">Invest </w:t>
      </w:r>
      <w:r w:rsidRPr="001F1559">
        <w:rPr>
          <w:color w:val="000000"/>
          <w:sz w:val="22"/>
          <w:szCs w:val="22"/>
        </w:rPr>
        <w:t xml:space="preserve">in </w:t>
      </w:r>
      <w:r>
        <w:rPr>
          <w:color w:val="000000"/>
          <w:sz w:val="22"/>
          <w:szCs w:val="22"/>
        </w:rPr>
        <w:t xml:space="preserve">and conduct more </w:t>
      </w:r>
      <w:r w:rsidRPr="001F1559">
        <w:rPr>
          <w:color w:val="000000"/>
          <w:sz w:val="22"/>
          <w:szCs w:val="22"/>
        </w:rPr>
        <w:t>gender equitable investigation</w:t>
      </w:r>
      <w:r>
        <w:rPr>
          <w:color w:val="000000"/>
          <w:sz w:val="22"/>
          <w:szCs w:val="22"/>
        </w:rPr>
        <w:t>s</w:t>
      </w:r>
      <w:r w:rsidRPr="001F1559">
        <w:rPr>
          <w:color w:val="000000"/>
          <w:sz w:val="22"/>
          <w:szCs w:val="22"/>
        </w:rPr>
        <w:t xml:space="preserve"> of health issues.</w:t>
      </w:r>
    </w:p>
    <w:p w14:paraId="19E2F5E0" w14:textId="29EB6DB9" w:rsidR="0055165F" w:rsidRPr="0055165F" w:rsidRDefault="0055165F" w:rsidP="0055165F">
      <w:pPr>
        <w:pStyle w:val="ListParagraph"/>
        <w:numPr>
          <w:ilvl w:val="0"/>
          <w:numId w:val="5"/>
        </w:numPr>
        <w:pBdr>
          <w:top w:val="nil"/>
          <w:left w:val="nil"/>
          <w:bottom w:val="nil"/>
          <w:right w:val="nil"/>
          <w:between w:val="nil"/>
        </w:pBdr>
        <w:spacing w:after="160" w:line="259" w:lineRule="auto"/>
        <w:rPr>
          <w:sz w:val="22"/>
          <w:szCs w:val="22"/>
        </w:rPr>
      </w:pPr>
      <w:r w:rsidRPr="0055165F">
        <w:rPr>
          <w:color w:val="000000"/>
          <w:sz w:val="22"/>
          <w:szCs w:val="22"/>
        </w:rPr>
        <w:t xml:space="preserve">Include women and gender diverse people in co-design of research. </w:t>
      </w:r>
    </w:p>
    <w:p w14:paraId="7C0CC821" w14:textId="5EE53303" w:rsidR="0055165F" w:rsidRPr="009A4378" w:rsidRDefault="0055165F" w:rsidP="0055165F">
      <w:pPr>
        <w:pStyle w:val="ListParagraph"/>
        <w:numPr>
          <w:ilvl w:val="0"/>
          <w:numId w:val="5"/>
        </w:numPr>
        <w:pBdr>
          <w:top w:val="nil"/>
          <w:left w:val="nil"/>
          <w:bottom w:val="nil"/>
          <w:right w:val="nil"/>
          <w:between w:val="nil"/>
        </w:pBdr>
        <w:spacing w:after="160" w:line="259" w:lineRule="auto"/>
        <w:rPr>
          <w:sz w:val="22"/>
          <w:szCs w:val="22"/>
        </w:rPr>
      </w:pPr>
      <w:r w:rsidRPr="0055165F">
        <w:rPr>
          <w:color w:val="000000"/>
          <w:sz w:val="22"/>
          <w:szCs w:val="22"/>
        </w:rPr>
        <w:t>Incorporate sex and gender at every stage of the research process, including conceptualisation, design, data collection and analysis, reporting and implications for future research.</w:t>
      </w:r>
    </w:p>
    <w:p w14:paraId="50831A69" w14:textId="77777777" w:rsidR="009A4378" w:rsidRPr="009A4378" w:rsidRDefault="009A4378" w:rsidP="009A4378">
      <w:pPr>
        <w:pBdr>
          <w:top w:val="nil"/>
          <w:left w:val="nil"/>
          <w:bottom w:val="nil"/>
          <w:right w:val="nil"/>
          <w:between w:val="nil"/>
        </w:pBdr>
        <w:spacing w:after="160" w:line="259" w:lineRule="auto"/>
        <w:rPr>
          <w:sz w:val="22"/>
          <w:szCs w:val="22"/>
        </w:rPr>
      </w:pPr>
    </w:p>
    <w:p w14:paraId="0E5015F6" w14:textId="77777777" w:rsidR="0055165F" w:rsidRDefault="0055165F" w:rsidP="0055165F">
      <w:pPr>
        <w:pStyle w:val="Heading3"/>
      </w:pPr>
      <w:r>
        <w:t>Feedback, evaluation and continuous improvement:</w:t>
      </w:r>
    </w:p>
    <w:p w14:paraId="316737C3" w14:textId="77777777" w:rsidR="0055165F" w:rsidRPr="001F1559" w:rsidRDefault="0055165F" w:rsidP="0055165F">
      <w:pPr>
        <w:pStyle w:val="ListParagraph"/>
        <w:numPr>
          <w:ilvl w:val="0"/>
          <w:numId w:val="5"/>
        </w:numPr>
        <w:spacing w:line="259" w:lineRule="auto"/>
        <w:rPr>
          <w:color w:val="000000"/>
          <w:sz w:val="22"/>
          <w:szCs w:val="22"/>
        </w:rPr>
      </w:pPr>
      <w:r w:rsidRPr="001F1559">
        <w:rPr>
          <w:color w:val="000000"/>
          <w:sz w:val="22"/>
          <w:szCs w:val="22"/>
        </w:rPr>
        <w:t>Ensure there are mechanisms to provide feedback about the quality of gender-responsive approaches.</w:t>
      </w:r>
    </w:p>
    <w:p w14:paraId="72E47318" w14:textId="77777777" w:rsidR="0055165F" w:rsidRPr="0055165F" w:rsidRDefault="0055165F" w:rsidP="0055165F">
      <w:pPr>
        <w:pStyle w:val="ListParagraph"/>
        <w:numPr>
          <w:ilvl w:val="0"/>
          <w:numId w:val="5"/>
        </w:numPr>
        <w:spacing w:after="160" w:line="259" w:lineRule="auto"/>
        <w:rPr>
          <w:sz w:val="22"/>
          <w:szCs w:val="22"/>
        </w:rPr>
      </w:pPr>
      <w:r w:rsidRPr="001F1559">
        <w:rPr>
          <w:color w:val="000000"/>
          <w:sz w:val="22"/>
          <w:szCs w:val="22"/>
        </w:rPr>
        <w:t>Include budget and time to perform regular gender-responsive monitoring and evaluation of programs and service delivery.</w:t>
      </w:r>
    </w:p>
    <w:p w14:paraId="068F0937" w14:textId="4F6F10CD" w:rsidR="0055165F" w:rsidRDefault="0055165F" w:rsidP="0055165F">
      <w:pPr>
        <w:pStyle w:val="ListParagraph"/>
        <w:numPr>
          <w:ilvl w:val="0"/>
          <w:numId w:val="5"/>
        </w:numPr>
        <w:spacing w:after="160" w:line="259" w:lineRule="auto"/>
        <w:rPr>
          <w:sz w:val="22"/>
          <w:szCs w:val="22"/>
        </w:rPr>
      </w:pPr>
      <w:r w:rsidRPr="0055165F">
        <w:rPr>
          <w:sz w:val="22"/>
          <w:szCs w:val="22"/>
        </w:rPr>
        <w:t>Collect data on sex and gender in a sensitive and trauma-informed way. Analyse gender disaggregated data to inform continuous improvement of programs and services.</w:t>
      </w:r>
    </w:p>
    <w:p w14:paraId="3057AA7A" w14:textId="77777777" w:rsidR="00FD516B" w:rsidRDefault="00FD516B" w:rsidP="00FD516B">
      <w:pPr>
        <w:pStyle w:val="ListParagraph"/>
        <w:spacing w:after="160" w:line="259" w:lineRule="auto"/>
        <w:rPr>
          <w:sz w:val="22"/>
          <w:szCs w:val="22"/>
        </w:rPr>
      </w:pPr>
    </w:p>
    <w:tbl>
      <w:tblPr>
        <w:tblStyle w:val="TableGrid"/>
        <w:tblW w:w="0" w:type="auto"/>
        <w:tblLook w:val="04A0" w:firstRow="1" w:lastRow="0" w:firstColumn="1" w:lastColumn="0" w:noHBand="0" w:noVBand="1"/>
      </w:tblPr>
      <w:tblGrid>
        <w:gridCol w:w="9065"/>
      </w:tblGrid>
      <w:tr w:rsidR="00D318B9" w14:paraId="6FEFAE4B" w14:textId="77777777" w:rsidTr="00D318B9">
        <w:tc>
          <w:tcPr>
            <w:tcW w:w="9065" w:type="dxa"/>
          </w:tcPr>
          <w:p w14:paraId="44023E2F" w14:textId="24ADF4F5" w:rsidR="00D318B9" w:rsidRDefault="00D318B9" w:rsidP="00D318B9">
            <w:pPr>
              <w:pStyle w:val="Heading3"/>
              <w:spacing w:before="120"/>
            </w:pPr>
            <w:r>
              <w:t>Notes</w:t>
            </w:r>
          </w:p>
          <w:p w14:paraId="09F8F7DE" w14:textId="77777777" w:rsidR="00FD516B" w:rsidRDefault="00FD516B" w:rsidP="00475721">
            <w:pPr>
              <w:pStyle w:val="ListParagraph"/>
              <w:numPr>
                <w:ilvl w:val="0"/>
                <w:numId w:val="6"/>
              </w:numPr>
              <w:spacing w:after="160" w:line="259" w:lineRule="auto"/>
              <w:rPr>
                <w:b/>
                <w:bCs/>
                <w:sz w:val="22"/>
                <w:szCs w:val="22"/>
              </w:rPr>
            </w:pPr>
            <w:r w:rsidRPr="00475721">
              <w:rPr>
                <w:b/>
                <w:bCs/>
                <w:sz w:val="22"/>
                <w:szCs w:val="22"/>
              </w:rPr>
              <w:t>Which actions may be relevant to your context, organisation or community?</w:t>
            </w:r>
          </w:p>
          <w:p w14:paraId="078C34C5" w14:textId="77777777" w:rsidR="00475721" w:rsidRPr="00475721" w:rsidRDefault="00475721" w:rsidP="00475721">
            <w:pPr>
              <w:pStyle w:val="ListParagraph"/>
              <w:spacing w:after="160" w:line="259" w:lineRule="auto"/>
              <w:rPr>
                <w:b/>
                <w:bCs/>
                <w:sz w:val="22"/>
                <w:szCs w:val="22"/>
              </w:rPr>
            </w:pPr>
          </w:p>
          <w:p w14:paraId="3B71ECE4" w14:textId="77777777" w:rsidR="00FD516B" w:rsidRDefault="00FD516B" w:rsidP="00475721">
            <w:pPr>
              <w:pStyle w:val="ListParagraph"/>
              <w:numPr>
                <w:ilvl w:val="0"/>
                <w:numId w:val="6"/>
              </w:numPr>
              <w:spacing w:after="160" w:line="259" w:lineRule="auto"/>
              <w:rPr>
                <w:b/>
                <w:bCs/>
                <w:sz w:val="22"/>
                <w:szCs w:val="22"/>
              </w:rPr>
            </w:pPr>
            <w:r w:rsidRPr="00475721">
              <w:rPr>
                <w:b/>
                <w:bCs/>
                <w:sz w:val="22"/>
                <w:szCs w:val="22"/>
              </w:rPr>
              <w:t>What could help support these actions (if they are not already being done)?</w:t>
            </w:r>
          </w:p>
          <w:p w14:paraId="3BD4806D" w14:textId="77777777" w:rsidR="00475721" w:rsidRPr="00475721" w:rsidRDefault="00475721" w:rsidP="00475721">
            <w:pPr>
              <w:pStyle w:val="ListParagraph"/>
              <w:rPr>
                <w:b/>
                <w:bCs/>
                <w:sz w:val="22"/>
                <w:szCs w:val="22"/>
              </w:rPr>
            </w:pPr>
          </w:p>
          <w:p w14:paraId="6FAFF5E6" w14:textId="77777777" w:rsidR="00475721" w:rsidRDefault="00FD516B" w:rsidP="00475721">
            <w:pPr>
              <w:pStyle w:val="ListParagraph"/>
              <w:numPr>
                <w:ilvl w:val="0"/>
                <w:numId w:val="6"/>
              </w:numPr>
              <w:spacing w:after="160" w:line="259" w:lineRule="auto"/>
              <w:rPr>
                <w:b/>
                <w:bCs/>
                <w:sz w:val="22"/>
                <w:szCs w:val="22"/>
              </w:rPr>
            </w:pPr>
            <w:r w:rsidRPr="00475721">
              <w:rPr>
                <w:b/>
                <w:bCs/>
                <w:sz w:val="22"/>
                <w:szCs w:val="22"/>
              </w:rPr>
              <w:t>What actions could be taken by your organisation, group, community or local, state/territory or Federal Government?</w:t>
            </w:r>
          </w:p>
          <w:p w14:paraId="469C2978" w14:textId="0313E176" w:rsidR="00475721" w:rsidRPr="00475721" w:rsidRDefault="00475721" w:rsidP="00475721">
            <w:pPr>
              <w:spacing w:after="160" w:line="259" w:lineRule="auto"/>
              <w:rPr>
                <w:b/>
                <w:bCs/>
                <w:sz w:val="22"/>
                <w:szCs w:val="22"/>
              </w:rPr>
            </w:pPr>
          </w:p>
        </w:tc>
      </w:tr>
    </w:tbl>
    <w:p w14:paraId="182346DA" w14:textId="77777777" w:rsidR="00475721" w:rsidRDefault="00475721" w:rsidP="00413166">
      <w:pPr>
        <w:rPr>
          <w:color w:val="000000"/>
          <w:sz w:val="22"/>
          <w:szCs w:val="22"/>
        </w:rPr>
      </w:pPr>
      <w:bookmarkStart w:id="1" w:name="_w8pe7jwkws39" w:colFirst="0" w:colLast="0"/>
      <w:bookmarkStart w:id="2" w:name="_x08bk2744mac" w:colFirst="0" w:colLast="0"/>
      <w:bookmarkStart w:id="3" w:name="_1r2q62wcngoy" w:colFirst="0" w:colLast="0"/>
      <w:bookmarkEnd w:id="1"/>
      <w:bookmarkEnd w:id="2"/>
      <w:bookmarkEnd w:id="3"/>
    </w:p>
    <w:p w14:paraId="6799F9A1" w14:textId="7E5EDBCD" w:rsidR="008F25C6" w:rsidRDefault="00DE1A3D" w:rsidP="00413166">
      <w:pPr>
        <w:rPr>
          <w:color w:val="000000"/>
          <w:sz w:val="22"/>
          <w:szCs w:val="22"/>
        </w:rPr>
      </w:pPr>
      <w:r>
        <w:rPr>
          <w:color w:val="000000"/>
          <w:sz w:val="22"/>
          <w:szCs w:val="22"/>
        </w:rPr>
        <w:t xml:space="preserve">This resource is from the </w:t>
      </w:r>
      <w:r w:rsidR="00F73583">
        <w:rPr>
          <w:color w:val="000000"/>
          <w:sz w:val="22"/>
          <w:szCs w:val="22"/>
        </w:rPr>
        <w:t>‘Introduction to Gender-Responsive Health’ e-learning course</w:t>
      </w:r>
      <w:r>
        <w:rPr>
          <w:color w:val="000000"/>
          <w:sz w:val="22"/>
          <w:szCs w:val="22"/>
        </w:rPr>
        <w:t xml:space="preserve"> by Australian Women’s Health Alliance. Visit </w:t>
      </w:r>
      <w:hyperlink r:id="rId11" w:history="1">
        <w:r w:rsidRPr="003B4E93">
          <w:rPr>
            <w:rStyle w:val="Hyperlink"/>
            <w:sz w:val="22"/>
            <w:szCs w:val="22"/>
          </w:rPr>
          <w:t>AustralianWomensHealth.org/</w:t>
        </w:r>
        <w:r w:rsidR="00A16890" w:rsidRPr="003B4E93">
          <w:rPr>
            <w:rStyle w:val="Hyperlink"/>
            <w:sz w:val="22"/>
            <w:szCs w:val="22"/>
          </w:rPr>
          <w:t>prevention-in-practice</w:t>
        </w:r>
      </w:hyperlink>
      <w:r w:rsidR="009A4378">
        <w:rPr>
          <w:color w:val="000000"/>
          <w:sz w:val="22"/>
          <w:szCs w:val="22"/>
        </w:rPr>
        <w:t xml:space="preserve"> to learn more</w:t>
      </w:r>
      <w:r w:rsidR="003B4E93">
        <w:rPr>
          <w:color w:val="000000"/>
          <w:sz w:val="22"/>
          <w:szCs w:val="22"/>
        </w:rPr>
        <w:t>.</w:t>
      </w:r>
      <w:r w:rsidR="00A16890">
        <w:rPr>
          <w:color w:val="000000"/>
          <w:sz w:val="22"/>
          <w:szCs w:val="22"/>
        </w:rPr>
        <w:t xml:space="preserve"> </w:t>
      </w:r>
    </w:p>
    <w:p w14:paraId="737EFFE8" w14:textId="77777777" w:rsidR="00475721" w:rsidRDefault="00475721" w:rsidP="00413166">
      <w:pPr>
        <w:rPr>
          <w:color w:val="000000"/>
          <w:sz w:val="22"/>
          <w:szCs w:val="22"/>
        </w:rPr>
      </w:pPr>
    </w:p>
    <w:p w14:paraId="4EB7E5E2" w14:textId="1C61EAF2" w:rsidR="003B4E93" w:rsidRPr="00FD516B" w:rsidRDefault="00FD516B" w:rsidP="00413166">
      <w:pPr>
        <w:rPr>
          <w:rFonts w:asciiTheme="majorHAnsi" w:eastAsia="Rubik" w:hAnsiTheme="majorHAnsi" w:cstheme="majorHAnsi"/>
          <w:color w:val="5A006F"/>
          <w:sz w:val="22"/>
          <w:szCs w:val="22"/>
        </w:rPr>
      </w:pPr>
      <w:r>
        <w:rPr>
          <w:color w:val="000000"/>
          <w:sz w:val="22"/>
          <w:szCs w:val="22"/>
        </w:rPr>
        <w:t>Last updated September 2024</w:t>
      </w:r>
    </w:p>
    <w:sectPr w:rsidR="003B4E93" w:rsidRPr="00FD516B" w:rsidSect="00305C74">
      <w:headerReference w:type="default" r:id="rId12"/>
      <w:footerReference w:type="default" r:id="rId13"/>
      <w:headerReference w:type="first" r:id="rId14"/>
      <w:footerReference w:type="first" r:id="rId15"/>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E578" w14:textId="77777777" w:rsidR="00DA779F" w:rsidRDefault="00DA779F">
      <w:pPr>
        <w:spacing w:line="240" w:lineRule="auto"/>
      </w:pPr>
      <w:r>
        <w:separator/>
      </w:r>
    </w:p>
  </w:endnote>
  <w:endnote w:type="continuationSeparator" w:id="0">
    <w:p w14:paraId="550DA920" w14:textId="77777777" w:rsidR="00DA779F" w:rsidRDefault="00DA7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ubik regular">
    <w:panose1 w:val="00000000000000000000"/>
    <w:charset w:val="00"/>
    <w:family w:val="roman"/>
    <w:notTrueType/>
    <w:pitch w:val="default"/>
  </w:font>
  <w:font w:name="Rubik">
    <w:altName w:val="Calibri"/>
    <w:panose1 w:val="00000000000000000000"/>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 w:name="Rubik Medium">
    <w:panose1 w:val="00000000000000000000"/>
    <w:charset w:val="00"/>
    <w:family w:val="auto"/>
    <w:pitch w:val="variable"/>
    <w:sig w:usb0="A0002A6F" w:usb1="C000205B" w:usb2="00000000" w:usb3="00000000" w:csb0="000000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EE39" w14:textId="77777777" w:rsidR="008F25C6" w:rsidRDefault="006A143E">
    <w:pPr>
      <w:jc w:val="right"/>
      <w:rPr>
        <w:color w:val="000000"/>
      </w:rPr>
    </w:pPr>
    <w:r>
      <w:rPr>
        <w:noProof/>
      </w:rPr>
      <w:drawing>
        <wp:anchor distT="114300" distB="114300" distL="114300" distR="114300" simplePos="0" relativeHeight="251661312" behindDoc="0" locked="0" layoutInCell="1" hidden="0" allowOverlap="1" wp14:anchorId="41B157A5" wp14:editId="4B7C1C33">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201A" w14:textId="77777777" w:rsidR="008F25C6" w:rsidRDefault="006A143E">
    <w:pPr>
      <w:jc w:val="right"/>
      <w:rPr>
        <w:color w:val="000000"/>
      </w:rPr>
    </w:pPr>
    <w:r>
      <w:rPr>
        <w:noProof/>
      </w:rPr>
      <w:drawing>
        <wp:anchor distT="114300" distB="114300" distL="114300" distR="114300" simplePos="0" relativeHeight="251662336" behindDoc="0" locked="0" layoutInCell="1" hidden="0" allowOverlap="1" wp14:anchorId="50D3BD41" wp14:editId="661043AC">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B3867" w14:textId="77777777" w:rsidR="00DA779F" w:rsidRDefault="00DA779F">
      <w:pPr>
        <w:spacing w:line="240" w:lineRule="auto"/>
      </w:pPr>
      <w:r>
        <w:separator/>
      </w:r>
    </w:p>
  </w:footnote>
  <w:footnote w:type="continuationSeparator" w:id="0">
    <w:p w14:paraId="644DBA68" w14:textId="77777777" w:rsidR="00DA779F" w:rsidRDefault="00DA77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4750B" w14:textId="77777777" w:rsidR="008F25C6" w:rsidRDefault="006A143E">
    <w:r>
      <w:rPr>
        <w:noProof/>
      </w:rPr>
      <w:drawing>
        <wp:inline distT="0" distB="0" distL="0" distR="0" wp14:anchorId="3459F43D" wp14:editId="79FB8885">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6E3B1E21"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5272" w14:textId="77777777" w:rsidR="008F25C6" w:rsidRDefault="006A143E" w:rsidP="1A1A1CC6">
    <w:pPr>
      <w:rPr>
        <w:color w:val="7030A0"/>
      </w:rPr>
    </w:pPr>
    <w:r>
      <w:rPr>
        <w:noProof/>
      </w:rPr>
      <w:drawing>
        <wp:anchor distT="114300" distB="114300" distL="114300" distR="114300" simplePos="0" relativeHeight="251662848" behindDoc="0" locked="0" layoutInCell="1" hidden="0" allowOverlap="1" wp14:anchorId="7352A066" wp14:editId="43E05B05">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0" w:type="auto"/>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tblGrid>
    <w:tr w:rsidR="000377AE" w14:paraId="3F04600A" w14:textId="77777777" w:rsidTr="1A1A1C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2BCFCDA3" w14:textId="77777777" w:rsidR="000377AE" w:rsidRDefault="000377AE" w:rsidP="1A1A1CC6">
          <w:pPr>
            <w:rPr>
              <w:color w:val="7030A0"/>
            </w:rPr>
          </w:pPr>
          <w:r>
            <w:rPr>
              <w:noProof/>
            </w:rPr>
            <w:drawing>
              <wp:inline distT="0" distB="0" distL="0" distR="0" wp14:anchorId="1110B34C" wp14:editId="48BB3457">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p w14:paraId="5E10A12F" w14:textId="77777777" w:rsidR="000377AE" w:rsidRDefault="000377AE" w:rsidP="1A1A1CC6"/>
      </w:tc>
    </w:tr>
  </w:tbl>
  <w:p w14:paraId="25E542EA"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3DDB"/>
    <w:multiLevelType w:val="hybridMultilevel"/>
    <w:tmpl w:val="66DEC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F5A2AB3"/>
    <w:multiLevelType w:val="hybridMultilevel"/>
    <w:tmpl w:val="A81E1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423882"/>
    <w:multiLevelType w:val="multilevel"/>
    <w:tmpl w:val="148A3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813404"/>
    <w:multiLevelType w:val="hybridMultilevel"/>
    <w:tmpl w:val="664A8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FE34C3"/>
    <w:multiLevelType w:val="hybridMultilevel"/>
    <w:tmpl w:val="9328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558864">
    <w:abstractNumId w:val="5"/>
  </w:num>
  <w:num w:numId="2" w16cid:durableId="294793615">
    <w:abstractNumId w:val="2"/>
  </w:num>
  <w:num w:numId="3" w16cid:durableId="2128503362">
    <w:abstractNumId w:val="3"/>
  </w:num>
  <w:num w:numId="4" w16cid:durableId="1478569446">
    <w:abstractNumId w:val="0"/>
  </w:num>
  <w:num w:numId="5" w16cid:durableId="1535267756">
    <w:abstractNumId w:val="1"/>
  </w:num>
  <w:num w:numId="6" w16cid:durableId="1090616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59"/>
    <w:rsid w:val="000355EF"/>
    <w:rsid w:val="000377AE"/>
    <w:rsid w:val="00083FC9"/>
    <w:rsid w:val="000D4F71"/>
    <w:rsid w:val="000E4EE5"/>
    <w:rsid w:val="000E7CBE"/>
    <w:rsid w:val="000F59D1"/>
    <w:rsid w:val="00146DBD"/>
    <w:rsid w:val="00157B87"/>
    <w:rsid w:val="00190608"/>
    <w:rsid w:val="001A0EDE"/>
    <w:rsid w:val="001A4C07"/>
    <w:rsid w:val="001D69F5"/>
    <w:rsid w:val="001F1559"/>
    <w:rsid w:val="00210510"/>
    <w:rsid w:val="00247A85"/>
    <w:rsid w:val="002A7500"/>
    <w:rsid w:val="002B5496"/>
    <w:rsid w:val="00302CFE"/>
    <w:rsid w:val="00305C74"/>
    <w:rsid w:val="00325D78"/>
    <w:rsid w:val="00333FE0"/>
    <w:rsid w:val="00340B32"/>
    <w:rsid w:val="00362F82"/>
    <w:rsid w:val="003A467A"/>
    <w:rsid w:val="003B4E93"/>
    <w:rsid w:val="003C0E72"/>
    <w:rsid w:val="00413166"/>
    <w:rsid w:val="00447BE7"/>
    <w:rsid w:val="00454AA4"/>
    <w:rsid w:val="00475721"/>
    <w:rsid w:val="00493D49"/>
    <w:rsid w:val="00513DC9"/>
    <w:rsid w:val="0055165F"/>
    <w:rsid w:val="00580736"/>
    <w:rsid w:val="005B1F5F"/>
    <w:rsid w:val="005C05E0"/>
    <w:rsid w:val="005F731C"/>
    <w:rsid w:val="00600D7F"/>
    <w:rsid w:val="00612ECE"/>
    <w:rsid w:val="00664D0C"/>
    <w:rsid w:val="006A143E"/>
    <w:rsid w:val="006D5623"/>
    <w:rsid w:val="0070621C"/>
    <w:rsid w:val="00722628"/>
    <w:rsid w:val="0073559E"/>
    <w:rsid w:val="00790CE3"/>
    <w:rsid w:val="008467EC"/>
    <w:rsid w:val="0084703F"/>
    <w:rsid w:val="00847935"/>
    <w:rsid w:val="00847A98"/>
    <w:rsid w:val="00875273"/>
    <w:rsid w:val="008A79D0"/>
    <w:rsid w:val="008F25C6"/>
    <w:rsid w:val="0093264E"/>
    <w:rsid w:val="00993286"/>
    <w:rsid w:val="009A4378"/>
    <w:rsid w:val="009A6387"/>
    <w:rsid w:val="009B6F09"/>
    <w:rsid w:val="009D1AC0"/>
    <w:rsid w:val="009D2032"/>
    <w:rsid w:val="00A16890"/>
    <w:rsid w:val="00AA7E26"/>
    <w:rsid w:val="00AB6A6B"/>
    <w:rsid w:val="00AD38C2"/>
    <w:rsid w:val="00B538CD"/>
    <w:rsid w:val="00B715FE"/>
    <w:rsid w:val="00BB0A41"/>
    <w:rsid w:val="00BF72E2"/>
    <w:rsid w:val="00C078A2"/>
    <w:rsid w:val="00C218B7"/>
    <w:rsid w:val="00C27918"/>
    <w:rsid w:val="00C40FEA"/>
    <w:rsid w:val="00C440CB"/>
    <w:rsid w:val="00C4786D"/>
    <w:rsid w:val="00C524BF"/>
    <w:rsid w:val="00C73764"/>
    <w:rsid w:val="00C754AA"/>
    <w:rsid w:val="00C7775B"/>
    <w:rsid w:val="00CA50BB"/>
    <w:rsid w:val="00CB56F5"/>
    <w:rsid w:val="00CC5C87"/>
    <w:rsid w:val="00CD4800"/>
    <w:rsid w:val="00D04745"/>
    <w:rsid w:val="00D214DF"/>
    <w:rsid w:val="00D318B9"/>
    <w:rsid w:val="00D3424F"/>
    <w:rsid w:val="00D725CF"/>
    <w:rsid w:val="00D847FD"/>
    <w:rsid w:val="00DA1DC8"/>
    <w:rsid w:val="00DA779F"/>
    <w:rsid w:val="00DA7BF0"/>
    <w:rsid w:val="00DE1A3D"/>
    <w:rsid w:val="00DE1BA3"/>
    <w:rsid w:val="00E0589E"/>
    <w:rsid w:val="00E302D2"/>
    <w:rsid w:val="00E8111A"/>
    <w:rsid w:val="00EB337F"/>
    <w:rsid w:val="00EB6650"/>
    <w:rsid w:val="00F13768"/>
    <w:rsid w:val="00F71EBB"/>
    <w:rsid w:val="00F73583"/>
    <w:rsid w:val="00F91DC5"/>
    <w:rsid w:val="00FA4A8A"/>
    <w:rsid w:val="00FD516B"/>
    <w:rsid w:val="00FD5C10"/>
    <w:rsid w:val="0C5ED419"/>
    <w:rsid w:val="1450BDA1"/>
    <w:rsid w:val="1A1A1CC6"/>
    <w:rsid w:val="1FDFAEFA"/>
    <w:rsid w:val="3EFF4C5A"/>
    <w:rsid w:val="409B1CBB"/>
    <w:rsid w:val="54F1DB20"/>
    <w:rsid w:val="6B50CEB1"/>
    <w:rsid w:val="6FE13D70"/>
    <w:rsid w:val="7299E082"/>
    <w:rsid w:val="75D18144"/>
    <w:rsid w:val="7A2420FF"/>
    <w:rsid w:val="7CFED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BC645"/>
  <w15:docId w15:val="{22C8B4C0-4527-48E3-95E4-514B76E2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character" w:styleId="CommentReference">
    <w:name w:val="annotation reference"/>
    <w:basedOn w:val="DefaultParagraphFont"/>
    <w:uiPriority w:val="99"/>
    <w:semiHidden/>
    <w:unhideWhenUsed/>
    <w:rsid w:val="001F1559"/>
    <w:rPr>
      <w:sz w:val="16"/>
      <w:szCs w:val="16"/>
    </w:rPr>
  </w:style>
  <w:style w:type="paragraph" w:styleId="CommentText">
    <w:name w:val="annotation text"/>
    <w:basedOn w:val="Normal"/>
    <w:link w:val="CommentTextChar"/>
    <w:uiPriority w:val="99"/>
    <w:unhideWhenUsed/>
    <w:rsid w:val="001F1559"/>
    <w:pPr>
      <w:spacing w:after="160" w:line="240" w:lineRule="auto"/>
    </w:pPr>
    <w:rPr>
      <w:lang w:val="en-AU"/>
    </w:rPr>
  </w:style>
  <w:style w:type="character" w:customStyle="1" w:styleId="CommentTextChar">
    <w:name w:val="Comment Text Char"/>
    <w:basedOn w:val="DefaultParagraphFont"/>
    <w:link w:val="CommentText"/>
    <w:uiPriority w:val="99"/>
    <w:rsid w:val="001F155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ustralianwomenshealth.org/prevention-in-prac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nnaAguilar\Downloads\Policy%20Brief%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07c4a-f0af-4a30-ae8a-e74992196a0f">
      <UserInfo>
        <DisplayName/>
        <AccountId xsi:nil="true"/>
        <AccountType/>
      </UserInfo>
    </SharedWithUsers>
    <MediaLengthInSeconds xmlns="153f973e-18e3-4683-9db9-a8b30f12ddca" xsi:nil="true"/>
    <lcf76f155ced4ddcb4097134ff3c332f xmlns="153f973e-18e3-4683-9db9-a8b30f12ddca">
      <Terms xmlns="http://schemas.microsoft.com/office/infopath/2007/PartnerControls"/>
    </lcf76f155ced4ddcb4097134ff3c332f>
    <TaxCatchAll xmlns="5b707c4a-f0af-4a30-ae8a-e74992196a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5b707c4a-f0af-4a30-ae8a-e74992196a0f"/>
    <ds:schemaRef ds:uri="153f973e-18e3-4683-9db9-a8b30f12ddca"/>
  </ds:schemaRefs>
</ds:datastoreItem>
</file>

<file path=customXml/itemProps2.xml><?xml version="1.0" encoding="utf-8"?>
<ds:datastoreItem xmlns:ds="http://schemas.openxmlformats.org/officeDocument/2006/customXml" ds:itemID="{CDA187AD-0EDB-4B4C-AC27-3835DA922188}">
  <ds:schemaRefs>
    <ds:schemaRef ds:uri="http://schemas.microsoft.com/sharepoint/v3/contenttype/forms"/>
  </ds:schemaRefs>
</ds:datastoreItem>
</file>

<file path=customXml/itemProps3.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4.xml><?xml version="1.0" encoding="utf-8"?>
<ds:datastoreItem xmlns:ds="http://schemas.openxmlformats.org/officeDocument/2006/customXml" ds:itemID="{501D31C9-5008-4EF6-9F17-2D9AB6A0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Policy Brief template FINAL</Template>
  <TotalTime>10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Women's Health Alliance</dc:creator>
  <cp:keywords>Introduction to Gender-Responsive Health</cp:keywords>
  <cp:lastModifiedBy>Sienna Aguilar</cp:lastModifiedBy>
  <cp:revision>8</cp:revision>
  <cp:lastPrinted>2024-08-22T23:36:00Z</cp:lastPrinted>
  <dcterms:created xsi:type="dcterms:W3CDTF">2024-08-29T08:17:00Z</dcterms:created>
  <dcterms:modified xsi:type="dcterms:W3CDTF">2024-09-24T22:16:00Z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