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5AAF" w14:textId="1746C2F2" w:rsidR="001A0EDE" w:rsidRPr="000377AE" w:rsidRDefault="00AC1058" w:rsidP="000377AE">
      <w:pPr>
        <w:pStyle w:val="Style1"/>
        <w:rPr>
          <w:rFonts w:cs="Rubik Medium"/>
        </w:rPr>
      </w:pPr>
      <w:r>
        <w:rPr>
          <w:rFonts w:cs="Rubik Medium"/>
        </w:rPr>
        <w:t>Toolkit Resource:</w:t>
      </w:r>
    </w:p>
    <w:p w14:paraId="7C682957" w14:textId="16D2712B" w:rsidR="155CFE9A" w:rsidRPr="00BC16E7" w:rsidRDefault="00CA7E8E" w:rsidP="00BC16E7">
      <w:pPr>
        <w:pStyle w:val="Heading2"/>
        <w:spacing w:after="0"/>
      </w:pPr>
      <w:bookmarkStart w:id="0" w:name="_usdc0nj6twdp" w:colFirst="0" w:colLast="0"/>
      <w:bookmarkEnd w:id="0"/>
      <w:r>
        <w:t>W</w:t>
      </w:r>
      <w:r w:rsidR="00AC1058">
        <w:t xml:space="preserve">orkplace </w:t>
      </w:r>
      <w:r>
        <w:t>p</w:t>
      </w:r>
      <w:r w:rsidR="00AC1058">
        <w:t>olic</w:t>
      </w:r>
      <w:r>
        <w:t>y examples</w:t>
      </w:r>
    </w:p>
    <w:p w14:paraId="7819FC30" w14:textId="54CB74E4" w:rsidR="4CD65916" w:rsidRDefault="002F7495" w:rsidP="155CFE9A">
      <w:pPr>
        <w:rPr>
          <w:color w:val="000000" w:themeColor="text1"/>
          <w:sz w:val="22"/>
          <w:szCs w:val="22"/>
        </w:rPr>
      </w:pPr>
      <w:r>
        <w:rPr>
          <w:color w:val="000000" w:themeColor="text1"/>
          <w:sz w:val="22"/>
          <w:szCs w:val="22"/>
          <w:lang w:val="en-AU"/>
        </w:rPr>
        <w:t>This document provides examples of how</w:t>
      </w:r>
      <w:r w:rsidR="4CD65916" w:rsidRPr="155CFE9A">
        <w:rPr>
          <w:color w:val="000000" w:themeColor="text1"/>
          <w:sz w:val="22"/>
          <w:szCs w:val="22"/>
          <w:lang w:val="en-AU"/>
        </w:rPr>
        <w:t xml:space="preserve"> organisations </w:t>
      </w:r>
      <w:r w:rsidR="00BC16E7">
        <w:rPr>
          <w:color w:val="000000" w:themeColor="text1"/>
          <w:sz w:val="22"/>
          <w:szCs w:val="22"/>
          <w:lang w:val="en-AU"/>
        </w:rPr>
        <w:t xml:space="preserve">can </w:t>
      </w:r>
      <w:r w:rsidR="4CD65916" w:rsidRPr="155CFE9A">
        <w:rPr>
          <w:color w:val="000000" w:themeColor="text1"/>
          <w:sz w:val="22"/>
          <w:szCs w:val="22"/>
          <w:lang w:val="en-AU"/>
        </w:rPr>
        <w:t xml:space="preserve">implement gender-responsive </w:t>
      </w:r>
      <w:r w:rsidR="000B7EB0">
        <w:rPr>
          <w:color w:val="000000" w:themeColor="text1"/>
          <w:sz w:val="22"/>
          <w:szCs w:val="22"/>
          <w:lang w:val="en-AU"/>
        </w:rPr>
        <w:t>workplace policies.</w:t>
      </w:r>
    </w:p>
    <w:p w14:paraId="259D607C" w14:textId="7DA421F4" w:rsidR="155CFE9A" w:rsidRDefault="155CFE9A" w:rsidP="155CFE9A">
      <w:pPr>
        <w:rPr>
          <w:color w:val="000000" w:themeColor="text1"/>
          <w:sz w:val="22"/>
          <w:szCs w:val="22"/>
        </w:rPr>
      </w:pPr>
    </w:p>
    <w:tbl>
      <w:tblPr>
        <w:tblStyle w:val="TableGrid"/>
        <w:tblW w:w="918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9"/>
        <w:gridCol w:w="2268"/>
        <w:gridCol w:w="6204"/>
      </w:tblGrid>
      <w:tr w:rsidR="155CFE9A" w14:paraId="42DF4812" w14:textId="77777777" w:rsidTr="000B7EB0">
        <w:trPr>
          <w:trHeight w:val="300"/>
        </w:trPr>
        <w:tc>
          <w:tcPr>
            <w:tcW w:w="709" w:type="dxa"/>
            <w:tcBorders>
              <w:top w:val="nil"/>
              <w:left w:val="nil"/>
              <w:bottom w:val="nil"/>
              <w:right w:val="nil"/>
            </w:tcBorders>
            <w:tcMar>
              <w:left w:w="105" w:type="dxa"/>
              <w:right w:w="105" w:type="dxa"/>
            </w:tcMar>
          </w:tcPr>
          <w:p w14:paraId="7DB2A7CE" w14:textId="1DCDD091" w:rsidR="155CFE9A" w:rsidRDefault="155CFE9A" w:rsidP="155CFE9A">
            <w:pPr>
              <w:rPr>
                <w:sz w:val="22"/>
                <w:szCs w:val="22"/>
              </w:rPr>
            </w:pPr>
            <w:r>
              <w:rPr>
                <w:noProof/>
              </w:rPr>
              <w:drawing>
                <wp:inline distT="0" distB="0" distL="0" distR="0" wp14:anchorId="7C8617BA" wp14:editId="6F2766FD">
                  <wp:extent cx="323850" cy="323850"/>
                  <wp:effectExtent l="0" t="0" r="0" b="0"/>
                  <wp:docPr id="1602526988" name="Picture 1602526988" descr="Help outlin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tc>
        <w:tc>
          <w:tcPr>
            <w:tcW w:w="8472" w:type="dxa"/>
            <w:gridSpan w:val="2"/>
            <w:tcBorders>
              <w:top w:val="nil"/>
              <w:left w:val="nil"/>
              <w:bottom w:val="nil"/>
              <w:right w:val="nil"/>
            </w:tcBorders>
            <w:tcMar>
              <w:left w:w="105" w:type="dxa"/>
              <w:right w:w="105" w:type="dxa"/>
            </w:tcMar>
          </w:tcPr>
          <w:p w14:paraId="38E9D841" w14:textId="77777777" w:rsidR="000C4B48" w:rsidRDefault="155CFE9A" w:rsidP="155CFE9A">
            <w:pPr>
              <w:rPr>
                <w:sz w:val="22"/>
                <w:szCs w:val="22"/>
              </w:rPr>
            </w:pPr>
            <w:r w:rsidRPr="155CFE9A">
              <w:rPr>
                <w:sz w:val="22"/>
                <w:szCs w:val="22"/>
              </w:rPr>
              <w:t xml:space="preserve">Consider the following </w:t>
            </w:r>
            <w:r w:rsidRPr="155CFE9A">
              <w:rPr>
                <w:b/>
                <w:bCs/>
                <w:sz w:val="22"/>
                <w:szCs w:val="22"/>
              </w:rPr>
              <w:t>workplace policy areas</w:t>
            </w:r>
            <w:r w:rsidRPr="155CFE9A">
              <w:rPr>
                <w:sz w:val="22"/>
                <w:szCs w:val="22"/>
              </w:rPr>
              <w:t xml:space="preserve"> for an organisation such as health and social care settings. What gender-responsive actions are already being taken? </w:t>
            </w:r>
          </w:p>
          <w:p w14:paraId="257EB623" w14:textId="2F53B23F" w:rsidR="155CFE9A" w:rsidRDefault="155CFE9A" w:rsidP="155CFE9A">
            <w:pPr>
              <w:rPr>
                <w:sz w:val="22"/>
                <w:szCs w:val="22"/>
              </w:rPr>
            </w:pPr>
            <w:r w:rsidRPr="155CFE9A">
              <w:rPr>
                <w:sz w:val="22"/>
                <w:szCs w:val="22"/>
              </w:rPr>
              <w:t>What could be strengthened to be more gender-responsive?</w:t>
            </w:r>
          </w:p>
          <w:p w14:paraId="4972EB62" w14:textId="1B629BD8" w:rsidR="155CFE9A" w:rsidRDefault="155CFE9A" w:rsidP="000C4B48">
            <w:pPr>
              <w:rPr>
                <w:sz w:val="22"/>
                <w:szCs w:val="22"/>
              </w:rPr>
            </w:pPr>
          </w:p>
        </w:tc>
      </w:tr>
      <w:tr w:rsidR="155CFE9A" w14:paraId="48FEFB7B" w14:textId="77777777" w:rsidTr="00BC16E7">
        <w:trPr>
          <w:trHeight w:val="300"/>
        </w:trPr>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02FAA2" w14:textId="73A9F8B1" w:rsidR="155CFE9A" w:rsidRDefault="155CFE9A" w:rsidP="155CFE9A">
            <w:pPr>
              <w:rPr>
                <w:sz w:val="22"/>
                <w:szCs w:val="22"/>
              </w:rPr>
            </w:pPr>
            <w:r w:rsidRPr="155CFE9A">
              <w:rPr>
                <w:b/>
                <w:bCs/>
                <w:sz w:val="22"/>
                <w:szCs w:val="22"/>
                <w:lang w:val="en-AU"/>
              </w:rPr>
              <w:t>Workplace policy area</w:t>
            </w:r>
          </w:p>
        </w:tc>
        <w:tc>
          <w:tcPr>
            <w:tcW w:w="62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21070C" w14:textId="52D13B7B" w:rsidR="155CFE9A" w:rsidRDefault="155CFE9A" w:rsidP="155CFE9A">
            <w:pPr>
              <w:rPr>
                <w:sz w:val="22"/>
                <w:szCs w:val="22"/>
              </w:rPr>
            </w:pPr>
            <w:r w:rsidRPr="155CFE9A">
              <w:rPr>
                <w:b/>
                <w:bCs/>
                <w:sz w:val="22"/>
                <w:szCs w:val="22"/>
                <w:lang w:val="en-AU"/>
              </w:rPr>
              <w:t>Actions and opportunities to strengthen gender-responsiveness</w:t>
            </w:r>
          </w:p>
        </w:tc>
      </w:tr>
      <w:tr w:rsidR="155CFE9A" w14:paraId="1447D63D" w14:textId="77777777" w:rsidTr="00BC16E7">
        <w:trPr>
          <w:trHeight w:val="300"/>
        </w:trPr>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C79153" w14:textId="17528AF5" w:rsidR="155CFE9A" w:rsidRDefault="155CFE9A" w:rsidP="155CFE9A">
            <w:pPr>
              <w:rPr>
                <w:sz w:val="22"/>
                <w:szCs w:val="22"/>
              </w:rPr>
            </w:pPr>
            <w:r w:rsidRPr="155CFE9A">
              <w:rPr>
                <w:sz w:val="22"/>
                <w:szCs w:val="22"/>
                <w:lang w:val="en-AU"/>
              </w:rPr>
              <w:t>Hiring and retention</w:t>
            </w:r>
          </w:p>
        </w:tc>
        <w:tc>
          <w:tcPr>
            <w:tcW w:w="62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6F9017" w14:textId="499E5F27" w:rsidR="155CFE9A" w:rsidRDefault="155CFE9A" w:rsidP="155CFE9A">
            <w:pPr>
              <w:pStyle w:val="ListParagraph"/>
              <w:numPr>
                <w:ilvl w:val="0"/>
                <w:numId w:val="1"/>
              </w:numPr>
              <w:rPr>
                <w:sz w:val="22"/>
                <w:szCs w:val="22"/>
              </w:rPr>
            </w:pPr>
            <w:r w:rsidRPr="155CFE9A">
              <w:rPr>
                <w:sz w:val="22"/>
                <w:szCs w:val="22"/>
                <w:lang w:val="en-AU"/>
              </w:rPr>
              <w:t>Include hiring and promotion targets for gender and different forms of diversity</w:t>
            </w:r>
            <w:r w:rsidR="6BB6037C" w:rsidRPr="155CFE9A">
              <w:rPr>
                <w:sz w:val="22"/>
                <w:szCs w:val="22"/>
                <w:lang w:val="en-AU"/>
              </w:rPr>
              <w:t>.</w:t>
            </w:r>
          </w:p>
          <w:p w14:paraId="7C5E1386" w14:textId="14D9BA33" w:rsidR="155CFE9A" w:rsidRDefault="155CFE9A" w:rsidP="155CFE9A">
            <w:pPr>
              <w:pStyle w:val="ListParagraph"/>
              <w:numPr>
                <w:ilvl w:val="0"/>
                <w:numId w:val="1"/>
              </w:numPr>
              <w:rPr>
                <w:sz w:val="22"/>
                <w:szCs w:val="22"/>
              </w:rPr>
            </w:pPr>
            <w:r w:rsidRPr="155CFE9A">
              <w:rPr>
                <w:sz w:val="22"/>
                <w:szCs w:val="22"/>
                <w:lang w:val="en-AU"/>
              </w:rPr>
              <w:t>Include transparent salary range and conditions in job advertisements to encourage pay equity for people of all genders</w:t>
            </w:r>
            <w:r w:rsidR="73669F8E" w:rsidRPr="155CFE9A">
              <w:rPr>
                <w:sz w:val="22"/>
                <w:szCs w:val="22"/>
                <w:lang w:val="en-AU"/>
              </w:rPr>
              <w:t>.</w:t>
            </w:r>
          </w:p>
          <w:p w14:paraId="697F1337" w14:textId="7EC0AB48" w:rsidR="155CFE9A" w:rsidRDefault="155CFE9A" w:rsidP="155CFE9A">
            <w:pPr>
              <w:pStyle w:val="ListParagraph"/>
              <w:numPr>
                <w:ilvl w:val="0"/>
                <w:numId w:val="1"/>
              </w:numPr>
              <w:rPr>
                <w:sz w:val="22"/>
                <w:szCs w:val="22"/>
              </w:rPr>
            </w:pPr>
            <w:r w:rsidRPr="155CFE9A">
              <w:rPr>
                <w:sz w:val="22"/>
                <w:szCs w:val="22"/>
                <w:lang w:val="en-AU"/>
              </w:rPr>
              <w:t>Include working conditions in job advertisements, including flexible work and leave benefits for people with unpaid caring responsibilities</w:t>
            </w:r>
            <w:r w:rsidR="30C130E0" w:rsidRPr="155CFE9A">
              <w:rPr>
                <w:sz w:val="22"/>
                <w:szCs w:val="22"/>
                <w:lang w:val="en-AU"/>
              </w:rPr>
              <w:t>.</w:t>
            </w:r>
          </w:p>
          <w:p w14:paraId="2CD9A8D0" w14:textId="38308B17" w:rsidR="155CFE9A" w:rsidRDefault="155CFE9A" w:rsidP="155CFE9A">
            <w:pPr>
              <w:pStyle w:val="ListParagraph"/>
              <w:numPr>
                <w:ilvl w:val="0"/>
                <w:numId w:val="1"/>
              </w:numPr>
              <w:rPr>
                <w:sz w:val="22"/>
                <w:szCs w:val="22"/>
              </w:rPr>
            </w:pPr>
            <w:r w:rsidRPr="155CFE9A">
              <w:rPr>
                <w:sz w:val="22"/>
                <w:szCs w:val="22"/>
                <w:lang w:val="en-AU"/>
              </w:rPr>
              <w:t>Organise gender-balanced interview and recruitment panels where possible and appropriate</w:t>
            </w:r>
            <w:r w:rsidR="172CBD00" w:rsidRPr="155CFE9A">
              <w:rPr>
                <w:sz w:val="22"/>
                <w:szCs w:val="22"/>
                <w:lang w:val="en-AU"/>
              </w:rPr>
              <w:t>.</w:t>
            </w:r>
          </w:p>
        </w:tc>
      </w:tr>
      <w:tr w:rsidR="155CFE9A" w14:paraId="667F2475" w14:textId="77777777" w:rsidTr="00BC16E7">
        <w:trPr>
          <w:trHeight w:val="645"/>
        </w:trPr>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664A0B" w14:textId="08055EFD" w:rsidR="155CFE9A" w:rsidRDefault="155CFE9A" w:rsidP="155CFE9A">
            <w:pPr>
              <w:rPr>
                <w:sz w:val="22"/>
                <w:szCs w:val="22"/>
              </w:rPr>
            </w:pPr>
            <w:r w:rsidRPr="155CFE9A">
              <w:rPr>
                <w:sz w:val="22"/>
                <w:szCs w:val="22"/>
                <w:lang w:val="en-AU"/>
              </w:rPr>
              <w:t>Workplace safety</w:t>
            </w:r>
          </w:p>
        </w:tc>
        <w:tc>
          <w:tcPr>
            <w:tcW w:w="62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3D7C5F" w14:textId="285113A2" w:rsidR="155CFE9A" w:rsidRDefault="155CFE9A" w:rsidP="155CFE9A">
            <w:pPr>
              <w:pStyle w:val="ListParagraph"/>
              <w:numPr>
                <w:ilvl w:val="0"/>
                <w:numId w:val="1"/>
              </w:numPr>
              <w:rPr>
                <w:sz w:val="22"/>
                <w:szCs w:val="22"/>
              </w:rPr>
            </w:pPr>
            <w:r w:rsidRPr="155CFE9A">
              <w:rPr>
                <w:sz w:val="22"/>
                <w:szCs w:val="22"/>
                <w:lang w:val="en-AU"/>
              </w:rPr>
              <w:t>Psychosocial hazards in the workplace are addressed</w:t>
            </w:r>
            <w:r w:rsidR="61AC7BC8" w:rsidRPr="155CFE9A">
              <w:rPr>
                <w:sz w:val="22"/>
                <w:szCs w:val="22"/>
                <w:lang w:val="en-AU"/>
              </w:rPr>
              <w:t>.</w:t>
            </w:r>
          </w:p>
          <w:p w14:paraId="1EF44418" w14:textId="56C121CD" w:rsidR="155CFE9A" w:rsidRDefault="155CFE9A" w:rsidP="155CFE9A">
            <w:pPr>
              <w:pStyle w:val="ListParagraph"/>
              <w:numPr>
                <w:ilvl w:val="0"/>
                <w:numId w:val="1"/>
              </w:numPr>
              <w:rPr>
                <w:sz w:val="22"/>
                <w:szCs w:val="22"/>
              </w:rPr>
            </w:pPr>
            <w:r w:rsidRPr="155CFE9A">
              <w:rPr>
                <w:sz w:val="22"/>
                <w:szCs w:val="22"/>
                <w:lang w:val="en-AU"/>
              </w:rPr>
              <w:t>Sexual harassment policy and training is implemented</w:t>
            </w:r>
            <w:r w:rsidR="19C55204" w:rsidRPr="155CFE9A">
              <w:rPr>
                <w:sz w:val="22"/>
                <w:szCs w:val="22"/>
                <w:lang w:val="en-AU"/>
              </w:rPr>
              <w:t>.</w:t>
            </w:r>
          </w:p>
          <w:p w14:paraId="2DDBBE4F" w14:textId="7425A993" w:rsidR="155CFE9A" w:rsidRDefault="155CFE9A" w:rsidP="155CFE9A">
            <w:pPr>
              <w:pStyle w:val="ListParagraph"/>
              <w:numPr>
                <w:ilvl w:val="0"/>
                <w:numId w:val="1"/>
              </w:numPr>
              <w:rPr>
                <w:sz w:val="22"/>
                <w:szCs w:val="22"/>
              </w:rPr>
            </w:pPr>
            <w:r w:rsidRPr="155CFE9A">
              <w:rPr>
                <w:sz w:val="22"/>
                <w:szCs w:val="22"/>
                <w:lang w:val="en-AU"/>
              </w:rPr>
              <w:t>Policies related to staff are trauma aware and informed and implemented with training</w:t>
            </w:r>
            <w:r w:rsidR="6ACFAF18" w:rsidRPr="155CFE9A">
              <w:rPr>
                <w:sz w:val="22"/>
                <w:szCs w:val="22"/>
                <w:lang w:val="en-AU"/>
              </w:rPr>
              <w:t>.</w:t>
            </w:r>
          </w:p>
        </w:tc>
      </w:tr>
      <w:tr w:rsidR="155CFE9A" w14:paraId="1BF4FBD4" w14:textId="77777777" w:rsidTr="00BC16E7">
        <w:trPr>
          <w:trHeight w:val="300"/>
        </w:trPr>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4E17AA" w14:textId="6481BFAC" w:rsidR="155CFE9A" w:rsidRDefault="155CFE9A" w:rsidP="155CFE9A">
            <w:pPr>
              <w:rPr>
                <w:sz w:val="22"/>
                <w:szCs w:val="22"/>
              </w:rPr>
            </w:pPr>
            <w:r w:rsidRPr="155CFE9A">
              <w:rPr>
                <w:sz w:val="22"/>
                <w:szCs w:val="22"/>
                <w:lang w:val="en-AU"/>
              </w:rPr>
              <w:t>Diversity equity and inclusion</w:t>
            </w:r>
          </w:p>
        </w:tc>
        <w:tc>
          <w:tcPr>
            <w:tcW w:w="62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2802D1" w14:textId="4977362D" w:rsidR="155CFE9A" w:rsidRDefault="155CFE9A" w:rsidP="155CFE9A">
            <w:pPr>
              <w:pStyle w:val="ListParagraph"/>
              <w:numPr>
                <w:ilvl w:val="0"/>
                <w:numId w:val="1"/>
              </w:numPr>
              <w:rPr>
                <w:sz w:val="22"/>
                <w:szCs w:val="22"/>
              </w:rPr>
            </w:pPr>
            <w:r w:rsidRPr="155CFE9A">
              <w:rPr>
                <w:sz w:val="22"/>
                <w:szCs w:val="22"/>
                <w:lang w:val="en-AU"/>
              </w:rPr>
              <w:t>Flexible and remote work options are offered to accommodate diverse and gendered health needs and unpaid caring responsibilities</w:t>
            </w:r>
            <w:r w:rsidR="32119AA9" w:rsidRPr="155CFE9A">
              <w:rPr>
                <w:sz w:val="22"/>
                <w:szCs w:val="22"/>
                <w:lang w:val="en-AU"/>
              </w:rPr>
              <w:t>.</w:t>
            </w:r>
          </w:p>
          <w:p w14:paraId="0F779A28" w14:textId="57F08857" w:rsidR="155CFE9A" w:rsidRDefault="155CFE9A" w:rsidP="155CFE9A">
            <w:pPr>
              <w:pStyle w:val="ListParagraph"/>
              <w:numPr>
                <w:ilvl w:val="0"/>
                <w:numId w:val="1"/>
              </w:numPr>
              <w:rPr>
                <w:sz w:val="22"/>
                <w:szCs w:val="22"/>
              </w:rPr>
            </w:pPr>
            <w:r w:rsidRPr="155CFE9A">
              <w:rPr>
                <w:sz w:val="22"/>
                <w:szCs w:val="22"/>
                <w:lang w:val="en-AU"/>
              </w:rPr>
              <w:t>Workplaces are flexible to accommodate accessibility for chronic conditions and people with disability, including low-sensory environments, occupational therapy (OT) support and COVID-19 leave</w:t>
            </w:r>
            <w:r w:rsidR="59EF4783" w:rsidRPr="155CFE9A">
              <w:rPr>
                <w:sz w:val="22"/>
                <w:szCs w:val="22"/>
                <w:lang w:val="en-AU"/>
              </w:rPr>
              <w:t>.</w:t>
            </w:r>
          </w:p>
          <w:p w14:paraId="1EAC1340" w14:textId="49DD650B" w:rsidR="155CFE9A" w:rsidRDefault="155CFE9A" w:rsidP="155CFE9A">
            <w:pPr>
              <w:pStyle w:val="ListParagraph"/>
              <w:numPr>
                <w:ilvl w:val="0"/>
                <w:numId w:val="1"/>
              </w:numPr>
              <w:rPr>
                <w:sz w:val="22"/>
                <w:szCs w:val="22"/>
              </w:rPr>
            </w:pPr>
            <w:r w:rsidRPr="155CFE9A">
              <w:rPr>
                <w:sz w:val="22"/>
                <w:szCs w:val="22"/>
                <w:lang w:val="en-AU"/>
              </w:rPr>
              <w:t>Comprehensive reproductive leave is available</w:t>
            </w:r>
            <w:r w:rsidR="2F3B6B1E" w:rsidRPr="155CFE9A">
              <w:rPr>
                <w:sz w:val="22"/>
                <w:szCs w:val="22"/>
                <w:lang w:val="en-AU"/>
              </w:rPr>
              <w:t>.</w:t>
            </w:r>
          </w:p>
          <w:p w14:paraId="3B199129" w14:textId="5E901EE7" w:rsidR="155CFE9A" w:rsidRDefault="155CFE9A" w:rsidP="155CFE9A">
            <w:pPr>
              <w:pStyle w:val="ListParagraph"/>
              <w:numPr>
                <w:ilvl w:val="0"/>
                <w:numId w:val="1"/>
              </w:numPr>
              <w:rPr>
                <w:sz w:val="22"/>
                <w:szCs w:val="22"/>
              </w:rPr>
            </w:pPr>
            <w:r w:rsidRPr="155CFE9A">
              <w:rPr>
                <w:sz w:val="22"/>
                <w:szCs w:val="22"/>
                <w:lang w:val="en-AU"/>
              </w:rPr>
              <w:t>Menopause health policy is developed and implemented with training</w:t>
            </w:r>
            <w:r w:rsidR="4BFA0AFE" w:rsidRPr="155CFE9A">
              <w:rPr>
                <w:sz w:val="22"/>
                <w:szCs w:val="22"/>
                <w:lang w:val="en-AU"/>
              </w:rPr>
              <w:t>.</w:t>
            </w:r>
          </w:p>
          <w:p w14:paraId="4CE113C4" w14:textId="64CFCF9B" w:rsidR="155CFE9A" w:rsidRDefault="155CFE9A" w:rsidP="155CFE9A">
            <w:pPr>
              <w:pStyle w:val="ListParagraph"/>
              <w:numPr>
                <w:ilvl w:val="0"/>
                <w:numId w:val="1"/>
              </w:numPr>
              <w:rPr>
                <w:sz w:val="22"/>
                <w:szCs w:val="22"/>
              </w:rPr>
            </w:pPr>
            <w:r w:rsidRPr="155CFE9A">
              <w:rPr>
                <w:sz w:val="22"/>
                <w:szCs w:val="22"/>
                <w:lang w:val="en-AU"/>
              </w:rPr>
              <w:t>The uptake of paid parental leave is actively encouraged for and accessed by employees of all genders</w:t>
            </w:r>
            <w:r w:rsidR="7B8538F2" w:rsidRPr="155CFE9A">
              <w:rPr>
                <w:sz w:val="22"/>
                <w:szCs w:val="22"/>
                <w:lang w:val="en-AU"/>
              </w:rPr>
              <w:t>.</w:t>
            </w:r>
          </w:p>
          <w:p w14:paraId="220A045C" w14:textId="552D7E53" w:rsidR="155CFE9A" w:rsidRDefault="155CFE9A" w:rsidP="155CFE9A">
            <w:pPr>
              <w:pStyle w:val="ListParagraph"/>
              <w:numPr>
                <w:ilvl w:val="0"/>
                <w:numId w:val="1"/>
              </w:numPr>
              <w:rPr>
                <w:sz w:val="22"/>
                <w:szCs w:val="22"/>
              </w:rPr>
            </w:pPr>
            <w:r w:rsidRPr="155CFE9A">
              <w:rPr>
                <w:sz w:val="22"/>
                <w:szCs w:val="22"/>
                <w:lang w:val="en-AU"/>
              </w:rPr>
              <w:t>Workplace adheres to anti-discrimination practice and addresses gendered bias and discrimination (for example the Australian Women’s Health Alliance Organisational Anti-Discrimination Statement)</w:t>
            </w:r>
            <w:r w:rsidR="377453AC" w:rsidRPr="155CFE9A">
              <w:rPr>
                <w:sz w:val="22"/>
                <w:szCs w:val="22"/>
                <w:lang w:val="en-AU"/>
              </w:rPr>
              <w:t>.</w:t>
            </w:r>
          </w:p>
        </w:tc>
      </w:tr>
      <w:tr w:rsidR="155CFE9A" w14:paraId="2B40D0AE" w14:textId="77777777" w:rsidTr="00BC16E7">
        <w:trPr>
          <w:trHeight w:val="300"/>
        </w:trPr>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00395C" w14:textId="54BD3333" w:rsidR="155CFE9A" w:rsidRDefault="155CFE9A" w:rsidP="155CFE9A">
            <w:pPr>
              <w:rPr>
                <w:sz w:val="22"/>
                <w:szCs w:val="22"/>
              </w:rPr>
            </w:pPr>
            <w:r w:rsidRPr="155CFE9A">
              <w:rPr>
                <w:sz w:val="22"/>
                <w:szCs w:val="22"/>
                <w:lang w:val="en-AU"/>
              </w:rPr>
              <w:t>Continuous professional development</w:t>
            </w:r>
          </w:p>
        </w:tc>
        <w:tc>
          <w:tcPr>
            <w:tcW w:w="62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356389" w14:textId="09F446BF" w:rsidR="155CFE9A" w:rsidRDefault="155CFE9A" w:rsidP="155CFE9A">
            <w:pPr>
              <w:pStyle w:val="ListParagraph"/>
              <w:numPr>
                <w:ilvl w:val="0"/>
                <w:numId w:val="1"/>
              </w:numPr>
              <w:rPr>
                <w:sz w:val="22"/>
                <w:szCs w:val="22"/>
              </w:rPr>
            </w:pPr>
            <w:r w:rsidRPr="155CFE9A">
              <w:rPr>
                <w:sz w:val="22"/>
                <w:szCs w:val="22"/>
                <w:lang w:val="en-AU"/>
              </w:rPr>
              <w:t>Workplace training on gender-responsive health is incorporated into induction of new staff</w:t>
            </w:r>
            <w:r w:rsidR="674E0F3F" w:rsidRPr="155CFE9A">
              <w:rPr>
                <w:sz w:val="22"/>
                <w:szCs w:val="22"/>
                <w:lang w:val="en-AU"/>
              </w:rPr>
              <w:t>.</w:t>
            </w:r>
          </w:p>
          <w:p w14:paraId="1E73068B" w14:textId="5D23A675" w:rsidR="155CFE9A" w:rsidRDefault="155CFE9A" w:rsidP="155CFE9A">
            <w:pPr>
              <w:pStyle w:val="ListParagraph"/>
              <w:numPr>
                <w:ilvl w:val="0"/>
                <w:numId w:val="1"/>
              </w:numPr>
              <w:rPr>
                <w:sz w:val="22"/>
                <w:szCs w:val="22"/>
              </w:rPr>
            </w:pPr>
            <w:r w:rsidRPr="155CFE9A">
              <w:rPr>
                <w:sz w:val="22"/>
                <w:szCs w:val="22"/>
                <w:lang w:val="en-AU"/>
              </w:rPr>
              <w:t>Workplace training on gender-responsive health is incorporated for managers</w:t>
            </w:r>
            <w:r w:rsidR="31528725" w:rsidRPr="155CFE9A">
              <w:rPr>
                <w:sz w:val="22"/>
                <w:szCs w:val="22"/>
                <w:lang w:val="en-AU"/>
              </w:rPr>
              <w:t>.</w:t>
            </w:r>
          </w:p>
        </w:tc>
      </w:tr>
      <w:tr w:rsidR="155CFE9A" w14:paraId="5E2C03DD" w14:textId="77777777" w:rsidTr="00BC16E7">
        <w:trPr>
          <w:trHeight w:val="300"/>
        </w:trPr>
        <w:tc>
          <w:tcPr>
            <w:tcW w:w="29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47A05B" w14:textId="68AD8C7D" w:rsidR="155CFE9A" w:rsidRDefault="155CFE9A" w:rsidP="155CFE9A">
            <w:pPr>
              <w:rPr>
                <w:sz w:val="22"/>
                <w:szCs w:val="22"/>
              </w:rPr>
            </w:pPr>
            <w:r w:rsidRPr="155CFE9A">
              <w:rPr>
                <w:sz w:val="22"/>
                <w:szCs w:val="22"/>
                <w:lang w:val="en-AU"/>
              </w:rPr>
              <w:lastRenderedPageBreak/>
              <w:t>Other relevant areas</w:t>
            </w:r>
          </w:p>
        </w:tc>
        <w:tc>
          <w:tcPr>
            <w:tcW w:w="62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CA34CC" w14:textId="77777777" w:rsidR="00BC16E7" w:rsidRDefault="155CFE9A" w:rsidP="155CFE9A">
            <w:pPr>
              <w:rPr>
                <w:sz w:val="22"/>
                <w:szCs w:val="22"/>
                <w:lang w:val="en-AU"/>
              </w:rPr>
            </w:pPr>
            <w:r w:rsidRPr="155CFE9A">
              <w:rPr>
                <w:sz w:val="22"/>
                <w:szCs w:val="22"/>
                <w:lang w:val="en-AU"/>
              </w:rPr>
              <w:t>For example, disaster and emergency management, communications, clinical management</w:t>
            </w:r>
            <w:r w:rsidR="33781C28" w:rsidRPr="155CFE9A">
              <w:rPr>
                <w:sz w:val="22"/>
                <w:szCs w:val="22"/>
                <w:lang w:val="en-AU"/>
              </w:rPr>
              <w:t>.</w:t>
            </w:r>
          </w:p>
          <w:p w14:paraId="5C98F622" w14:textId="77777777" w:rsidR="0080202A" w:rsidRDefault="0080202A" w:rsidP="155CFE9A">
            <w:pPr>
              <w:rPr>
                <w:sz w:val="22"/>
                <w:szCs w:val="22"/>
                <w:lang w:val="en-AU"/>
              </w:rPr>
            </w:pPr>
          </w:p>
          <w:p w14:paraId="77736BB1" w14:textId="77777777" w:rsidR="0080202A" w:rsidRPr="0080202A" w:rsidRDefault="0080202A" w:rsidP="155CFE9A">
            <w:pPr>
              <w:rPr>
                <w:i/>
                <w:iCs/>
                <w:sz w:val="22"/>
                <w:szCs w:val="22"/>
                <w:lang w:val="en-AU"/>
              </w:rPr>
            </w:pPr>
            <w:r w:rsidRPr="0080202A">
              <w:rPr>
                <w:i/>
                <w:iCs/>
                <w:sz w:val="22"/>
                <w:szCs w:val="22"/>
                <w:lang w:val="en-AU"/>
              </w:rPr>
              <w:t>What actions could be taken to strengthen gender-responsiveness in these workplace policy areas?</w:t>
            </w:r>
          </w:p>
          <w:p w14:paraId="290F6DDB" w14:textId="77777777" w:rsidR="0080202A" w:rsidRDefault="0080202A" w:rsidP="155CFE9A">
            <w:pPr>
              <w:rPr>
                <w:sz w:val="22"/>
                <w:szCs w:val="22"/>
                <w:lang w:val="en-AU"/>
              </w:rPr>
            </w:pPr>
          </w:p>
          <w:p w14:paraId="33A28623" w14:textId="77777777" w:rsidR="0080202A" w:rsidRDefault="0080202A" w:rsidP="155CFE9A">
            <w:pPr>
              <w:rPr>
                <w:sz w:val="22"/>
                <w:szCs w:val="22"/>
                <w:lang w:val="en-AU"/>
              </w:rPr>
            </w:pPr>
          </w:p>
          <w:p w14:paraId="0A87BA44" w14:textId="1A388468" w:rsidR="0080202A" w:rsidRPr="0080202A" w:rsidRDefault="0080202A" w:rsidP="155CFE9A">
            <w:pPr>
              <w:rPr>
                <w:sz w:val="22"/>
                <w:szCs w:val="22"/>
                <w:lang w:val="en-AU"/>
              </w:rPr>
            </w:pPr>
          </w:p>
        </w:tc>
      </w:tr>
    </w:tbl>
    <w:p w14:paraId="69DE944F" w14:textId="739C97CA" w:rsidR="155CFE9A" w:rsidRDefault="155CFE9A" w:rsidP="155CFE9A">
      <w:pPr>
        <w:rPr>
          <w:sz w:val="22"/>
          <w:szCs w:val="22"/>
          <w:highlight w:val="yellow"/>
        </w:rPr>
      </w:pPr>
    </w:p>
    <w:p w14:paraId="63A377DD" w14:textId="4FA03520" w:rsidR="00AC1058" w:rsidRDefault="00AC1058" w:rsidP="00AC1058">
      <w:pPr>
        <w:rPr>
          <w:sz w:val="22"/>
          <w:szCs w:val="22"/>
        </w:rPr>
      </w:pPr>
    </w:p>
    <w:p w14:paraId="36DC2E47" w14:textId="5D663B87" w:rsidR="00AC1058" w:rsidRPr="00AC1058" w:rsidRDefault="00AC1058" w:rsidP="00AC1058">
      <w:pPr>
        <w:rPr>
          <w:sz w:val="22"/>
          <w:szCs w:val="22"/>
          <w:lang w:val="en-AU"/>
        </w:rPr>
      </w:pPr>
      <w:r w:rsidRPr="00AC1058">
        <w:rPr>
          <w:sz w:val="22"/>
          <w:szCs w:val="22"/>
        </w:rPr>
        <w:t>This resource is from the ‘Introduction to Gender-Responsive Health’ e-learning course by Australian Women’s Health Alliance. Visit</w:t>
      </w:r>
      <w:r>
        <w:rPr>
          <w:sz w:val="22"/>
          <w:szCs w:val="22"/>
        </w:rPr>
        <w:t xml:space="preserve"> the </w:t>
      </w:r>
      <w:hyperlink r:id="rId12" w:history="1">
        <w:r w:rsidRPr="00AC1058">
          <w:rPr>
            <w:rStyle w:val="Hyperlink"/>
            <w:sz w:val="22"/>
            <w:szCs w:val="22"/>
          </w:rPr>
          <w:t>Women’s Health Hub</w:t>
        </w:r>
      </w:hyperlink>
      <w:r>
        <w:rPr>
          <w:sz w:val="22"/>
          <w:szCs w:val="22"/>
        </w:rPr>
        <w:t xml:space="preserve"> at</w:t>
      </w:r>
      <w:r w:rsidRPr="00AC1058">
        <w:rPr>
          <w:sz w:val="22"/>
          <w:szCs w:val="22"/>
        </w:rPr>
        <w:t xml:space="preserve"> </w:t>
      </w:r>
      <w:hyperlink r:id="rId13" w:tgtFrame="_blank" w:history="1">
        <w:r w:rsidRPr="00AC1058">
          <w:rPr>
            <w:rStyle w:val="Hyperlink"/>
            <w:sz w:val="22"/>
            <w:szCs w:val="22"/>
          </w:rPr>
          <w:t>AustralianWomensHealth.org</w:t>
        </w:r>
      </w:hyperlink>
      <w:r w:rsidRPr="00AC1058">
        <w:rPr>
          <w:sz w:val="22"/>
          <w:szCs w:val="22"/>
        </w:rPr>
        <w:t xml:space="preserve"> to learn more. </w:t>
      </w:r>
      <w:r w:rsidRPr="00AC1058">
        <w:rPr>
          <w:sz w:val="22"/>
          <w:szCs w:val="22"/>
          <w:lang w:val="en-AU"/>
        </w:rPr>
        <w:t> </w:t>
      </w:r>
    </w:p>
    <w:p w14:paraId="37E832E2" w14:textId="77777777" w:rsidR="00AC1058" w:rsidRPr="00AC1058" w:rsidRDefault="00AC1058" w:rsidP="00AC1058">
      <w:pPr>
        <w:rPr>
          <w:sz w:val="22"/>
          <w:szCs w:val="22"/>
          <w:lang w:val="en-AU"/>
        </w:rPr>
      </w:pPr>
      <w:r w:rsidRPr="00AC1058">
        <w:rPr>
          <w:sz w:val="22"/>
          <w:szCs w:val="22"/>
          <w:lang w:val="en-AU"/>
        </w:rPr>
        <w:t> </w:t>
      </w:r>
    </w:p>
    <w:p w14:paraId="596B0D8C" w14:textId="52ACF336" w:rsidR="00AC1058" w:rsidRPr="00AC1058" w:rsidRDefault="00AC1058" w:rsidP="00AC1058">
      <w:pPr>
        <w:rPr>
          <w:sz w:val="22"/>
          <w:szCs w:val="22"/>
          <w:lang w:val="en-AU"/>
        </w:rPr>
      </w:pPr>
      <w:r w:rsidRPr="00AC1058">
        <w:rPr>
          <w:sz w:val="22"/>
          <w:szCs w:val="22"/>
        </w:rPr>
        <w:t>Last updated May 2025.</w:t>
      </w:r>
      <w:r w:rsidRPr="00AC1058">
        <w:rPr>
          <w:sz w:val="22"/>
          <w:szCs w:val="22"/>
          <w:lang w:val="en-AU"/>
        </w:rPr>
        <w:t> </w:t>
      </w:r>
    </w:p>
    <w:p w14:paraId="0FB3941D" w14:textId="77777777" w:rsidR="008F25C6" w:rsidRPr="00EB337F" w:rsidRDefault="008F25C6" w:rsidP="00413166">
      <w:pPr>
        <w:rPr>
          <w:rFonts w:asciiTheme="majorHAnsi" w:eastAsia="Rubik" w:hAnsiTheme="majorHAnsi" w:cstheme="majorHAnsi"/>
          <w:color w:val="5A006F"/>
          <w:sz w:val="22"/>
          <w:szCs w:val="22"/>
        </w:rPr>
      </w:pPr>
    </w:p>
    <w:p w14:paraId="7745E0F1" w14:textId="77777777" w:rsidR="008F25C6" w:rsidRPr="00EB337F" w:rsidRDefault="008F25C6" w:rsidP="00413166">
      <w:pPr>
        <w:rPr>
          <w:rFonts w:asciiTheme="majorHAnsi" w:eastAsia="Rubik" w:hAnsiTheme="majorHAnsi" w:cstheme="majorHAnsi"/>
          <w:color w:val="5A006F"/>
          <w:sz w:val="22"/>
          <w:szCs w:val="22"/>
        </w:rPr>
      </w:pPr>
    </w:p>
    <w:sectPr w:rsidR="008F25C6" w:rsidRPr="00EB337F" w:rsidSect="002B5496">
      <w:headerReference w:type="default" r:id="rId14"/>
      <w:footerReference w:type="default" r:id="rId15"/>
      <w:headerReference w:type="first" r:id="rId16"/>
      <w:footerReference w:type="first" r:id="rId17"/>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1E9F" w14:textId="77777777" w:rsidR="00816DB1" w:rsidRDefault="00816DB1">
      <w:pPr>
        <w:spacing w:line="240" w:lineRule="auto"/>
      </w:pPr>
      <w:r>
        <w:separator/>
      </w:r>
    </w:p>
  </w:endnote>
  <w:endnote w:type="continuationSeparator" w:id="0">
    <w:p w14:paraId="14937303" w14:textId="77777777" w:rsidR="00816DB1" w:rsidRDefault="00816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regular">
    <w:panose1 w:val="00000000000000000000"/>
    <w:charset w:val="00"/>
    <w:family w:val="roman"/>
    <w:notTrueType/>
    <w:pitch w:val="default"/>
  </w:font>
  <w:font w:name="Rubik">
    <w:altName w:val="Calibri"/>
    <w:panose1 w:val="00000000000000000000"/>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 w:name="Rubik Medium">
    <w:panose1 w:val="00000000000000000000"/>
    <w:charset w:val="00"/>
    <w:family w:val="auto"/>
    <w:pitch w:val="variable"/>
    <w:sig w:usb0="A0002A6F" w:usb1="C000205B" w:usb2="00000000" w:usb3="00000000" w:csb0="000000F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1E50" w14:textId="77777777" w:rsidR="008F25C6" w:rsidRDefault="006A143E">
    <w:pPr>
      <w:jc w:val="right"/>
      <w:rPr>
        <w:color w:val="000000"/>
      </w:rPr>
    </w:pPr>
    <w:r>
      <w:rPr>
        <w:noProof/>
      </w:rPr>
      <w:drawing>
        <wp:anchor distT="114300" distB="114300" distL="114300" distR="114300" simplePos="0" relativeHeight="251658240" behindDoc="0" locked="0" layoutInCell="1" hidden="0" allowOverlap="1" wp14:anchorId="50F9B90D" wp14:editId="173D1280">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0733" w14:textId="77777777" w:rsidR="008F25C6" w:rsidRDefault="006A143E">
    <w:pPr>
      <w:jc w:val="right"/>
      <w:rPr>
        <w:color w:val="000000"/>
      </w:rPr>
    </w:pPr>
    <w:r>
      <w:rPr>
        <w:noProof/>
      </w:rPr>
      <w:drawing>
        <wp:anchor distT="114300" distB="114300" distL="114300" distR="114300" simplePos="0" relativeHeight="251658241" behindDoc="0" locked="0" layoutInCell="1" hidden="0" allowOverlap="1" wp14:anchorId="3828F7EA" wp14:editId="16BBA626">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6E5F2" w14:textId="77777777" w:rsidR="00816DB1" w:rsidRDefault="00816DB1">
      <w:pPr>
        <w:spacing w:line="240" w:lineRule="auto"/>
      </w:pPr>
      <w:r>
        <w:separator/>
      </w:r>
    </w:p>
  </w:footnote>
  <w:footnote w:type="continuationSeparator" w:id="0">
    <w:p w14:paraId="58180750" w14:textId="77777777" w:rsidR="00816DB1" w:rsidRDefault="00816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E853" w14:textId="77777777" w:rsidR="008F25C6" w:rsidRDefault="006A143E">
    <w:r>
      <w:rPr>
        <w:noProof/>
      </w:rPr>
      <w:drawing>
        <wp:inline distT="0" distB="0" distL="0" distR="0" wp14:anchorId="3D06E63D" wp14:editId="4CBB8568">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4BF8A061"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37EA" w14:textId="77777777" w:rsidR="008F25C6" w:rsidRDefault="006A143E" w:rsidP="1A1A1CC6">
    <w:pPr>
      <w:rPr>
        <w:color w:val="7030A0"/>
      </w:rPr>
    </w:pPr>
    <w:r>
      <w:rPr>
        <w:noProof/>
      </w:rPr>
      <w:drawing>
        <wp:anchor distT="114300" distB="114300" distL="114300" distR="114300" simplePos="0" relativeHeight="251658242" behindDoc="0" locked="0" layoutInCell="1" hidden="0" allowOverlap="1" wp14:anchorId="1CFB65C2" wp14:editId="737B9239">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43233A7A"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4307D331" w14:textId="77777777" w:rsidR="000377AE" w:rsidRDefault="000377AE" w:rsidP="1A1A1CC6">
          <w:pPr>
            <w:rPr>
              <w:color w:val="7030A0"/>
            </w:rPr>
          </w:pPr>
          <w:r>
            <w:rPr>
              <w:noProof/>
            </w:rPr>
            <w:drawing>
              <wp:inline distT="0" distB="0" distL="0" distR="0" wp14:anchorId="66A5913C" wp14:editId="78C1A6CD">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p w14:paraId="1E3DC7B5" w14:textId="77777777" w:rsidR="000377AE" w:rsidRDefault="000377AE" w:rsidP="1A1A1CC6"/>
      </w:tc>
    </w:tr>
  </w:tbl>
  <w:p w14:paraId="39873E5A"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3E7A6"/>
    <w:multiLevelType w:val="hybridMultilevel"/>
    <w:tmpl w:val="FFFFFFFF"/>
    <w:lvl w:ilvl="0" w:tplc="A5F42782">
      <w:start w:val="1"/>
      <w:numFmt w:val="bullet"/>
      <w:lvlText w:val=""/>
      <w:lvlJc w:val="left"/>
      <w:pPr>
        <w:ind w:left="720" w:hanging="360"/>
      </w:pPr>
      <w:rPr>
        <w:rFonts w:ascii="Symbol" w:hAnsi="Symbol" w:hint="default"/>
      </w:rPr>
    </w:lvl>
    <w:lvl w:ilvl="1" w:tplc="2070CE18">
      <w:start w:val="1"/>
      <w:numFmt w:val="bullet"/>
      <w:lvlText w:val="o"/>
      <w:lvlJc w:val="left"/>
      <w:pPr>
        <w:ind w:left="1440" w:hanging="360"/>
      </w:pPr>
      <w:rPr>
        <w:rFonts w:ascii="Courier New" w:hAnsi="Courier New" w:hint="default"/>
      </w:rPr>
    </w:lvl>
    <w:lvl w:ilvl="2" w:tplc="F704E974">
      <w:start w:val="1"/>
      <w:numFmt w:val="bullet"/>
      <w:lvlText w:val=""/>
      <w:lvlJc w:val="left"/>
      <w:pPr>
        <w:ind w:left="2160" w:hanging="360"/>
      </w:pPr>
      <w:rPr>
        <w:rFonts w:ascii="Wingdings" w:hAnsi="Wingdings" w:hint="default"/>
      </w:rPr>
    </w:lvl>
    <w:lvl w:ilvl="3" w:tplc="C5E43E98">
      <w:start w:val="1"/>
      <w:numFmt w:val="bullet"/>
      <w:lvlText w:val=""/>
      <w:lvlJc w:val="left"/>
      <w:pPr>
        <w:ind w:left="2880" w:hanging="360"/>
      </w:pPr>
      <w:rPr>
        <w:rFonts w:ascii="Symbol" w:hAnsi="Symbol" w:hint="default"/>
      </w:rPr>
    </w:lvl>
    <w:lvl w:ilvl="4" w:tplc="AA04E220">
      <w:start w:val="1"/>
      <w:numFmt w:val="bullet"/>
      <w:lvlText w:val="o"/>
      <w:lvlJc w:val="left"/>
      <w:pPr>
        <w:ind w:left="3600" w:hanging="360"/>
      </w:pPr>
      <w:rPr>
        <w:rFonts w:ascii="Courier New" w:hAnsi="Courier New" w:hint="default"/>
      </w:rPr>
    </w:lvl>
    <w:lvl w:ilvl="5" w:tplc="6DDAB9A2">
      <w:start w:val="1"/>
      <w:numFmt w:val="bullet"/>
      <w:lvlText w:val=""/>
      <w:lvlJc w:val="left"/>
      <w:pPr>
        <w:ind w:left="4320" w:hanging="360"/>
      </w:pPr>
      <w:rPr>
        <w:rFonts w:ascii="Wingdings" w:hAnsi="Wingdings" w:hint="default"/>
      </w:rPr>
    </w:lvl>
    <w:lvl w:ilvl="6" w:tplc="1D604C58">
      <w:start w:val="1"/>
      <w:numFmt w:val="bullet"/>
      <w:lvlText w:val=""/>
      <w:lvlJc w:val="left"/>
      <w:pPr>
        <w:ind w:left="5040" w:hanging="360"/>
      </w:pPr>
      <w:rPr>
        <w:rFonts w:ascii="Symbol" w:hAnsi="Symbol" w:hint="default"/>
      </w:rPr>
    </w:lvl>
    <w:lvl w:ilvl="7" w:tplc="4336E3FE">
      <w:start w:val="1"/>
      <w:numFmt w:val="bullet"/>
      <w:lvlText w:val="o"/>
      <w:lvlJc w:val="left"/>
      <w:pPr>
        <w:ind w:left="5760" w:hanging="360"/>
      </w:pPr>
      <w:rPr>
        <w:rFonts w:ascii="Courier New" w:hAnsi="Courier New" w:hint="default"/>
      </w:rPr>
    </w:lvl>
    <w:lvl w:ilvl="8" w:tplc="1AA0AFF6">
      <w:start w:val="1"/>
      <w:numFmt w:val="bullet"/>
      <w:lvlText w:val=""/>
      <w:lvlJc w:val="left"/>
      <w:pPr>
        <w:ind w:left="6480" w:hanging="360"/>
      </w:pPr>
      <w:rPr>
        <w:rFonts w:ascii="Wingdings" w:hAnsi="Wingdings" w:hint="default"/>
      </w:rPr>
    </w:lvl>
  </w:abstractNum>
  <w:abstractNum w:abstractNumId="1"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532933">
    <w:abstractNumId w:val="0"/>
  </w:num>
  <w:num w:numId="2" w16cid:durableId="235558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58"/>
    <w:rsid w:val="000377AE"/>
    <w:rsid w:val="00083FC9"/>
    <w:rsid w:val="000B7EB0"/>
    <w:rsid w:val="000C4B48"/>
    <w:rsid w:val="000D4F71"/>
    <w:rsid w:val="000E4EE5"/>
    <w:rsid w:val="000F59D1"/>
    <w:rsid w:val="00157B87"/>
    <w:rsid w:val="001A0EDE"/>
    <w:rsid w:val="001A4C07"/>
    <w:rsid w:val="002A712F"/>
    <w:rsid w:val="002A7500"/>
    <w:rsid w:val="002B5496"/>
    <w:rsid w:val="002F7495"/>
    <w:rsid w:val="00302CFE"/>
    <w:rsid w:val="00325D78"/>
    <w:rsid w:val="00333FE0"/>
    <w:rsid w:val="00340B32"/>
    <w:rsid w:val="00362F82"/>
    <w:rsid w:val="003C6B9D"/>
    <w:rsid w:val="00413166"/>
    <w:rsid w:val="00447BE7"/>
    <w:rsid w:val="00454AA4"/>
    <w:rsid w:val="00485690"/>
    <w:rsid w:val="004A0B9A"/>
    <w:rsid w:val="00513DC9"/>
    <w:rsid w:val="00580736"/>
    <w:rsid w:val="005C0F1D"/>
    <w:rsid w:val="005F731C"/>
    <w:rsid w:val="00600D7F"/>
    <w:rsid w:val="00664D0C"/>
    <w:rsid w:val="006866BC"/>
    <w:rsid w:val="006A143E"/>
    <w:rsid w:val="00790CE3"/>
    <w:rsid w:val="0080202A"/>
    <w:rsid w:val="00816DB1"/>
    <w:rsid w:val="00847A98"/>
    <w:rsid w:val="008A433C"/>
    <w:rsid w:val="008A79D0"/>
    <w:rsid w:val="008F25C6"/>
    <w:rsid w:val="00993286"/>
    <w:rsid w:val="009D2032"/>
    <w:rsid w:val="00AA7E26"/>
    <w:rsid w:val="00AB6A6B"/>
    <w:rsid w:val="00AC1058"/>
    <w:rsid w:val="00AE64C5"/>
    <w:rsid w:val="00B538CD"/>
    <w:rsid w:val="00B715FE"/>
    <w:rsid w:val="00BB0A41"/>
    <w:rsid w:val="00BC16E7"/>
    <w:rsid w:val="00BF72E2"/>
    <w:rsid w:val="00C078A2"/>
    <w:rsid w:val="00C440CB"/>
    <w:rsid w:val="00C4786D"/>
    <w:rsid w:val="00C524BF"/>
    <w:rsid w:val="00C754AA"/>
    <w:rsid w:val="00C7775B"/>
    <w:rsid w:val="00CA7E8E"/>
    <w:rsid w:val="00CB56F5"/>
    <w:rsid w:val="00CD4800"/>
    <w:rsid w:val="00D214DF"/>
    <w:rsid w:val="00D3424F"/>
    <w:rsid w:val="00D634F1"/>
    <w:rsid w:val="00D725CF"/>
    <w:rsid w:val="00DA1DC8"/>
    <w:rsid w:val="00E0589E"/>
    <w:rsid w:val="00E8111A"/>
    <w:rsid w:val="00EB337F"/>
    <w:rsid w:val="00EF51C8"/>
    <w:rsid w:val="00F71EBB"/>
    <w:rsid w:val="00FD5C10"/>
    <w:rsid w:val="0C5ED419"/>
    <w:rsid w:val="1450BDA1"/>
    <w:rsid w:val="155CFE9A"/>
    <w:rsid w:val="172CBD00"/>
    <w:rsid w:val="19C55204"/>
    <w:rsid w:val="1A1A1CC6"/>
    <w:rsid w:val="1FDFAEFA"/>
    <w:rsid w:val="2F3B6B1E"/>
    <w:rsid w:val="2F58FC60"/>
    <w:rsid w:val="30C130E0"/>
    <w:rsid w:val="31528725"/>
    <w:rsid w:val="32119AA9"/>
    <w:rsid w:val="33781C28"/>
    <w:rsid w:val="377453AC"/>
    <w:rsid w:val="3AF868D2"/>
    <w:rsid w:val="3EFF4C5A"/>
    <w:rsid w:val="3F71A863"/>
    <w:rsid w:val="40019F59"/>
    <w:rsid w:val="4005D898"/>
    <w:rsid w:val="409B1CBB"/>
    <w:rsid w:val="47DCA9BD"/>
    <w:rsid w:val="4BFA0AFE"/>
    <w:rsid w:val="4CD65916"/>
    <w:rsid w:val="54F1DB20"/>
    <w:rsid w:val="594F5327"/>
    <w:rsid w:val="59EF4783"/>
    <w:rsid w:val="60C55891"/>
    <w:rsid w:val="61AC7BC8"/>
    <w:rsid w:val="62A10A5C"/>
    <w:rsid w:val="674E0F3F"/>
    <w:rsid w:val="6ACFAF18"/>
    <w:rsid w:val="6B50CEB1"/>
    <w:rsid w:val="6BB6037C"/>
    <w:rsid w:val="6FE13D70"/>
    <w:rsid w:val="7299E082"/>
    <w:rsid w:val="73669F8E"/>
    <w:rsid w:val="75D18144"/>
    <w:rsid w:val="7A2420FF"/>
    <w:rsid w:val="7B8538F2"/>
    <w:rsid w:val="7CFED165"/>
    <w:rsid w:val="7E535C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46155"/>
  <w15:docId w15:val="{952D1AE0-68D6-462D-ADE3-ED93894D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9239">
      <w:bodyDiv w:val="1"/>
      <w:marLeft w:val="0"/>
      <w:marRight w:val="0"/>
      <w:marTop w:val="0"/>
      <w:marBottom w:val="0"/>
      <w:divBdr>
        <w:top w:val="none" w:sz="0" w:space="0" w:color="auto"/>
        <w:left w:val="none" w:sz="0" w:space="0" w:color="auto"/>
        <w:bottom w:val="none" w:sz="0" w:space="0" w:color="auto"/>
        <w:right w:val="none" w:sz="0" w:space="0" w:color="auto"/>
      </w:divBdr>
    </w:div>
    <w:div w:id="182405319">
      <w:bodyDiv w:val="1"/>
      <w:marLeft w:val="0"/>
      <w:marRight w:val="0"/>
      <w:marTop w:val="0"/>
      <w:marBottom w:val="0"/>
      <w:divBdr>
        <w:top w:val="none" w:sz="0" w:space="0" w:color="auto"/>
        <w:left w:val="none" w:sz="0" w:space="0" w:color="auto"/>
        <w:bottom w:val="none" w:sz="0" w:space="0" w:color="auto"/>
        <w:right w:val="none" w:sz="0" w:space="0" w:color="auto"/>
      </w:divBdr>
      <w:divsChild>
        <w:div w:id="160313745">
          <w:marLeft w:val="0"/>
          <w:marRight w:val="0"/>
          <w:marTop w:val="0"/>
          <w:marBottom w:val="0"/>
          <w:divBdr>
            <w:top w:val="none" w:sz="0" w:space="0" w:color="auto"/>
            <w:left w:val="none" w:sz="0" w:space="0" w:color="auto"/>
            <w:bottom w:val="none" w:sz="0" w:space="0" w:color="auto"/>
            <w:right w:val="none" w:sz="0" w:space="0" w:color="auto"/>
          </w:divBdr>
        </w:div>
        <w:div w:id="757486208">
          <w:marLeft w:val="0"/>
          <w:marRight w:val="0"/>
          <w:marTop w:val="0"/>
          <w:marBottom w:val="0"/>
          <w:divBdr>
            <w:top w:val="none" w:sz="0" w:space="0" w:color="auto"/>
            <w:left w:val="none" w:sz="0" w:space="0" w:color="auto"/>
            <w:bottom w:val="none" w:sz="0" w:space="0" w:color="auto"/>
            <w:right w:val="none" w:sz="0" w:space="0" w:color="auto"/>
          </w:divBdr>
        </w:div>
        <w:div w:id="1140345564">
          <w:marLeft w:val="0"/>
          <w:marRight w:val="0"/>
          <w:marTop w:val="0"/>
          <w:marBottom w:val="0"/>
          <w:divBdr>
            <w:top w:val="none" w:sz="0" w:space="0" w:color="auto"/>
            <w:left w:val="none" w:sz="0" w:space="0" w:color="auto"/>
            <w:bottom w:val="none" w:sz="0" w:space="0" w:color="auto"/>
            <w:right w:val="none" w:sz="0" w:space="0" w:color="auto"/>
          </w:divBdr>
        </w:div>
      </w:divsChild>
    </w:div>
    <w:div w:id="669672996">
      <w:bodyDiv w:val="1"/>
      <w:marLeft w:val="0"/>
      <w:marRight w:val="0"/>
      <w:marTop w:val="0"/>
      <w:marBottom w:val="0"/>
      <w:divBdr>
        <w:top w:val="none" w:sz="0" w:space="0" w:color="auto"/>
        <w:left w:val="none" w:sz="0" w:space="0" w:color="auto"/>
        <w:bottom w:val="none" w:sz="0" w:space="0" w:color="auto"/>
        <w:right w:val="none" w:sz="0" w:space="0" w:color="auto"/>
      </w:divBdr>
    </w:div>
    <w:div w:id="898244436">
      <w:bodyDiv w:val="1"/>
      <w:marLeft w:val="0"/>
      <w:marRight w:val="0"/>
      <w:marTop w:val="0"/>
      <w:marBottom w:val="0"/>
      <w:divBdr>
        <w:top w:val="none" w:sz="0" w:space="0" w:color="auto"/>
        <w:left w:val="none" w:sz="0" w:space="0" w:color="auto"/>
        <w:bottom w:val="none" w:sz="0" w:space="0" w:color="auto"/>
        <w:right w:val="none" w:sz="0" w:space="0" w:color="auto"/>
      </w:divBdr>
      <w:divsChild>
        <w:div w:id="1105154035">
          <w:marLeft w:val="0"/>
          <w:marRight w:val="0"/>
          <w:marTop w:val="0"/>
          <w:marBottom w:val="0"/>
          <w:divBdr>
            <w:top w:val="none" w:sz="0" w:space="0" w:color="auto"/>
            <w:left w:val="none" w:sz="0" w:space="0" w:color="auto"/>
            <w:bottom w:val="none" w:sz="0" w:space="0" w:color="auto"/>
            <w:right w:val="none" w:sz="0" w:space="0" w:color="auto"/>
          </w:divBdr>
        </w:div>
        <w:div w:id="1168053998">
          <w:marLeft w:val="0"/>
          <w:marRight w:val="0"/>
          <w:marTop w:val="0"/>
          <w:marBottom w:val="0"/>
          <w:divBdr>
            <w:top w:val="none" w:sz="0" w:space="0" w:color="auto"/>
            <w:left w:val="none" w:sz="0" w:space="0" w:color="auto"/>
            <w:bottom w:val="none" w:sz="0" w:space="0" w:color="auto"/>
            <w:right w:val="none" w:sz="0" w:space="0" w:color="auto"/>
          </w:divBdr>
        </w:div>
        <w:div w:id="2032105362">
          <w:marLeft w:val="0"/>
          <w:marRight w:val="0"/>
          <w:marTop w:val="0"/>
          <w:marBottom w:val="0"/>
          <w:divBdr>
            <w:top w:val="none" w:sz="0" w:space="0" w:color="auto"/>
            <w:left w:val="none" w:sz="0" w:space="0" w:color="auto"/>
            <w:bottom w:val="none" w:sz="0" w:space="0" w:color="auto"/>
            <w:right w:val="none" w:sz="0" w:space="0" w:color="auto"/>
          </w:divBdr>
        </w:div>
      </w:divsChild>
    </w:div>
    <w:div w:id="1820615614">
      <w:bodyDiv w:val="1"/>
      <w:marLeft w:val="0"/>
      <w:marRight w:val="0"/>
      <w:marTop w:val="0"/>
      <w:marBottom w:val="0"/>
      <w:divBdr>
        <w:top w:val="none" w:sz="0" w:space="0" w:color="auto"/>
        <w:left w:val="none" w:sz="0" w:space="0" w:color="auto"/>
        <w:bottom w:val="none" w:sz="0" w:space="0" w:color="auto"/>
        <w:right w:val="none" w:sz="0" w:space="0" w:color="auto"/>
      </w:divBdr>
      <w:divsChild>
        <w:div w:id="9332111">
          <w:marLeft w:val="0"/>
          <w:marRight w:val="0"/>
          <w:marTop w:val="0"/>
          <w:marBottom w:val="0"/>
          <w:divBdr>
            <w:top w:val="none" w:sz="0" w:space="0" w:color="auto"/>
            <w:left w:val="none" w:sz="0" w:space="0" w:color="auto"/>
            <w:bottom w:val="none" w:sz="0" w:space="0" w:color="auto"/>
            <w:right w:val="none" w:sz="0" w:space="0" w:color="auto"/>
          </w:divBdr>
        </w:div>
        <w:div w:id="1282104389">
          <w:marLeft w:val="0"/>
          <w:marRight w:val="0"/>
          <w:marTop w:val="0"/>
          <w:marBottom w:val="0"/>
          <w:divBdr>
            <w:top w:val="none" w:sz="0" w:space="0" w:color="auto"/>
            <w:left w:val="none" w:sz="0" w:space="0" w:color="auto"/>
            <w:bottom w:val="none" w:sz="0" w:space="0" w:color="auto"/>
            <w:right w:val="none" w:sz="0" w:space="0" w:color="auto"/>
          </w:divBdr>
        </w:div>
        <w:div w:id="1303383596">
          <w:marLeft w:val="0"/>
          <w:marRight w:val="0"/>
          <w:marTop w:val="0"/>
          <w:marBottom w:val="0"/>
          <w:divBdr>
            <w:top w:val="none" w:sz="0" w:space="0" w:color="auto"/>
            <w:left w:val="none" w:sz="0" w:space="0" w:color="auto"/>
            <w:bottom w:val="none" w:sz="0" w:space="0" w:color="auto"/>
            <w:right w:val="none" w:sz="0" w:space="0" w:color="auto"/>
          </w:divBdr>
        </w:div>
      </w:divsChild>
    </w:div>
    <w:div w:id="1889872980">
      <w:bodyDiv w:val="1"/>
      <w:marLeft w:val="0"/>
      <w:marRight w:val="0"/>
      <w:marTop w:val="0"/>
      <w:marBottom w:val="0"/>
      <w:divBdr>
        <w:top w:val="none" w:sz="0" w:space="0" w:color="auto"/>
        <w:left w:val="none" w:sz="0" w:space="0" w:color="auto"/>
        <w:bottom w:val="none" w:sz="0" w:space="0" w:color="auto"/>
        <w:right w:val="none" w:sz="0" w:space="0" w:color="auto"/>
      </w:divBdr>
      <w:divsChild>
        <w:div w:id="301811229">
          <w:marLeft w:val="0"/>
          <w:marRight w:val="0"/>
          <w:marTop w:val="0"/>
          <w:marBottom w:val="0"/>
          <w:divBdr>
            <w:top w:val="none" w:sz="0" w:space="0" w:color="auto"/>
            <w:left w:val="none" w:sz="0" w:space="0" w:color="auto"/>
            <w:bottom w:val="none" w:sz="0" w:space="0" w:color="auto"/>
            <w:right w:val="none" w:sz="0" w:space="0" w:color="auto"/>
          </w:divBdr>
        </w:div>
        <w:div w:id="727457504">
          <w:marLeft w:val="0"/>
          <w:marRight w:val="0"/>
          <w:marTop w:val="0"/>
          <w:marBottom w:val="0"/>
          <w:divBdr>
            <w:top w:val="none" w:sz="0" w:space="0" w:color="auto"/>
            <w:left w:val="none" w:sz="0" w:space="0" w:color="auto"/>
            <w:bottom w:val="none" w:sz="0" w:space="0" w:color="auto"/>
            <w:right w:val="none" w:sz="0" w:space="0" w:color="auto"/>
          </w:divBdr>
        </w:div>
        <w:div w:id="14285769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ustralianwomenshealth.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tralianwomenshealth.org/resource/e-learning-course-introduction-to-gender-responsive-heal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nnaAguilar\OneDrive%20-%20Australian%20Womens%20Health%20Network\Comms\Templates\Policy%20Brief%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SharedWithUsers xmlns="5b707c4a-f0af-4a30-ae8a-e74992196a0f">
      <UserInfo>
        <DisplayName/>
        <AccountId xsi:nil="true"/>
        <AccountType/>
      </UserInfo>
    </SharedWithUsers>
    <MediaLengthInSeconds xmlns="153f973e-18e3-4683-9db9-a8b30f12dd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2.xml><?xml version="1.0" encoding="utf-8"?>
<ds:datastoreItem xmlns:ds="http://schemas.openxmlformats.org/officeDocument/2006/customXml" ds:itemID="{6A125756-A995-4714-AB2B-EF4765D86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153f973e-18e3-4683-9db9-a8b30f12ddca"/>
    <ds:schemaRef ds:uri="5b707c4a-f0af-4a30-ae8a-e74992196a0f"/>
  </ds:schemaRefs>
</ds:datastoreItem>
</file>

<file path=customXml/itemProps4.xml><?xml version="1.0" encoding="utf-8"?>
<ds:datastoreItem xmlns:ds="http://schemas.openxmlformats.org/officeDocument/2006/customXml" ds:itemID="{CDA187AD-0EDB-4B4C-AC27-3835DA922188}">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Policy%20Brief%20template%20FINAL</Template>
  <TotalTime>0</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Women's Health Alliance</dc:creator>
  <cp:keywords/>
  <cp:lastModifiedBy>Sienna Aguilar</cp:lastModifiedBy>
  <cp:revision>2</cp:revision>
  <dcterms:created xsi:type="dcterms:W3CDTF">2025-05-24T09:30:00Z</dcterms:created>
  <dcterms:modified xsi:type="dcterms:W3CDTF">2025-05-24T09:30:00Z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