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53FC" w14:textId="13E9EF5E" w:rsidR="001A0EDE" w:rsidRPr="000570AE" w:rsidRDefault="00807EC4" w:rsidP="000377AE">
      <w:pPr>
        <w:pStyle w:val="Style1"/>
        <w:rPr>
          <w:rFonts w:ascii="Rubik" w:hAnsi="Rubik"/>
        </w:rPr>
      </w:pPr>
      <w:r w:rsidRPr="000570AE">
        <w:rPr>
          <w:rFonts w:ascii="Rubik" w:hAnsi="Rubik"/>
        </w:rPr>
        <w:t>Toolkit Resource</w:t>
      </w:r>
    </w:p>
    <w:p w14:paraId="59BBA836" w14:textId="3F85CDAB" w:rsidR="002A7500" w:rsidRPr="000570AE" w:rsidRDefault="00807EC4" w:rsidP="000377AE">
      <w:pPr>
        <w:pStyle w:val="Heading2"/>
        <w:spacing w:after="0"/>
        <w:rPr>
          <w:rFonts w:ascii="Rubik" w:hAnsi="Rubik"/>
        </w:rPr>
      </w:pPr>
      <w:bookmarkStart w:id="0" w:name="_usdc0nj6twdp" w:colFirst="0" w:colLast="0"/>
      <w:bookmarkEnd w:id="0"/>
      <w:r w:rsidRPr="000570AE">
        <w:rPr>
          <w:rFonts w:ascii="Rubik" w:hAnsi="Rubik"/>
        </w:rPr>
        <w:t>Example actions to address gender-based violence</w:t>
      </w:r>
    </w:p>
    <w:p w14:paraId="0F310C44" w14:textId="77777777" w:rsidR="000377AE" w:rsidRPr="00807EC4" w:rsidRDefault="000377AE" w:rsidP="000377AE">
      <w:pPr>
        <w:rPr>
          <w:sz w:val="22"/>
          <w:szCs w:val="22"/>
        </w:rPr>
      </w:pPr>
    </w:p>
    <w:p w14:paraId="48FE9F3F" w14:textId="48CBD59A" w:rsidR="00807EC4" w:rsidRDefault="00807EC4" w:rsidP="000377AE">
      <w:pPr>
        <w:rPr>
          <w:sz w:val="22"/>
          <w:szCs w:val="22"/>
        </w:rPr>
      </w:pPr>
      <w:r w:rsidRPr="00807EC4">
        <w:rPr>
          <w:sz w:val="22"/>
          <w:szCs w:val="22"/>
        </w:rPr>
        <w:t>We all play a role in preventing and ending all forms of gender-based violence.</w:t>
      </w:r>
      <w:r>
        <w:rPr>
          <w:sz w:val="22"/>
          <w:szCs w:val="22"/>
        </w:rPr>
        <w:t xml:space="preserve"> As a major public health issue in Australia and globally, responding to and preventing gender-based violence are key preventive health measures.</w:t>
      </w:r>
    </w:p>
    <w:p w14:paraId="5AD3F0A6" w14:textId="77777777" w:rsidR="00807EC4" w:rsidRDefault="00807EC4" w:rsidP="000377AE">
      <w:pPr>
        <w:rPr>
          <w:sz w:val="22"/>
          <w:szCs w:val="22"/>
        </w:rPr>
      </w:pPr>
    </w:p>
    <w:p w14:paraId="6B78ADE9" w14:textId="1B3BF7CF" w:rsidR="00807EC4" w:rsidRPr="00807EC4" w:rsidRDefault="00807EC4" w:rsidP="000377AE">
      <w:pPr>
        <w:rPr>
          <w:sz w:val="22"/>
          <w:szCs w:val="22"/>
        </w:rPr>
      </w:pPr>
      <w:r>
        <w:rPr>
          <w:sz w:val="22"/>
          <w:szCs w:val="22"/>
        </w:rPr>
        <w:t>This document contains examples of gender-responsive actions that can be taken by individual professionals and community members, as well workplaces and organisations.</w:t>
      </w:r>
    </w:p>
    <w:p w14:paraId="1C8133EA" w14:textId="77777777" w:rsidR="001A0EDE" w:rsidRPr="000E4EE5" w:rsidRDefault="001A0EDE" w:rsidP="002A7500">
      <w:pPr>
        <w:pStyle w:val="Title"/>
        <w:rPr>
          <w:sz w:val="22"/>
          <w:szCs w:val="22"/>
        </w:rPr>
      </w:pPr>
    </w:p>
    <w:p w14:paraId="353164AE" w14:textId="288BF50A" w:rsidR="00807EC4" w:rsidRPr="000570AE" w:rsidRDefault="00807EC4" w:rsidP="00807EC4">
      <w:pPr>
        <w:pStyle w:val="Heading3"/>
        <w:rPr>
          <w:rFonts w:ascii="Rubik" w:hAnsi="Rubik" w:cs="Rubik"/>
        </w:rPr>
      </w:pPr>
      <w:bookmarkStart w:id="1" w:name="_6orn3b6nvj35" w:colFirst="0" w:colLast="0"/>
      <w:bookmarkEnd w:id="1"/>
      <w:r w:rsidRPr="000570AE">
        <w:rPr>
          <w:rFonts w:ascii="Rubik" w:hAnsi="Rubik" w:cs="Rubik"/>
          <w:sz w:val="22"/>
          <w:szCs w:val="22"/>
        </w:rPr>
        <w:t>Individual profession/practice</w:t>
      </w:r>
    </w:p>
    <w:p w14:paraId="42F0330A" w14:textId="77777777" w:rsidR="00807EC4" w:rsidRDefault="00807EC4" w:rsidP="00807EC4">
      <w:pPr>
        <w:pStyle w:val="ListParagraph"/>
        <w:numPr>
          <w:ilvl w:val="0"/>
          <w:numId w:val="2"/>
        </w:numPr>
        <w:pBdr>
          <w:top w:val="nil"/>
          <w:left w:val="nil"/>
          <w:bottom w:val="nil"/>
          <w:right w:val="nil"/>
          <w:between w:val="nil"/>
        </w:pBdr>
        <w:rPr>
          <w:color w:val="000000"/>
          <w:sz w:val="22"/>
          <w:szCs w:val="22"/>
        </w:rPr>
      </w:pPr>
      <w:r w:rsidRPr="2BE0FEE9">
        <w:rPr>
          <w:color w:val="000000" w:themeColor="text1"/>
          <w:sz w:val="22"/>
          <w:szCs w:val="22"/>
        </w:rPr>
        <w:t>Learn more about indicators that a woman or her children may be experiencing family and/or sexual violence</w:t>
      </w:r>
    </w:p>
    <w:p w14:paraId="13E2D995" w14:textId="77777777" w:rsidR="00807EC4" w:rsidRDefault="00807EC4" w:rsidP="00807EC4">
      <w:pPr>
        <w:numPr>
          <w:ilvl w:val="0"/>
          <w:numId w:val="2"/>
        </w:numPr>
        <w:pBdr>
          <w:top w:val="nil"/>
          <w:left w:val="nil"/>
          <w:bottom w:val="nil"/>
          <w:right w:val="nil"/>
          <w:between w:val="nil"/>
        </w:pBdr>
        <w:rPr>
          <w:color w:val="000000"/>
          <w:sz w:val="22"/>
          <w:szCs w:val="22"/>
        </w:rPr>
      </w:pPr>
      <w:r>
        <w:rPr>
          <w:color w:val="000000"/>
          <w:sz w:val="22"/>
          <w:szCs w:val="22"/>
        </w:rPr>
        <w:t>Include or expand referrals to domestic, family and sexual violence (DFSV) services and mental health support services</w:t>
      </w:r>
    </w:p>
    <w:p w14:paraId="57B93C62" w14:textId="2C15C33B" w:rsidR="002C5D29" w:rsidRDefault="002C5D29" w:rsidP="00807EC4">
      <w:pPr>
        <w:numPr>
          <w:ilvl w:val="0"/>
          <w:numId w:val="2"/>
        </w:numPr>
        <w:pBdr>
          <w:top w:val="nil"/>
          <w:left w:val="nil"/>
          <w:bottom w:val="nil"/>
          <w:right w:val="nil"/>
          <w:between w:val="nil"/>
        </w:pBdr>
        <w:rPr>
          <w:color w:val="000000"/>
          <w:sz w:val="22"/>
          <w:szCs w:val="22"/>
        </w:rPr>
      </w:pPr>
      <w:r>
        <w:rPr>
          <w:color w:val="000000"/>
          <w:sz w:val="22"/>
          <w:szCs w:val="22"/>
        </w:rPr>
        <w:t>Build on</w:t>
      </w:r>
      <w:r w:rsidRPr="002C5D29">
        <w:rPr>
          <w:color w:val="000000"/>
          <w:sz w:val="22"/>
          <w:szCs w:val="22"/>
        </w:rPr>
        <w:t xml:space="preserve"> trauma-informed </w:t>
      </w:r>
      <w:r>
        <w:rPr>
          <w:color w:val="000000"/>
          <w:sz w:val="22"/>
          <w:szCs w:val="22"/>
        </w:rPr>
        <w:t>care with continuous professional development</w:t>
      </w:r>
    </w:p>
    <w:p w14:paraId="12FFB65E" w14:textId="1B4B1692" w:rsidR="002C5D29" w:rsidRDefault="002C5D29" w:rsidP="00807EC4">
      <w:pPr>
        <w:numPr>
          <w:ilvl w:val="0"/>
          <w:numId w:val="2"/>
        </w:numPr>
        <w:pBdr>
          <w:top w:val="nil"/>
          <w:left w:val="nil"/>
          <w:bottom w:val="nil"/>
          <w:right w:val="nil"/>
          <w:between w:val="nil"/>
        </w:pBdr>
        <w:rPr>
          <w:color w:val="000000"/>
          <w:sz w:val="22"/>
          <w:szCs w:val="22"/>
        </w:rPr>
      </w:pPr>
      <w:r>
        <w:rPr>
          <w:color w:val="000000"/>
          <w:sz w:val="22"/>
          <w:szCs w:val="22"/>
        </w:rPr>
        <w:t xml:space="preserve">Incorporate </w:t>
      </w:r>
      <w:hyperlink r:id="rId11" w:history="1">
        <w:r w:rsidRPr="002C5D29">
          <w:rPr>
            <w:rStyle w:val="Hyperlink"/>
            <w:sz w:val="22"/>
            <w:szCs w:val="22"/>
          </w:rPr>
          <w:t>vicarious trauma</w:t>
        </w:r>
      </w:hyperlink>
      <w:r>
        <w:rPr>
          <w:color w:val="000000"/>
          <w:sz w:val="22"/>
          <w:szCs w:val="22"/>
        </w:rPr>
        <w:t xml:space="preserve"> training and considerations in practice</w:t>
      </w:r>
      <w:r w:rsidRPr="002C5D29">
        <w:rPr>
          <w:color w:val="000000"/>
          <w:sz w:val="22"/>
          <w:szCs w:val="22"/>
        </w:rPr>
        <w:t xml:space="preserve"> </w:t>
      </w:r>
    </w:p>
    <w:p w14:paraId="2999FF47" w14:textId="68F8A627" w:rsidR="002C5D29" w:rsidRDefault="002C5D29" w:rsidP="00807EC4">
      <w:pPr>
        <w:numPr>
          <w:ilvl w:val="0"/>
          <w:numId w:val="2"/>
        </w:numPr>
        <w:pBdr>
          <w:top w:val="nil"/>
          <w:left w:val="nil"/>
          <w:bottom w:val="nil"/>
          <w:right w:val="nil"/>
          <w:between w:val="nil"/>
        </w:pBdr>
        <w:rPr>
          <w:color w:val="000000"/>
          <w:sz w:val="22"/>
          <w:szCs w:val="22"/>
        </w:rPr>
      </w:pPr>
      <w:r>
        <w:rPr>
          <w:color w:val="000000"/>
          <w:sz w:val="22"/>
          <w:szCs w:val="22"/>
        </w:rPr>
        <w:t xml:space="preserve">Consider </w:t>
      </w:r>
      <w:r w:rsidRPr="002C5D29">
        <w:rPr>
          <w:color w:val="000000"/>
          <w:sz w:val="22"/>
          <w:szCs w:val="22"/>
        </w:rPr>
        <w:t>the impact of violence on women’s health</w:t>
      </w:r>
      <w:r>
        <w:rPr>
          <w:color w:val="000000"/>
          <w:sz w:val="22"/>
          <w:szCs w:val="22"/>
        </w:rPr>
        <w:t xml:space="preserve"> and identify ways to address this in relevant practice</w:t>
      </w:r>
    </w:p>
    <w:p w14:paraId="3885640A" w14:textId="3D7D43EE" w:rsidR="002C5D29" w:rsidRDefault="002C5D29" w:rsidP="00807EC4">
      <w:pPr>
        <w:numPr>
          <w:ilvl w:val="0"/>
          <w:numId w:val="2"/>
        </w:numPr>
        <w:pBdr>
          <w:top w:val="nil"/>
          <w:left w:val="nil"/>
          <w:bottom w:val="nil"/>
          <w:right w:val="nil"/>
          <w:between w:val="nil"/>
        </w:pBdr>
        <w:rPr>
          <w:color w:val="000000"/>
          <w:sz w:val="22"/>
          <w:szCs w:val="22"/>
        </w:rPr>
      </w:pPr>
      <w:r>
        <w:rPr>
          <w:color w:val="000000"/>
          <w:sz w:val="22"/>
          <w:szCs w:val="22"/>
        </w:rPr>
        <w:t xml:space="preserve">Incorporate </w:t>
      </w:r>
      <w:hyperlink r:id="rId12" w:history="1">
        <w:r w:rsidRPr="002C5D29">
          <w:rPr>
            <w:rStyle w:val="Hyperlink"/>
            <w:sz w:val="22"/>
            <w:szCs w:val="22"/>
          </w:rPr>
          <w:t>primary prevention</w:t>
        </w:r>
      </w:hyperlink>
      <w:r>
        <w:rPr>
          <w:color w:val="000000"/>
          <w:sz w:val="22"/>
          <w:szCs w:val="22"/>
        </w:rPr>
        <w:t xml:space="preserve"> </w:t>
      </w:r>
      <w:r w:rsidRPr="002C5D29">
        <w:rPr>
          <w:color w:val="000000"/>
          <w:sz w:val="22"/>
          <w:szCs w:val="22"/>
        </w:rPr>
        <w:t>of gender-based violence</w:t>
      </w:r>
      <w:r>
        <w:rPr>
          <w:color w:val="000000"/>
          <w:sz w:val="22"/>
          <w:szCs w:val="22"/>
        </w:rPr>
        <w:t xml:space="preserve"> into health promotion activities</w:t>
      </w:r>
    </w:p>
    <w:p w14:paraId="00C1DF88" w14:textId="77777777" w:rsidR="00807EC4" w:rsidRDefault="00807EC4" w:rsidP="00807EC4">
      <w:pPr>
        <w:pBdr>
          <w:top w:val="nil"/>
          <w:left w:val="nil"/>
          <w:bottom w:val="nil"/>
          <w:right w:val="nil"/>
          <w:between w:val="nil"/>
        </w:pBdr>
        <w:ind w:left="1080"/>
        <w:rPr>
          <w:color w:val="000000"/>
          <w:sz w:val="22"/>
          <w:szCs w:val="22"/>
        </w:rPr>
      </w:pPr>
    </w:p>
    <w:p w14:paraId="0F584C2B" w14:textId="77777777" w:rsidR="002A7ECB" w:rsidRDefault="002A7ECB" w:rsidP="00807EC4">
      <w:pPr>
        <w:pBdr>
          <w:top w:val="nil"/>
          <w:left w:val="nil"/>
          <w:bottom w:val="nil"/>
          <w:right w:val="nil"/>
          <w:between w:val="nil"/>
        </w:pBdr>
        <w:ind w:left="1080"/>
        <w:rPr>
          <w:color w:val="000000"/>
          <w:sz w:val="22"/>
          <w:szCs w:val="22"/>
        </w:rPr>
      </w:pPr>
    </w:p>
    <w:p w14:paraId="28A912F0" w14:textId="7D97D839" w:rsidR="00807EC4" w:rsidRPr="000570AE" w:rsidRDefault="00807EC4" w:rsidP="00807EC4">
      <w:pPr>
        <w:pStyle w:val="Heading3"/>
        <w:rPr>
          <w:rFonts w:ascii="Rubik" w:hAnsi="Rubik" w:cs="Rubik"/>
          <w:sz w:val="22"/>
          <w:szCs w:val="22"/>
        </w:rPr>
      </w:pPr>
      <w:r w:rsidRPr="000570AE">
        <w:rPr>
          <w:rFonts w:ascii="Rubik" w:hAnsi="Rubik" w:cs="Rubik"/>
          <w:sz w:val="22"/>
          <w:szCs w:val="22"/>
        </w:rPr>
        <w:t>Workplace/organisation</w:t>
      </w:r>
    </w:p>
    <w:p w14:paraId="7948534F" w14:textId="77777777" w:rsidR="00807EC4" w:rsidRDefault="00807EC4" w:rsidP="00807EC4">
      <w:pPr>
        <w:numPr>
          <w:ilvl w:val="0"/>
          <w:numId w:val="2"/>
        </w:numPr>
        <w:pBdr>
          <w:top w:val="nil"/>
          <w:left w:val="nil"/>
          <w:bottom w:val="nil"/>
          <w:right w:val="nil"/>
          <w:between w:val="nil"/>
        </w:pBdr>
        <w:rPr>
          <w:color w:val="000000"/>
          <w:sz w:val="22"/>
          <w:szCs w:val="22"/>
        </w:rPr>
      </w:pPr>
      <w:r>
        <w:rPr>
          <w:color w:val="000000"/>
          <w:sz w:val="22"/>
          <w:szCs w:val="22"/>
        </w:rPr>
        <w:t>Develop innovative models to address the health impacts of violence against women and girls, particularly focusing on those at greatest risk</w:t>
      </w:r>
    </w:p>
    <w:p w14:paraId="66B0E609" w14:textId="25E29653" w:rsidR="00807EC4" w:rsidRDefault="00807EC4" w:rsidP="00807EC4">
      <w:pPr>
        <w:numPr>
          <w:ilvl w:val="0"/>
          <w:numId w:val="2"/>
        </w:numPr>
        <w:pBdr>
          <w:top w:val="nil"/>
          <w:left w:val="nil"/>
          <w:bottom w:val="nil"/>
          <w:right w:val="nil"/>
          <w:between w:val="nil"/>
        </w:pBdr>
        <w:rPr>
          <w:color w:val="000000"/>
          <w:sz w:val="22"/>
          <w:szCs w:val="22"/>
        </w:rPr>
      </w:pPr>
      <w:r>
        <w:rPr>
          <w:color w:val="000000"/>
          <w:sz w:val="22"/>
          <w:szCs w:val="22"/>
        </w:rPr>
        <w:t>Roll out workforce education about indicators that a woman or her children may be experiencing domestic, family and/or sexual violence (for example, service user, family member or carer of client/patient etc.)</w:t>
      </w:r>
    </w:p>
    <w:p w14:paraId="6CE52BF2" w14:textId="77777777" w:rsidR="002C5D29" w:rsidRDefault="002C5D29" w:rsidP="002C5D29">
      <w:pPr>
        <w:numPr>
          <w:ilvl w:val="0"/>
          <w:numId w:val="2"/>
        </w:numPr>
        <w:pBdr>
          <w:top w:val="nil"/>
          <w:left w:val="nil"/>
          <w:bottom w:val="nil"/>
          <w:right w:val="nil"/>
          <w:between w:val="nil"/>
        </w:pBdr>
        <w:rPr>
          <w:color w:val="000000"/>
          <w:sz w:val="22"/>
          <w:szCs w:val="22"/>
        </w:rPr>
      </w:pPr>
      <w:r>
        <w:rPr>
          <w:color w:val="000000"/>
          <w:sz w:val="22"/>
          <w:szCs w:val="22"/>
        </w:rPr>
        <w:t xml:space="preserve">Access and implement on </w:t>
      </w:r>
      <w:hyperlink r:id="rId13" w:history="1">
        <w:r w:rsidRPr="002C5D29">
          <w:rPr>
            <w:rStyle w:val="Hyperlink"/>
            <w:sz w:val="22"/>
            <w:szCs w:val="22"/>
          </w:rPr>
          <w:t>primary prevention</w:t>
        </w:r>
      </w:hyperlink>
      <w:r>
        <w:rPr>
          <w:color w:val="000000"/>
          <w:sz w:val="22"/>
          <w:szCs w:val="22"/>
        </w:rPr>
        <w:t xml:space="preserve"> and gender-responsive approaches to health and prevention</w:t>
      </w:r>
    </w:p>
    <w:p w14:paraId="2B75D1E5" w14:textId="24806666" w:rsidR="00807EC4" w:rsidRPr="002C5D29" w:rsidRDefault="00807EC4" w:rsidP="002C5D29">
      <w:pPr>
        <w:numPr>
          <w:ilvl w:val="0"/>
          <w:numId w:val="2"/>
        </w:numPr>
        <w:pBdr>
          <w:top w:val="nil"/>
          <w:left w:val="nil"/>
          <w:bottom w:val="nil"/>
          <w:right w:val="nil"/>
          <w:between w:val="nil"/>
        </w:pBdr>
        <w:rPr>
          <w:color w:val="000000"/>
          <w:sz w:val="22"/>
          <w:szCs w:val="22"/>
        </w:rPr>
      </w:pPr>
      <w:r w:rsidRPr="002C5D29">
        <w:rPr>
          <w:color w:val="000000"/>
          <w:sz w:val="22"/>
          <w:szCs w:val="22"/>
        </w:rPr>
        <w:t xml:space="preserve">Introduce reproductive health leave, informed by staff and people with lived experience </w:t>
      </w:r>
    </w:p>
    <w:p w14:paraId="620203DF" w14:textId="1B7A8B6E" w:rsidR="00807EC4" w:rsidRDefault="00807EC4" w:rsidP="00807EC4">
      <w:pPr>
        <w:pStyle w:val="ListParagraph"/>
        <w:numPr>
          <w:ilvl w:val="0"/>
          <w:numId w:val="2"/>
        </w:numPr>
        <w:rPr>
          <w:color w:val="000000"/>
          <w:sz w:val="22"/>
          <w:szCs w:val="22"/>
        </w:rPr>
      </w:pPr>
      <w:r>
        <w:rPr>
          <w:color w:val="000000"/>
          <w:sz w:val="22"/>
          <w:szCs w:val="22"/>
        </w:rPr>
        <w:t xml:space="preserve">Review and expand </w:t>
      </w:r>
      <w:r w:rsidRPr="004B33AF">
        <w:rPr>
          <w:color w:val="000000"/>
          <w:sz w:val="22"/>
          <w:szCs w:val="22"/>
        </w:rPr>
        <w:t>diversity, equity and inclusion policies to include chronic condition leave and accessibility provisions</w:t>
      </w:r>
      <w:r>
        <w:rPr>
          <w:color w:val="000000"/>
          <w:sz w:val="22"/>
          <w:szCs w:val="22"/>
        </w:rPr>
        <w:t>, recognising the prevalence of chronic conditions for women who have experienced violence</w:t>
      </w:r>
    </w:p>
    <w:p w14:paraId="01ACDEC1" w14:textId="7DDDC298" w:rsidR="002C5D29" w:rsidRPr="004B33AF" w:rsidRDefault="002C5D29" w:rsidP="00807EC4">
      <w:pPr>
        <w:pStyle w:val="ListParagraph"/>
        <w:numPr>
          <w:ilvl w:val="0"/>
          <w:numId w:val="2"/>
        </w:numPr>
        <w:rPr>
          <w:color w:val="000000"/>
          <w:sz w:val="22"/>
          <w:szCs w:val="22"/>
        </w:rPr>
      </w:pPr>
      <w:r>
        <w:rPr>
          <w:color w:val="000000"/>
          <w:sz w:val="22"/>
          <w:szCs w:val="22"/>
        </w:rPr>
        <w:t xml:space="preserve">Include referrals to or consider establishing relevant </w:t>
      </w:r>
      <w:hyperlink r:id="rId14" w:history="1">
        <w:r w:rsidRPr="002C5D29">
          <w:rPr>
            <w:rStyle w:val="Hyperlink"/>
            <w:sz w:val="22"/>
            <w:szCs w:val="22"/>
          </w:rPr>
          <w:t>health justice partnerships</w:t>
        </w:r>
      </w:hyperlink>
    </w:p>
    <w:p w14:paraId="025B7F5F" w14:textId="77777777" w:rsidR="00807EC4" w:rsidRDefault="00807EC4" w:rsidP="00807EC4">
      <w:pPr>
        <w:pBdr>
          <w:top w:val="nil"/>
          <w:left w:val="nil"/>
          <w:bottom w:val="nil"/>
          <w:right w:val="nil"/>
          <w:between w:val="nil"/>
        </w:pBdr>
        <w:ind w:left="360"/>
        <w:rPr>
          <w:color w:val="000000"/>
          <w:sz w:val="22"/>
          <w:szCs w:val="22"/>
        </w:rPr>
      </w:pPr>
    </w:p>
    <w:p w14:paraId="38EA0E25" w14:textId="77777777" w:rsidR="002A7ECB" w:rsidRDefault="002A7ECB" w:rsidP="00807EC4">
      <w:pPr>
        <w:pBdr>
          <w:top w:val="nil"/>
          <w:left w:val="nil"/>
          <w:bottom w:val="nil"/>
          <w:right w:val="nil"/>
          <w:between w:val="nil"/>
        </w:pBdr>
        <w:ind w:left="360"/>
        <w:rPr>
          <w:color w:val="000000"/>
          <w:sz w:val="22"/>
          <w:szCs w:val="22"/>
        </w:rPr>
      </w:pPr>
    </w:p>
    <w:p w14:paraId="15E8987C" w14:textId="77777777" w:rsidR="002A7ECB" w:rsidRDefault="00000000" w:rsidP="00807EC4">
      <w:pPr>
        <w:pStyle w:val="Heading3"/>
        <w:rPr>
          <w:sz w:val="22"/>
          <w:szCs w:val="22"/>
        </w:rPr>
      </w:pPr>
      <w:sdt>
        <w:sdtPr>
          <w:rPr>
            <w:sz w:val="22"/>
            <w:szCs w:val="22"/>
          </w:rPr>
          <w:tag w:val="goog_rdk_68"/>
          <w:id w:val="1134523234"/>
        </w:sdtPr>
        <w:sdtContent/>
      </w:sdt>
    </w:p>
    <w:p w14:paraId="6D7E4C6D" w14:textId="77777777" w:rsidR="002A7ECB" w:rsidRDefault="002A7ECB">
      <w:pPr>
        <w:rPr>
          <w:rFonts w:ascii="Rubik regular" w:hAnsi="Rubik regular"/>
          <w:color w:val="6F1A82"/>
          <w:sz w:val="22"/>
          <w:szCs w:val="22"/>
        </w:rPr>
      </w:pPr>
      <w:r>
        <w:rPr>
          <w:sz w:val="22"/>
          <w:szCs w:val="22"/>
        </w:rPr>
        <w:br w:type="page"/>
      </w:r>
    </w:p>
    <w:p w14:paraId="0B320E92" w14:textId="172E7D01" w:rsidR="00807EC4" w:rsidRPr="000570AE" w:rsidRDefault="00807EC4" w:rsidP="00807EC4">
      <w:pPr>
        <w:pStyle w:val="Heading3"/>
        <w:rPr>
          <w:rFonts w:ascii="Rubik" w:hAnsi="Rubik" w:cs="Rubik"/>
          <w:sz w:val="22"/>
          <w:szCs w:val="22"/>
        </w:rPr>
      </w:pPr>
      <w:r w:rsidRPr="000570AE">
        <w:rPr>
          <w:rFonts w:ascii="Rubik" w:hAnsi="Rubik" w:cs="Rubik"/>
          <w:sz w:val="22"/>
          <w:szCs w:val="22"/>
        </w:rPr>
        <w:lastRenderedPageBreak/>
        <w:t>Community/studies</w:t>
      </w:r>
    </w:p>
    <w:p w14:paraId="1A65AD38" w14:textId="5917D56B" w:rsidR="00807EC4" w:rsidRDefault="00807EC4" w:rsidP="00807EC4">
      <w:pPr>
        <w:numPr>
          <w:ilvl w:val="0"/>
          <w:numId w:val="2"/>
        </w:numPr>
        <w:pBdr>
          <w:top w:val="nil"/>
          <w:left w:val="nil"/>
          <w:bottom w:val="nil"/>
          <w:right w:val="nil"/>
          <w:between w:val="nil"/>
        </w:pBdr>
        <w:rPr>
          <w:color w:val="000000"/>
          <w:sz w:val="22"/>
          <w:szCs w:val="22"/>
        </w:rPr>
      </w:pPr>
      <w:r>
        <w:rPr>
          <w:color w:val="000000"/>
          <w:sz w:val="22"/>
          <w:szCs w:val="22"/>
        </w:rPr>
        <w:t>Learn more about indicators that a woman or her children may be experiencing domestic, family and/or sexual violence</w:t>
      </w:r>
      <w:r w:rsidR="002C5D29">
        <w:rPr>
          <w:color w:val="000000"/>
          <w:sz w:val="22"/>
          <w:szCs w:val="22"/>
        </w:rPr>
        <w:t>, and local services that can provide support</w:t>
      </w:r>
    </w:p>
    <w:p w14:paraId="62F44BBB" w14:textId="026355B2" w:rsidR="002C5D29" w:rsidRDefault="002C5D29" w:rsidP="00807EC4">
      <w:pPr>
        <w:numPr>
          <w:ilvl w:val="0"/>
          <w:numId w:val="2"/>
        </w:numPr>
        <w:pBdr>
          <w:top w:val="nil"/>
          <w:left w:val="nil"/>
          <w:bottom w:val="nil"/>
          <w:right w:val="nil"/>
          <w:between w:val="nil"/>
        </w:pBdr>
        <w:rPr>
          <w:color w:val="000000"/>
          <w:sz w:val="22"/>
          <w:szCs w:val="22"/>
        </w:rPr>
      </w:pPr>
      <w:r>
        <w:rPr>
          <w:color w:val="000000"/>
          <w:sz w:val="22"/>
          <w:szCs w:val="22"/>
        </w:rPr>
        <w:t>C</w:t>
      </w:r>
      <w:r w:rsidRPr="002C5D29">
        <w:rPr>
          <w:color w:val="000000"/>
          <w:sz w:val="22"/>
          <w:szCs w:val="22"/>
        </w:rPr>
        <w:t>reate a campaign at university or TAFE for the </w:t>
      </w:r>
      <w:hyperlink r:id="rId15" w:tgtFrame="_blank" w:history="1">
        <w:r w:rsidRPr="002C5D29">
          <w:rPr>
            <w:rStyle w:val="Hyperlink"/>
            <w:sz w:val="22"/>
            <w:szCs w:val="22"/>
          </w:rPr>
          <w:t>16 Days of Activism</w:t>
        </w:r>
      </w:hyperlink>
      <w:r w:rsidRPr="002C5D29">
        <w:rPr>
          <w:color w:val="000000"/>
          <w:sz w:val="22"/>
          <w:szCs w:val="22"/>
        </w:rPr>
        <w:t> that integrates women’s health, wellbeing and prevention of gender-based violence</w:t>
      </w:r>
    </w:p>
    <w:p w14:paraId="7EAAB777" w14:textId="7F84E3CF" w:rsidR="008F25C6" w:rsidRDefault="00807EC4" w:rsidP="00413166">
      <w:pPr>
        <w:numPr>
          <w:ilvl w:val="0"/>
          <w:numId w:val="2"/>
        </w:numPr>
        <w:pBdr>
          <w:top w:val="nil"/>
          <w:left w:val="nil"/>
          <w:bottom w:val="nil"/>
          <w:right w:val="nil"/>
          <w:between w:val="nil"/>
        </w:pBdr>
        <w:rPr>
          <w:color w:val="000000"/>
          <w:sz w:val="22"/>
          <w:szCs w:val="22"/>
        </w:rPr>
      </w:pPr>
      <w:r w:rsidRPr="00807EC4">
        <w:rPr>
          <w:color w:val="000000"/>
          <w:sz w:val="22"/>
          <w:szCs w:val="22"/>
        </w:rPr>
        <w:t>Engage with community organisations, events and the arts that support women’s health, rights and/or women and gender diverse people with lived experience of gender-based violence</w:t>
      </w:r>
      <w:bookmarkStart w:id="2" w:name="_gyf4cpl5u5vu" w:colFirst="0" w:colLast="0"/>
      <w:bookmarkEnd w:id="2"/>
    </w:p>
    <w:p w14:paraId="04E3FA4B" w14:textId="77777777" w:rsidR="002C5D29" w:rsidRDefault="002C5D29" w:rsidP="002C5D29">
      <w:pPr>
        <w:pBdr>
          <w:top w:val="nil"/>
          <w:left w:val="nil"/>
          <w:bottom w:val="nil"/>
          <w:right w:val="nil"/>
          <w:between w:val="nil"/>
        </w:pBdr>
        <w:rPr>
          <w:color w:val="000000"/>
          <w:sz w:val="22"/>
          <w:szCs w:val="22"/>
        </w:rPr>
      </w:pPr>
    </w:p>
    <w:tbl>
      <w:tblPr>
        <w:tblStyle w:val="TableGrid"/>
        <w:tblW w:w="0" w:type="auto"/>
        <w:tblLook w:val="04A0" w:firstRow="1" w:lastRow="0" w:firstColumn="1" w:lastColumn="0" w:noHBand="0" w:noVBand="1"/>
      </w:tblPr>
      <w:tblGrid>
        <w:gridCol w:w="9065"/>
      </w:tblGrid>
      <w:tr w:rsidR="002A7ECB" w14:paraId="7364602E" w14:textId="77777777" w:rsidTr="002A7ECB">
        <w:tc>
          <w:tcPr>
            <w:tcW w:w="9065" w:type="dxa"/>
          </w:tcPr>
          <w:p w14:paraId="7F2A5978" w14:textId="77777777" w:rsidR="002A7ECB" w:rsidRPr="000570AE" w:rsidRDefault="002A7ECB" w:rsidP="002A7ECB">
            <w:pPr>
              <w:pStyle w:val="Heading3"/>
              <w:rPr>
                <w:rFonts w:ascii="Rubik" w:hAnsi="Rubik" w:cs="Rubik"/>
              </w:rPr>
            </w:pPr>
            <w:r w:rsidRPr="000570AE">
              <w:rPr>
                <w:rFonts w:ascii="Rubik" w:hAnsi="Rubik" w:cs="Rubik"/>
              </w:rPr>
              <w:t>Notes</w:t>
            </w:r>
          </w:p>
          <w:p w14:paraId="61947623" w14:textId="04CC71F4" w:rsidR="002A7ECB" w:rsidRPr="002A7ECB" w:rsidRDefault="002A7ECB" w:rsidP="002A7ECB">
            <w:pPr>
              <w:pStyle w:val="ListParagraph"/>
              <w:numPr>
                <w:ilvl w:val="0"/>
                <w:numId w:val="3"/>
              </w:numPr>
              <w:pBdr>
                <w:top w:val="nil"/>
                <w:left w:val="nil"/>
                <w:bottom w:val="nil"/>
                <w:right w:val="nil"/>
                <w:between w:val="nil"/>
              </w:pBdr>
              <w:rPr>
                <w:b/>
                <w:bCs/>
                <w:color w:val="000000"/>
                <w:sz w:val="22"/>
                <w:szCs w:val="22"/>
              </w:rPr>
            </w:pPr>
            <w:r w:rsidRPr="002A7ECB">
              <w:rPr>
                <w:b/>
                <w:bCs/>
                <w:color w:val="000000"/>
                <w:sz w:val="22"/>
                <w:szCs w:val="22"/>
              </w:rPr>
              <w:t>Could you</w:t>
            </w:r>
            <w:r>
              <w:rPr>
                <w:b/>
                <w:bCs/>
                <w:color w:val="000000"/>
                <w:sz w:val="22"/>
                <w:szCs w:val="22"/>
              </w:rPr>
              <w:t xml:space="preserve"> or a</w:t>
            </w:r>
            <w:r w:rsidRPr="002A7ECB">
              <w:rPr>
                <w:b/>
                <w:bCs/>
                <w:color w:val="000000"/>
                <w:sz w:val="22"/>
                <w:szCs w:val="22"/>
              </w:rPr>
              <w:t xml:space="preserve"> workplace</w:t>
            </w:r>
            <w:r>
              <w:rPr>
                <w:b/>
                <w:bCs/>
                <w:color w:val="000000"/>
                <w:sz w:val="22"/>
                <w:szCs w:val="22"/>
              </w:rPr>
              <w:t>/</w:t>
            </w:r>
            <w:r w:rsidRPr="002A7ECB">
              <w:rPr>
                <w:b/>
                <w:bCs/>
                <w:color w:val="000000"/>
                <w:sz w:val="22"/>
                <w:szCs w:val="22"/>
              </w:rPr>
              <w:t>organisation</w:t>
            </w:r>
            <w:r>
              <w:rPr>
                <w:b/>
                <w:bCs/>
                <w:color w:val="000000"/>
                <w:sz w:val="22"/>
                <w:szCs w:val="22"/>
              </w:rPr>
              <w:t>/community group</w:t>
            </w:r>
            <w:r w:rsidRPr="002A7ECB">
              <w:rPr>
                <w:b/>
                <w:bCs/>
                <w:color w:val="000000"/>
                <w:sz w:val="22"/>
                <w:szCs w:val="22"/>
              </w:rPr>
              <w:t xml:space="preserve"> you know implement any of the suggested actions? </w:t>
            </w:r>
          </w:p>
          <w:p w14:paraId="33F71964" w14:textId="77777777" w:rsidR="002A7ECB" w:rsidRPr="002A7ECB" w:rsidRDefault="002A7ECB" w:rsidP="002A7ECB">
            <w:pPr>
              <w:pStyle w:val="ListParagraph"/>
              <w:pBdr>
                <w:top w:val="nil"/>
                <w:left w:val="nil"/>
                <w:bottom w:val="nil"/>
                <w:right w:val="nil"/>
                <w:between w:val="nil"/>
              </w:pBdr>
              <w:rPr>
                <w:color w:val="000000"/>
                <w:sz w:val="22"/>
                <w:szCs w:val="22"/>
              </w:rPr>
            </w:pPr>
          </w:p>
          <w:p w14:paraId="2D8EA1CA" w14:textId="77777777" w:rsidR="002A7ECB" w:rsidRDefault="002A7ECB" w:rsidP="002A7ECB">
            <w:pPr>
              <w:pStyle w:val="ListParagraph"/>
              <w:numPr>
                <w:ilvl w:val="0"/>
                <w:numId w:val="3"/>
              </w:numPr>
              <w:pBdr>
                <w:top w:val="nil"/>
                <w:left w:val="nil"/>
                <w:bottom w:val="nil"/>
                <w:right w:val="nil"/>
                <w:between w:val="nil"/>
              </w:pBdr>
              <w:rPr>
                <w:b/>
                <w:bCs/>
                <w:color w:val="000000"/>
                <w:sz w:val="22"/>
                <w:szCs w:val="22"/>
              </w:rPr>
            </w:pPr>
            <w:r w:rsidRPr="002A7ECB">
              <w:rPr>
                <w:b/>
                <w:bCs/>
                <w:color w:val="000000"/>
                <w:sz w:val="22"/>
                <w:szCs w:val="22"/>
              </w:rPr>
              <w:t xml:space="preserve">What support might assist in </w:t>
            </w:r>
            <w:r>
              <w:rPr>
                <w:b/>
                <w:bCs/>
                <w:color w:val="000000"/>
                <w:sz w:val="22"/>
                <w:szCs w:val="22"/>
              </w:rPr>
              <w:t>taking</w:t>
            </w:r>
            <w:r w:rsidRPr="002A7ECB">
              <w:rPr>
                <w:b/>
                <w:bCs/>
                <w:color w:val="000000"/>
                <w:sz w:val="22"/>
                <w:szCs w:val="22"/>
              </w:rPr>
              <w:t xml:space="preserve"> these actions?</w:t>
            </w:r>
          </w:p>
          <w:p w14:paraId="53E1927B" w14:textId="77777777" w:rsidR="002A7ECB" w:rsidRPr="002A7ECB" w:rsidRDefault="002A7ECB" w:rsidP="002A7ECB">
            <w:pPr>
              <w:pStyle w:val="ListParagraph"/>
              <w:rPr>
                <w:b/>
                <w:bCs/>
                <w:color w:val="000000"/>
                <w:sz w:val="22"/>
                <w:szCs w:val="22"/>
              </w:rPr>
            </w:pPr>
          </w:p>
          <w:p w14:paraId="593F7B27" w14:textId="69B86B25" w:rsidR="002A7ECB" w:rsidRPr="002A7ECB" w:rsidRDefault="002A7ECB" w:rsidP="002A7ECB">
            <w:pPr>
              <w:pStyle w:val="ListParagraph"/>
              <w:pBdr>
                <w:top w:val="nil"/>
                <w:left w:val="nil"/>
                <w:bottom w:val="nil"/>
                <w:right w:val="nil"/>
                <w:between w:val="nil"/>
              </w:pBdr>
              <w:rPr>
                <w:b/>
                <w:bCs/>
                <w:color w:val="000000"/>
                <w:sz w:val="22"/>
                <w:szCs w:val="22"/>
              </w:rPr>
            </w:pPr>
          </w:p>
        </w:tc>
      </w:tr>
    </w:tbl>
    <w:p w14:paraId="7AFA2ECB" w14:textId="77777777" w:rsidR="002A7ECB" w:rsidRDefault="002A7ECB" w:rsidP="002C5D29">
      <w:pPr>
        <w:pBdr>
          <w:top w:val="nil"/>
          <w:left w:val="nil"/>
          <w:bottom w:val="nil"/>
          <w:right w:val="nil"/>
          <w:between w:val="nil"/>
        </w:pBdr>
        <w:rPr>
          <w:color w:val="000000"/>
          <w:sz w:val="22"/>
          <w:szCs w:val="22"/>
        </w:rPr>
      </w:pPr>
    </w:p>
    <w:p w14:paraId="37EF4CD3" w14:textId="77777777" w:rsidR="002A7ECB" w:rsidRDefault="002A7ECB" w:rsidP="002C5D29">
      <w:pPr>
        <w:pBdr>
          <w:top w:val="nil"/>
          <w:left w:val="nil"/>
          <w:bottom w:val="nil"/>
          <w:right w:val="nil"/>
          <w:between w:val="nil"/>
        </w:pBdr>
        <w:rPr>
          <w:color w:val="000000"/>
          <w:sz w:val="22"/>
          <w:szCs w:val="22"/>
        </w:rPr>
      </w:pPr>
    </w:p>
    <w:p w14:paraId="5CBD66E0" w14:textId="77777777" w:rsidR="002C5D29" w:rsidRDefault="002C5D29" w:rsidP="002C5D29">
      <w:pPr>
        <w:rPr>
          <w:color w:val="000000"/>
          <w:sz w:val="22"/>
          <w:szCs w:val="22"/>
        </w:rPr>
      </w:pPr>
      <w:r>
        <w:rPr>
          <w:color w:val="000000"/>
          <w:sz w:val="22"/>
          <w:szCs w:val="22"/>
        </w:rPr>
        <w:t>This resource is from the ‘</w:t>
      </w:r>
      <w:hyperlink r:id="rId16" w:history="1">
        <w:r w:rsidRPr="00F35885">
          <w:rPr>
            <w:rStyle w:val="Hyperlink"/>
            <w:sz w:val="22"/>
            <w:szCs w:val="22"/>
          </w:rPr>
          <w:t>Introduction to Gender-Responsive Health</w:t>
        </w:r>
      </w:hyperlink>
      <w:r>
        <w:rPr>
          <w:color w:val="000000"/>
          <w:sz w:val="22"/>
          <w:szCs w:val="22"/>
        </w:rPr>
        <w:t>’ e-learning course by Australian Women’s Health Alliance.</w:t>
      </w:r>
    </w:p>
    <w:p w14:paraId="69208DF8" w14:textId="77777777" w:rsidR="002C5D29" w:rsidRDefault="002C5D29" w:rsidP="002C5D29">
      <w:pPr>
        <w:rPr>
          <w:color w:val="000000"/>
          <w:sz w:val="22"/>
          <w:szCs w:val="22"/>
        </w:rPr>
      </w:pPr>
    </w:p>
    <w:p w14:paraId="20F340D5" w14:textId="77777777" w:rsidR="002C5D29" w:rsidRPr="00FD516B" w:rsidRDefault="002C5D29" w:rsidP="002C5D29">
      <w:pPr>
        <w:rPr>
          <w:rFonts w:asciiTheme="majorHAnsi" w:eastAsia="Rubik" w:hAnsiTheme="majorHAnsi" w:cstheme="majorHAnsi"/>
          <w:color w:val="5A006F"/>
          <w:sz w:val="22"/>
          <w:szCs w:val="22"/>
        </w:rPr>
      </w:pPr>
      <w:r>
        <w:rPr>
          <w:color w:val="000000"/>
          <w:sz w:val="22"/>
          <w:szCs w:val="22"/>
        </w:rPr>
        <w:t>Last updated May 2025.</w:t>
      </w:r>
    </w:p>
    <w:p w14:paraId="2CDE06F3" w14:textId="77777777" w:rsidR="002C5D29" w:rsidRPr="002C5D29" w:rsidRDefault="002C5D29" w:rsidP="002C5D29">
      <w:pPr>
        <w:pBdr>
          <w:top w:val="nil"/>
          <w:left w:val="nil"/>
          <w:bottom w:val="nil"/>
          <w:right w:val="nil"/>
          <w:between w:val="nil"/>
        </w:pBdr>
        <w:rPr>
          <w:color w:val="000000"/>
          <w:sz w:val="22"/>
          <w:szCs w:val="22"/>
        </w:rPr>
      </w:pPr>
    </w:p>
    <w:sectPr w:rsidR="002C5D29" w:rsidRPr="002C5D29" w:rsidSect="002B5496">
      <w:headerReference w:type="default" r:id="rId17"/>
      <w:footerReference w:type="default" r:id="rId18"/>
      <w:headerReference w:type="first" r:id="rId19"/>
      <w:footerReference w:type="first" r:id="rId20"/>
      <w:endnotePr>
        <w:numFmt w:val="decimal"/>
      </w:endnotePr>
      <w:pgSz w:w="11909" w:h="16834"/>
      <w:pgMar w:top="212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0E626" w14:textId="77777777" w:rsidR="00EE240E" w:rsidRDefault="00EE240E">
      <w:pPr>
        <w:spacing w:line="240" w:lineRule="auto"/>
      </w:pPr>
      <w:r>
        <w:separator/>
      </w:r>
    </w:p>
  </w:endnote>
  <w:endnote w:type="continuationSeparator" w:id="0">
    <w:p w14:paraId="2303C0BF" w14:textId="77777777" w:rsidR="00EE240E" w:rsidRDefault="00EE2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bik regular">
    <w:altName w:val="Cambria"/>
    <w:panose1 w:val="00000000000000000000"/>
    <w:charset w:val="00"/>
    <w:family w:val="roman"/>
    <w:notTrueType/>
    <w:pitch w:val="default"/>
  </w:font>
  <w:font w:name="Rubik">
    <w:altName w:val="Calibri"/>
    <w:charset w:val="00"/>
    <w:family w:val="auto"/>
    <w:pitch w:val="variable"/>
    <w:sig w:usb0="A0002A6F" w:usb1="C000205B" w:usb2="00000000" w:usb3="00000000" w:csb0="000000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35F0" w14:textId="77777777" w:rsidR="008F25C6" w:rsidRDefault="006A143E">
    <w:pPr>
      <w:jc w:val="right"/>
      <w:rPr>
        <w:color w:val="000000"/>
      </w:rPr>
    </w:pPr>
    <w:r>
      <w:rPr>
        <w:noProof/>
      </w:rPr>
      <w:drawing>
        <wp:anchor distT="114300" distB="114300" distL="114300" distR="114300" simplePos="0" relativeHeight="251661312" behindDoc="0" locked="0" layoutInCell="1" hidden="0" allowOverlap="1" wp14:anchorId="4C5757D5" wp14:editId="4DD175CC">
          <wp:simplePos x="0" y="0"/>
          <wp:positionH relativeFrom="column">
            <wp:posOffset>-964565</wp:posOffset>
          </wp:positionH>
          <wp:positionV relativeFrom="paragraph">
            <wp:posOffset>523875</wp:posOffset>
          </wp:positionV>
          <wp:extent cx="7631430" cy="125730"/>
          <wp:effectExtent l="0" t="0" r="0" b="0"/>
          <wp:wrapNone/>
          <wp:docPr id="854930143" name="Picture 8549301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54930143" name="Picture 854930143">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1430" cy="125730"/>
                  </a:xfrm>
                  <a:prstGeom prst="rect">
                    <a:avLst/>
                  </a:prstGeom>
                  <a:ln/>
                </pic:spPr>
              </pic:pic>
            </a:graphicData>
          </a:graphic>
        </wp:anchor>
      </w:drawing>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3BB1C" w14:textId="77777777" w:rsidR="008F25C6" w:rsidRDefault="006A143E">
    <w:pPr>
      <w:jc w:val="right"/>
      <w:rPr>
        <w:color w:val="000000"/>
      </w:rPr>
    </w:pPr>
    <w:r>
      <w:rPr>
        <w:noProof/>
      </w:rPr>
      <w:drawing>
        <wp:anchor distT="114300" distB="114300" distL="114300" distR="114300" simplePos="0" relativeHeight="251662336" behindDoc="0" locked="0" layoutInCell="1" hidden="0" allowOverlap="1" wp14:anchorId="2A3FB7AB" wp14:editId="6975D44A">
          <wp:simplePos x="0" y="0"/>
          <wp:positionH relativeFrom="column">
            <wp:posOffset>-896620</wp:posOffset>
          </wp:positionH>
          <wp:positionV relativeFrom="paragraph">
            <wp:posOffset>521970</wp:posOffset>
          </wp:positionV>
          <wp:extent cx="7632000" cy="133200"/>
          <wp:effectExtent l="0" t="0" r="0" b="635"/>
          <wp:wrapNone/>
          <wp:docPr id="1877179319" name="Picture 18771793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77179319" name="Picture 1877179319">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2000" cy="133200"/>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C704E" w14:textId="77777777" w:rsidR="00EE240E" w:rsidRDefault="00EE240E">
      <w:pPr>
        <w:spacing w:line="240" w:lineRule="auto"/>
      </w:pPr>
      <w:r>
        <w:separator/>
      </w:r>
    </w:p>
  </w:footnote>
  <w:footnote w:type="continuationSeparator" w:id="0">
    <w:p w14:paraId="7217E247" w14:textId="77777777" w:rsidR="00EE240E" w:rsidRDefault="00EE24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FC59" w14:textId="77777777" w:rsidR="008F25C6" w:rsidRDefault="006A143E">
    <w:r>
      <w:rPr>
        <w:noProof/>
      </w:rPr>
      <w:drawing>
        <wp:inline distT="0" distB="0" distL="0" distR="0" wp14:anchorId="5B139567" wp14:editId="19577CB1">
          <wp:extent cx="533400" cy="466725"/>
          <wp:effectExtent l="0" t="0" r="0" b="9525"/>
          <wp:docPr id="1781817302" name="Picture 1781817302" descr="The Australian Women's Health Alliance logo with four graphic icons only, the first and second shapes are stacked on top of the third and fourth shap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781817302" name="Picture 1781817302" descr="The Australian Women's Health Alliance logo with four graphic icons only, the first and second shapes are stacked on top of the third and fourth shapes.">
                    <a:extLst>
                      <a:ext uri="{C183D7F6-B498-43B3-948B-1728B52AA6E4}">
                        <adec:decorative xmlns:adec="http://schemas.microsoft.com/office/drawing/2017/decorative" val="0"/>
                      </a:ext>
                    </a:extLst>
                  </pic:cNvPr>
                  <pic:cNvPicPr preferRelativeResize="0"/>
                </pic:nvPicPr>
                <pic:blipFill>
                  <a:blip r:embed="rId1">
                    <a:extLst>
                      <a:ext uri="{28A0092B-C50C-407E-A947-70E740481C1C}">
                        <a14:useLocalDpi xmlns:a14="http://schemas.microsoft.com/office/drawing/2010/main" val="0"/>
                      </a:ext>
                    </a:extLst>
                  </a:blip>
                  <a:srcRect r="67058"/>
                  <a:stretch>
                    <a:fillRect/>
                  </a:stretch>
                </pic:blipFill>
                <pic:spPr>
                  <a:xfrm>
                    <a:off x="0" y="0"/>
                    <a:ext cx="533400" cy="466725"/>
                  </a:xfrm>
                  <a:prstGeom prst="rect">
                    <a:avLst/>
                  </a:prstGeom>
                  <a:ln/>
                </pic:spPr>
              </pic:pic>
            </a:graphicData>
          </a:graphic>
        </wp:inline>
      </w:drawing>
    </w:r>
  </w:p>
  <w:p w14:paraId="202DC40A" w14:textId="77777777" w:rsidR="008F25C6" w:rsidRDefault="008F25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F85D" w14:textId="77777777" w:rsidR="008F25C6" w:rsidRDefault="006A143E" w:rsidP="1A1A1CC6">
    <w:pPr>
      <w:rPr>
        <w:color w:val="7030A0"/>
      </w:rPr>
    </w:pPr>
    <w:r>
      <w:rPr>
        <w:noProof/>
      </w:rPr>
      <w:drawing>
        <wp:anchor distT="114300" distB="114300" distL="114300" distR="114300" simplePos="0" relativeHeight="251662848" behindDoc="0" locked="0" layoutInCell="1" hidden="0" allowOverlap="1" wp14:anchorId="77A0F0C4" wp14:editId="7441915A">
          <wp:simplePos x="0" y="0"/>
          <wp:positionH relativeFrom="page">
            <wp:posOffset>-1424</wp:posOffset>
          </wp:positionH>
          <wp:positionV relativeFrom="page">
            <wp:posOffset>-6985</wp:posOffset>
          </wp:positionV>
          <wp:extent cx="7938000" cy="46800"/>
          <wp:effectExtent l="0" t="0" r="0" b="0"/>
          <wp:wrapNone/>
          <wp:docPr id="1424279754" name="Picture 14242797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24279754" name="Picture 1424279754">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938000" cy="46800"/>
                  </a:xfrm>
                  <a:prstGeom prst="rect">
                    <a:avLst/>
                  </a:prstGeom>
                  <a:ln/>
                </pic:spPr>
              </pic:pic>
            </a:graphicData>
          </a:graphic>
          <wp14:sizeRelH relativeFrom="margin">
            <wp14:pctWidth>0</wp14:pctWidth>
          </wp14:sizeRelH>
          <wp14:sizeRelV relativeFrom="margin">
            <wp14:pctHeight>0</wp14:pctHeight>
          </wp14:sizeRelV>
        </wp:anchor>
      </w:drawing>
    </w:r>
    <w:r w:rsidR="1A1A1CC6" w:rsidRPr="1A1A1CC6">
      <w:rPr>
        <w:color w:val="7030A0"/>
      </w:rPr>
      <w:t xml:space="preserve">             </w:t>
    </w:r>
  </w:p>
  <w:tbl>
    <w:tblPr>
      <w:tblStyle w:val="PlainTable4"/>
      <w:tblW w:w="0" w:type="auto"/>
      <w:tblLayout w:type="fixed"/>
      <w:tblLook w:val="06A0" w:firstRow="1" w:lastRow="0" w:firstColumn="1" w:lastColumn="0" w:noHBand="1" w:noVBand="1"/>
      <w:tblCaption w:val="Header"/>
      <w:tblDescription w:val="The logo consists of the text “Australian Women’s Health Alliance” in purple. The text is accompanied by a graphic of four figures. The logo is set against a white background. &#10;&#10;You can also read the details: &#10;PO Box 341, Leichhardt, NSW 2040&#10;www.australianwomenshealth.org&#10;Reg. No. A023 83 &#10;ABN 84 238 300 000"/>
    </w:tblPr>
    <w:tblGrid>
      <w:gridCol w:w="4538"/>
    </w:tblGrid>
    <w:tr w:rsidR="000377AE" w14:paraId="06301DF2" w14:textId="77777777" w:rsidTr="1A1A1C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8" w:type="dxa"/>
        </w:tcPr>
        <w:p w14:paraId="01BCEAEB" w14:textId="77777777" w:rsidR="000377AE" w:rsidRDefault="000377AE" w:rsidP="1A1A1CC6">
          <w:pPr>
            <w:rPr>
              <w:color w:val="7030A0"/>
            </w:rPr>
          </w:pPr>
          <w:r>
            <w:rPr>
              <w:noProof/>
            </w:rPr>
            <w:drawing>
              <wp:inline distT="0" distB="0" distL="0" distR="0" wp14:anchorId="1272172B" wp14:editId="3DEF8EA2">
                <wp:extent cx="2151426" cy="733425"/>
                <wp:effectExtent l="0" t="0" r="0" b="0"/>
                <wp:doc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pic:cNvPicPr/>
                      </pic:nvPicPr>
                      <pic:blipFill>
                        <a:blip r:embed="rId2">
                          <a:extLst>
                            <a:ext uri="{28A0092B-C50C-407E-A947-70E740481C1C}">
                              <a14:useLocalDpi xmlns:a14="http://schemas.microsoft.com/office/drawing/2010/main" val="0"/>
                            </a:ext>
                          </a:extLst>
                        </a:blip>
                        <a:srcRect r="54006"/>
                        <a:stretch>
                          <a:fillRect/>
                        </a:stretch>
                      </pic:blipFill>
                      <pic:spPr>
                        <a:xfrm>
                          <a:off x="0" y="0"/>
                          <a:ext cx="2151426" cy="733425"/>
                        </a:xfrm>
                        <a:prstGeom prst="rect">
                          <a:avLst/>
                        </a:prstGeom>
                      </pic:spPr>
                    </pic:pic>
                  </a:graphicData>
                </a:graphic>
              </wp:inline>
            </w:drawing>
          </w:r>
        </w:p>
        <w:p w14:paraId="478CF8C3" w14:textId="77777777" w:rsidR="000377AE" w:rsidRDefault="000377AE" w:rsidP="1A1A1CC6"/>
      </w:tc>
    </w:tr>
  </w:tbl>
  <w:p w14:paraId="7EF993DE" w14:textId="77777777" w:rsidR="1A1A1CC6" w:rsidRDefault="1A1A1CC6" w:rsidP="1A1A1CC6">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D1A33"/>
    <w:multiLevelType w:val="hybridMultilevel"/>
    <w:tmpl w:val="85D2603E"/>
    <w:lvl w:ilvl="0" w:tplc="3272A6E4">
      <w:start w:val="1"/>
      <w:numFmt w:val="bullet"/>
      <w:lvlText w:val=""/>
      <w:lvlJc w:val="left"/>
      <w:pPr>
        <w:ind w:left="720" w:hanging="360"/>
      </w:pPr>
      <w:rPr>
        <w:rFonts w:ascii="Symbol" w:hAnsi="Symbol" w:hint="default"/>
      </w:rPr>
    </w:lvl>
    <w:lvl w:ilvl="1" w:tplc="2C004F8E">
      <w:start w:val="1"/>
      <w:numFmt w:val="bullet"/>
      <w:lvlText w:val="o"/>
      <w:lvlJc w:val="left"/>
      <w:pPr>
        <w:ind w:left="1440" w:hanging="360"/>
      </w:pPr>
      <w:rPr>
        <w:rFonts w:ascii="Courier New" w:hAnsi="Courier New" w:hint="default"/>
      </w:rPr>
    </w:lvl>
    <w:lvl w:ilvl="2" w:tplc="5660F4B6">
      <w:start w:val="1"/>
      <w:numFmt w:val="bullet"/>
      <w:lvlText w:val="▪"/>
      <w:lvlJc w:val="left"/>
      <w:pPr>
        <w:ind w:left="2160" w:hanging="360"/>
      </w:pPr>
      <w:rPr>
        <w:rFonts w:ascii="Noto Sans Symbols" w:hAnsi="Noto Sans Symbols" w:hint="default"/>
      </w:rPr>
    </w:lvl>
    <w:lvl w:ilvl="3" w:tplc="92B6E7F4">
      <w:start w:val="1"/>
      <w:numFmt w:val="bullet"/>
      <w:lvlText w:val="●"/>
      <w:lvlJc w:val="left"/>
      <w:pPr>
        <w:ind w:left="2880" w:hanging="360"/>
      </w:pPr>
      <w:rPr>
        <w:rFonts w:ascii="Noto Sans Symbols" w:hAnsi="Noto Sans Symbols" w:hint="default"/>
      </w:rPr>
    </w:lvl>
    <w:lvl w:ilvl="4" w:tplc="2138DCC4">
      <w:start w:val="1"/>
      <w:numFmt w:val="bullet"/>
      <w:lvlText w:val="o"/>
      <w:lvlJc w:val="left"/>
      <w:pPr>
        <w:ind w:left="3600" w:hanging="360"/>
      </w:pPr>
      <w:rPr>
        <w:rFonts w:ascii="Courier New" w:hAnsi="Courier New" w:hint="default"/>
      </w:rPr>
    </w:lvl>
    <w:lvl w:ilvl="5" w:tplc="F0ACBA96">
      <w:start w:val="1"/>
      <w:numFmt w:val="bullet"/>
      <w:lvlText w:val="▪"/>
      <w:lvlJc w:val="left"/>
      <w:pPr>
        <w:ind w:left="4320" w:hanging="360"/>
      </w:pPr>
      <w:rPr>
        <w:rFonts w:ascii="Noto Sans Symbols" w:hAnsi="Noto Sans Symbols" w:hint="default"/>
      </w:rPr>
    </w:lvl>
    <w:lvl w:ilvl="6" w:tplc="B4303466">
      <w:start w:val="1"/>
      <w:numFmt w:val="bullet"/>
      <w:lvlText w:val="●"/>
      <w:lvlJc w:val="left"/>
      <w:pPr>
        <w:ind w:left="5040" w:hanging="360"/>
      </w:pPr>
      <w:rPr>
        <w:rFonts w:ascii="Noto Sans Symbols" w:hAnsi="Noto Sans Symbols" w:hint="default"/>
      </w:rPr>
    </w:lvl>
    <w:lvl w:ilvl="7" w:tplc="9F26FDB0">
      <w:start w:val="1"/>
      <w:numFmt w:val="bullet"/>
      <w:lvlText w:val="o"/>
      <w:lvlJc w:val="left"/>
      <w:pPr>
        <w:ind w:left="5760" w:hanging="360"/>
      </w:pPr>
      <w:rPr>
        <w:rFonts w:ascii="Courier New" w:hAnsi="Courier New" w:hint="default"/>
      </w:rPr>
    </w:lvl>
    <w:lvl w:ilvl="8" w:tplc="D21616C2">
      <w:start w:val="1"/>
      <w:numFmt w:val="bullet"/>
      <w:lvlText w:val="▪"/>
      <w:lvlJc w:val="left"/>
      <w:pPr>
        <w:ind w:left="6480" w:hanging="360"/>
      </w:pPr>
      <w:rPr>
        <w:rFonts w:ascii="Noto Sans Symbols" w:hAnsi="Noto Sans Symbols" w:hint="default"/>
      </w:rPr>
    </w:lvl>
  </w:abstractNum>
  <w:abstractNum w:abstractNumId="1" w15:restartNumberingAfterBreak="0">
    <w:nsid w:val="6D6D2F7D"/>
    <w:multiLevelType w:val="hybridMultilevel"/>
    <w:tmpl w:val="1F7AE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38B6452"/>
    <w:multiLevelType w:val="hybridMultilevel"/>
    <w:tmpl w:val="FA065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5558864">
    <w:abstractNumId w:val="1"/>
  </w:num>
  <w:num w:numId="2" w16cid:durableId="1581594238">
    <w:abstractNumId w:val="0"/>
  </w:num>
  <w:num w:numId="3" w16cid:durableId="1359506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EC4"/>
    <w:rsid w:val="000377AE"/>
    <w:rsid w:val="000570AE"/>
    <w:rsid w:val="00083FC9"/>
    <w:rsid w:val="000D4F71"/>
    <w:rsid w:val="000E4EE5"/>
    <w:rsid w:val="000F59D1"/>
    <w:rsid w:val="00157B87"/>
    <w:rsid w:val="001A0EDE"/>
    <w:rsid w:val="001A4C07"/>
    <w:rsid w:val="002A7500"/>
    <w:rsid w:val="002A7ECB"/>
    <w:rsid w:val="002B5496"/>
    <w:rsid w:val="002C5D29"/>
    <w:rsid w:val="00302CFE"/>
    <w:rsid w:val="00325D78"/>
    <w:rsid w:val="00333FE0"/>
    <w:rsid w:val="00340B32"/>
    <w:rsid w:val="00362F82"/>
    <w:rsid w:val="00413166"/>
    <w:rsid w:val="00447BE7"/>
    <w:rsid w:val="00454AA4"/>
    <w:rsid w:val="00485690"/>
    <w:rsid w:val="00513DC9"/>
    <w:rsid w:val="00580736"/>
    <w:rsid w:val="005C0F1D"/>
    <w:rsid w:val="005F731C"/>
    <w:rsid w:val="00600D7F"/>
    <w:rsid w:val="00664D0C"/>
    <w:rsid w:val="00695A2C"/>
    <w:rsid w:val="006A143E"/>
    <w:rsid w:val="006F5A62"/>
    <w:rsid w:val="00756F05"/>
    <w:rsid w:val="00790CE3"/>
    <w:rsid w:val="00807EC4"/>
    <w:rsid w:val="00847A98"/>
    <w:rsid w:val="008A79D0"/>
    <w:rsid w:val="008F25C6"/>
    <w:rsid w:val="009439AD"/>
    <w:rsid w:val="00993286"/>
    <w:rsid w:val="009D2032"/>
    <w:rsid w:val="00AA7E26"/>
    <w:rsid w:val="00AB6A6B"/>
    <w:rsid w:val="00B538CD"/>
    <w:rsid w:val="00B715FE"/>
    <w:rsid w:val="00BB0A41"/>
    <w:rsid w:val="00BF72E2"/>
    <w:rsid w:val="00C078A2"/>
    <w:rsid w:val="00C440CB"/>
    <w:rsid w:val="00C4786D"/>
    <w:rsid w:val="00C524BF"/>
    <w:rsid w:val="00C754AA"/>
    <w:rsid w:val="00C7775B"/>
    <w:rsid w:val="00CB45F7"/>
    <w:rsid w:val="00CB56F5"/>
    <w:rsid w:val="00CD4800"/>
    <w:rsid w:val="00D214DF"/>
    <w:rsid w:val="00D3424F"/>
    <w:rsid w:val="00D725CF"/>
    <w:rsid w:val="00DA1DC8"/>
    <w:rsid w:val="00E0589E"/>
    <w:rsid w:val="00E8111A"/>
    <w:rsid w:val="00EB337F"/>
    <w:rsid w:val="00EE240E"/>
    <w:rsid w:val="00F71EBB"/>
    <w:rsid w:val="00FA5118"/>
    <w:rsid w:val="00FD5C10"/>
    <w:rsid w:val="0C5ED419"/>
    <w:rsid w:val="1450BDA1"/>
    <w:rsid w:val="1A1A1CC6"/>
    <w:rsid w:val="1FDFAEFA"/>
    <w:rsid w:val="3EFF4C5A"/>
    <w:rsid w:val="409B1CBB"/>
    <w:rsid w:val="54F1DB20"/>
    <w:rsid w:val="6B50CEB1"/>
    <w:rsid w:val="6FE13D70"/>
    <w:rsid w:val="7299E082"/>
    <w:rsid w:val="75D18144"/>
    <w:rsid w:val="7A2420FF"/>
    <w:rsid w:val="7CFED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178A8"/>
  <w15:docId w15:val="{888BBB41-AE2F-4C06-8372-0D03ED6A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7AE"/>
    <w:pPr>
      <w:keepNext/>
      <w:keepLines/>
      <w:outlineLvl w:val="0"/>
    </w:pPr>
    <w:rPr>
      <w:rFonts w:ascii="Rubik regular" w:eastAsia="Rubik" w:hAnsi="Rubik regular" w:cs="Rubik"/>
      <w:color w:val="5A006F"/>
      <w:sz w:val="36"/>
      <w:szCs w:val="36"/>
    </w:rPr>
  </w:style>
  <w:style w:type="paragraph" w:styleId="Heading2">
    <w:name w:val="heading 2"/>
    <w:basedOn w:val="Normal"/>
    <w:next w:val="Normal"/>
    <w:link w:val="Heading2Char"/>
    <w:uiPriority w:val="9"/>
    <w:unhideWhenUsed/>
    <w:qFormat/>
    <w:rsid w:val="000377AE"/>
    <w:pPr>
      <w:keepNext/>
      <w:keepLines/>
      <w:spacing w:after="320"/>
      <w:outlineLvl w:val="1"/>
    </w:pPr>
    <w:rPr>
      <w:rFonts w:ascii="Rubik regular" w:eastAsia="Rubik" w:hAnsi="Rubik regular" w:cs="Rubik"/>
      <w:color w:val="5A006F"/>
      <w:sz w:val="30"/>
      <w:szCs w:val="30"/>
    </w:rPr>
  </w:style>
  <w:style w:type="paragraph" w:styleId="Heading3">
    <w:name w:val="heading 3"/>
    <w:basedOn w:val="Normal"/>
    <w:next w:val="Normal"/>
    <w:uiPriority w:val="9"/>
    <w:unhideWhenUsed/>
    <w:qFormat/>
    <w:rsid w:val="00302CFE"/>
    <w:pPr>
      <w:keepNext/>
      <w:keepLines/>
      <w:outlineLvl w:val="2"/>
    </w:pPr>
    <w:rPr>
      <w:rFonts w:ascii="Rubik regular" w:hAnsi="Rubik regular"/>
      <w:color w:val="6F1A82"/>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Rubik" w:eastAsia="Rubik" w:hAnsi="Rubik" w:cs="Rubik"/>
      <w:color w:val="5A006F"/>
      <w:sz w:val="24"/>
      <w:szCs w:val="24"/>
    </w:rPr>
  </w:style>
  <w:style w:type="paragraph" w:styleId="Subtitle">
    <w:name w:val="Subtitle"/>
    <w:basedOn w:val="Normal"/>
    <w:next w:val="Normal"/>
    <w:uiPriority w:val="11"/>
    <w:qFormat/>
    <w:pPr>
      <w:keepNext/>
      <w:keepLines/>
      <w:spacing w:after="320"/>
    </w:pPr>
    <w:rPr>
      <w:rFonts w:ascii="Rubik" w:eastAsia="Rubik" w:hAnsi="Rubik" w:cs="Rubik"/>
      <w:color w:val="5A006F"/>
      <w:sz w:val="30"/>
      <w:szCs w:val="30"/>
    </w:rPr>
  </w:style>
  <w:style w:type="paragraph" w:styleId="Header">
    <w:name w:val="header"/>
    <w:basedOn w:val="Normal"/>
    <w:link w:val="HeaderChar"/>
    <w:uiPriority w:val="99"/>
    <w:unhideWhenUsed/>
    <w:rsid w:val="006A143E"/>
    <w:pPr>
      <w:tabs>
        <w:tab w:val="center" w:pos="4513"/>
        <w:tab w:val="right" w:pos="9026"/>
      </w:tabs>
      <w:spacing w:line="240" w:lineRule="auto"/>
    </w:pPr>
  </w:style>
  <w:style w:type="character" w:customStyle="1" w:styleId="HeaderChar">
    <w:name w:val="Header Char"/>
    <w:basedOn w:val="DefaultParagraphFont"/>
    <w:link w:val="Header"/>
    <w:uiPriority w:val="99"/>
    <w:rsid w:val="006A143E"/>
  </w:style>
  <w:style w:type="paragraph" w:styleId="Footer">
    <w:name w:val="footer"/>
    <w:basedOn w:val="Normal"/>
    <w:link w:val="FooterChar"/>
    <w:uiPriority w:val="99"/>
    <w:unhideWhenUsed/>
    <w:rsid w:val="006A143E"/>
    <w:pPr>
      <w:tabs>
        <w:tab w:val="center" w:pos="4513"/>
        <w:tab w:val="right" w:pos="9026"/>
      </w:tabs>
      <w:spacing w:line="240" w:lineRule="auto"/>
    </w:pPr>
  </w:style>
  <w:style w:type="character" w:customStyle="1" w:styleId="FooterChar">
    <w:name w:val="Footer Char"/>
    <w:basedOn w:val="DefaultParagraphFont"/>
    <w:link w:val="Footer"/>
    <w:uiPriority w:val="99"/>
    <w:rsid w:val="006A143E"/>
  </w:style>
  <w:style w:type="character" w:styleId="Hyperlink">
    <w:name w:val="Hyperlink"/>
    <w:basedOn w:val="DefaultParagraphFont"/>
    <w:uiPriority w:val="99"/>
    <w:unhideWhenUsed/>
    <w:rsid w:val="002B5496"/>
    <w:rPr>
      <w:color w:val="0000FF" w:themeColor="hyperlink"/>
      <w:u w:val="single"/>
    </w:rPr>
  </w:style>
  <w:style w:type="character" w:styleId="UnresolvedMention">
    <w:name w:val="Unresolved Mention"/>
    <w:basedOn w:val="DefaultParagraphFont"/>
    <w:uiPriority w:val="99"/>
    <w:semiHidden/>
    <w:unhideWhenUsed/>
    <w:rsid w:val="002B5496"/>
    <w:rPr>
      <w:color w:val="605E5C"/>
      <w:shd w:val="clear" w:color="auto" w:fill="E1DFDD"/>
    </w:rPr>
  </w:style>
  <w:style w:type="paragraph" w:styleId="ListParagraph">
    <w:name w:val="List Paragraph"/>
    <w:basedOn w:val="Normal"/>
    <w:uiPriority w:val="34"/>
    <w:qFormat/>
    <w:rsid w:val="002B5496"/>
    <w:pPr>
      <w:ind w:left="720"/>
      <w:contextualSpacing/>
    </w:pPr>
  </w:style>
  <w:style w:type="paragraph" w:styleId="EndnoteText">
    <w:name w:val="endnote text"/>
    <w:basedOn w:val="Normal"/>
    <w:link w:val="EndnoteTextChar"/>
    <w:uiPriority w:val="99"/>
    <w:unhideWhenUsed/>
    <w:rsid w:val="001A0EDE"/>
    <w:pPr>
      <w:spacing w:line="240" w:lineRule="auto"/>
    </w:pPr>
    <w:rPr>
      <w:rFonts w:asciiTheme="minorHAnsi" w:eastAsia="Times New Roman" w:hAnsiTheme="minorHAnsi" w:cs="Times New Roman"/>
      <w:lang w:val="en-AU" w:eastAsia="en-US"/>
    </w:rPr>
  </w:style>
  <w:style w:type="character" w:customStyle="1" w:styleId="EndnoteTextChar">
    <w:name w:val="Endnote Text Char"/>
    <w:basedOn w:val="DefaultParagraphFont"/>
    <w:link w:val="EndnoteText"/>
    <w:uiPriority w:val="99"/>
    <w:rsid w:val="001A0EDE"/>
    <w:rPr>
      <w:rFonts w:asciiTheme="minorHAnsi" w:eastAsia="Times New Roman" w:hAnsiTheme="minorHAnsi" w:cs="Times New Roman"/>
      <w:lang w:val="en-AU" w:eastAsia="en-US"/>
    </w:rPr>
  </w:style>
  <w:style w:type="character" w:styleId="EndnoteReference">
    <w:name w:val="endnote reference"/>
    <w:basedOn w:val="DefaultParagraphFont"/>
    <w:uiPriority w:val="99"/>
    <w:semiHidden/>
    <w:unhideWhenUsed/>
    <w:rsid w:val="001A0EDE"/>
    <w:rPr>
      <w:vertAlign w:val="superscript"/>
    </w:rPr>
  </w:style>
  <w:style w:type="character" w:customStyle="1" w:styleId="Heading2Char">
    <w:name w:val="Heading 2 Char"/>
    <w:basedOn w:val="DefaultParagraphFont"/>
    <w:link w:val="Heading2"/>
    <w:uiPriority w:val="9"/>
    <w:rsid w:val="000377AE"/>
    <w:rPr>
      <w:rFonts w:ascii="Rubik regular" w:eastAsia="Rubik" w:hAnsi="Rubik regular" w:cs="Rubik"/>
      <w:color w:val="5A006F"/>
      <w:sz w:val="30"/>
      <w:szCs w:val="30"/>
    </w:rPr>
  </w:style>
  <w:style w:type="character" w:styleId="FollowedHyperlink">
    <w:name w:val="FollowedHyperlink"/>
    <w:basedOn w:val="DefaultParagraphFont"/>
    <w:uiPriority w:val="99"/>
    <w:semiHidden/>
    <w:unhideWhenUsed/>
    <w:rsid w:val="00D3424F"/>
    <w:rPr>
      <w:color w:val="800080"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Heading1"/>
    <w:link w:val="Style1Char"/>
    <w:rsid w:val="000377AE"/>
  </w:style>
  <w:style w:type="character" w:customStyle="1" w:styleId="Heading1Char">
    <w:name w:val="Heading 1 Char"/>
    <w:basedOn w:val="DefaultParagraphFont"/>
    <w:link w:val="Heading1"/>
    <w:uiPriority w:val="9"/>
    <w:rsid w:val="000377AE"/>
    <w:rPr>
      <w:rFonts w:ascii="Rubik regular" w:eastAsia="Rubik" w:hAnsi="Rubik regular" w:cs="Rubik"/>
      <w:color w:val="5A006F"/>
      <w:sz w:val="36"/>
      <w:szCs w:val="36"/>
    </w:rPr>
  </w:style>
  <w:style w:type="character" w:customStyle="1" w:styleId="Style1Char">
    <w:name w:val="Style1 Char"/>
    <w:basedOn w:val="Heading1Char"/>
    <w:link w:val="Style1"/>
    <w:rsid w:val="000377AE"/>
    <w:rPr>
      <w:rFonts w:ascii="Rubik regular" w:eastAsia="Rubik" w:hAnsi="Rubik regular" w:cs="Rubik"/>
      <w:color w:val="5A006F"/>
      <w:sz w:val="36"/>
      <w:szCs w:val="3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urwatch.org.au/what-is-primary-preven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urwatch.org.au/what-is-primary-preven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omenshealthhub.learnworlds.com/course/intro-to-gender-responsive-healt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800respect.org.au/resources-and-tools/work-induced-stress-and-trauma" TargetMode="External"/><Relationship Id="rId5" Type="http://schemas.openxmlformats.org/officeDocument/2006/relationships/numbering" Target="numbering.xml"/><Relationship Id="rId15" Type="http://schemas.openxmlformats.org/officeDocument/2006/relationships/hyperlink" Target="https://www.1800respect.org.au/promoting-1800respect/16-days-of-activis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justice.org.au/health-justice-partnership/"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x2672\Downloads\Policy%20Brief%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3f973e-18e3-4683-9db9-a8b30f12ddca">
      <Terms xmlns="http://schemas.microsoft.com/office/infopath/2007/PartnerControls"/>
    </lcf76f155ced4ddcb4097134ff3c332f>
    <TaxCatchAll xmlns="5b707c4a-f0af-4a30-ae8a-e74992196a0f" xsi:nil="true"/>
    <SharedWithUsers xmlns="5b707c4a-f0af-4a30-ae8a-e74992196a0f">
      <UserInfo>
        <DisplayName/>
        <AccountId xsi:nil="true"/>
        <AccountType/>
      </UserInfo>
    </SharedWithUsers>
    <MediaLengthInSeconds xmlns="153f973e-18e3-4683-9db9-a8b30f12ddc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319B620C901544A72D510C44F6C46A" ma:contentTypeVersion="15" ma:contentTypeDescription="Create a new document." ma:contentTypeScope="" ma:versionID="bd1d590ff9f7cd7d748fd02ce68befd5">
  <xsd:schema xmlns:xsd="http://www.w3.org/2001/XMLSchema" xmlns:xs="http://www.w3.org/2001/XMLSchema" xmlns:p="http://schemas.microsoft.com/office/2006/metadata/properties" xmlns:ns2="153f973e-18e3-4683-9db9-a8b30f12ddca" xmlns:ns3="5b707c4a-f0af-4a30-ae8a-e74992196a0f" targetNamespace="http://schemas.microsoft.com/office/2006/metadata/properties" ma:root="true" ma:fieldsID="7a3f6ef1bd95ad436be522dc8eb4956a" ns2:_="" ns3:_="">
    <xsd:import namespace="153f973e-18e3-4683-9db9-a8b30f12ddca"/>
    <xsd:import namespace="5b707c4a-f0af-4a30-ae8a-e74992196a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f973e-18e3-4683-9db9-a8b30f12d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82179-ca94-4778-9afe-36ab1981ad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07c4a-f0af-4a30-ae8a-e74992196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ea0fec-a4e5-4c0e-bb5d-a316e2eafeb6}" ma:internalName="TaxCatchAll" ma:showField="CatchAllData" ma:web="5b707c4a-f0af-4a30-ae8a-e74992196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A6787-EE38-4415-91C1-925AF946DD56}">
  <ds:schemaRefs>
    <ds:schemaRef ds:uri="http://schemas.microsoft.com/office/2006/metadata/properties"/>
    <ds:schemaRef ds:uri="http://schemas.microsoft.com/office/infopath/2007/PartnerControls"/>
    <ds:schemaRef ds:uri="153f973e-18e3-4683-9db9-a8b30f12ddca"/>
    <ds:schemaRef ds:uri="5b707c4a-f0af-4a30-ae8a-e74992196a0f"/>
  </ds:schemaRefs>
</ds:datastoreItem>
</file>

<file path=customXml/itemProps2.xml><?xml version="1.0" encoding="utf-8"?>
<ds:datastoreItem xmlns:ds="http://schemas.openxmlformats.org/officeDocument/2006/customXml" ds:itemID="{10C4646A-4C72-45F6-9348-03F53FD99921}">
  <ds:schemaRefs>
    <ds:schemaRef ds:uri="http://schemas.openxmlformats.org/officeDocument/2006/bibliography"/>
  </ds:schemaRefs>
</ds:datastoreItem>
</file>

<file path=customXml/itemProps3.xml><?xml version="1.0" encoding="utf-8"?>
<ds:datastoreItem xmlns:ds="http://schemas.openxmlformats.org/officeDocument/2006/customXml" ds:itemID="{7D943C66-904C-4DAA-BD90-CFB1FEEC5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f973e-18e3-4683-9db9-a8b30f12ddca"/>
    <ds:schemaRef ds:uri="5b707c4a-f0af-4a30-ae8a-e74992196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187AD-0EDB-4B4C-AC27-3835DA922188}">
  <ds:schemaRefs>
    <ds:schemaRef ds:uri="http://schemas.microsoft.com/sharepoint/v3/contenttype/forms"/>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Policy Brief template FINAL</Template>
  <TotalTime>32</TotalTime>
  <Pages>2</Pages>
  <Words>447</Words>
  <Characters>2809</Characters>
  <Application>Microsoft Office Word</Application>
  <DocSecurity>0</DocSecurity>
  <Lines>73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Australian Women's Health Alliance</dc:creator>
  <cp:lastModifiedBy>Bonnie Laxton-Blinkhorn</cp:lastModifiedBy>
  <cp:revision>3</cp:revision>
  <dcterms:created xsi:type="dcterms:W3CDTF">2025-05-30T05:54:00Z</dcterms:created>
  <dcterms:modified xsi:type="dcterms:W3CDTF">2025-06-01T22:59:00Z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0x010100F5319B620C901544A72D510C44F6C46A</vt:lpwstr>
  </property>
  <property fmtid="{D5CDD505-2E9C-101B-9397-08002B2CF9AE}" pid="3" name="MediaServiceImageTags">
    <vt:lpwstr/>
  </property>
  <property fmtid="{D5CDD505-2E9C-101B-9397-08002B2CF9AE}" pid="4" name="Order">
    <vt:r8>164800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