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53FC" w14:textId="13E9EF5E" w:rsidR="001A0EDE" w:rsidRPr="004D4C99" w:rsidRDefault="00807EC4" w:rsidP="000377AE">
      <w:pPr>
        <w:pStyle w:val="Style1"/>
        <w:rPr>
          <w:rFonts w:ascii="Rubik" w:hAnsi="Rubik"/>
        </w:rPr>
      </w:pPr>
      <w:r w:rsidRPr="004D4C99">
        <w:rPr>
          <w:rFonts w:ascii="Rubik" w:hAnsi="Rubik"/>
        </w:rPr>
        <w:t>Toolkit Resource</w:t>
      </w:r>
    </w:p>
    <w:p w14:paraId="59BBA836" w14:textId="46E7B819" w:rsidR="002A7500" w:rsidRPr="004D4C99" w:rsidRDefault="00807EC4" w:rsidP="000377AE">
      <w:pPr>
        <w:pStyle w:val="Heading2"/>
        <w:spacing w:after="0"/>
        <w:rPr>
          <w:rFonts w:ascii="Rubik" w:hAnsi="Rubik"/>
        </w:rPr>
      </w:pPr>
      <w:bookmarkStart w:id="0" w:name="_usdc0nj6twdp" w:colFirst="0" w:colLast="0"/>
      <w:bookmarkEnd w:id="0"/>
      <w:r w:rsidRPr="004D4C99">
        <w:rPr>
          <w:rFonts w:ascii="Rubik" w:hAnsi="Rubik"/>
        </w:rPr>
        <w:t xml:space="preserve">Example actions to </w:t>
      </w:r>
      <w:r w:rsidR="00C46CD3" w:rsidRPr="004D4C99">
        <w:rPr>
          <w:rFonts w:ascii="Rubik" w:hAnsi="Rubik"/>
        </w:rPr>
        <w:t xml:space="preserve">support women with </w:t>
      </w:r>
      <w:r w:rsidR="00E418F3" w:rsidRPr="004D4C99">
        <w:rPr>
          <w:rFonts w:ascii="Rubik" w:hAnsi="Rubik"/>
        </w:rPr>
        <w:t>chronic conditions</w:t>
      </w:r>
    </w:p>
    <w:p w14:paraId="0F310C44" w14:textId="77777777" w:rsidR="000377AE" w:rsidRPr="00807EC4" w:rsidRDefault="000377AE" w:rsidP="000377AE">
      <w:pPr>
        <w:rPr>
          <w:sz w:val="22"/>
          <w:szCs w:val="22"/>
        </w:rPr>
      </w:pPr>
    </w:p>
    <w:p w14:paraId="6B78ADE9" w14:textId="70E3EF79" w:rsidR="00807EC4" w:rsidRPr="00807EC4" w:rsidRDefault="00E418F3" w:rsidP="000377AE">
      <w:pPr>
        <w:rPr>
          <w:sz w:val="22"/>
          <w:szCs w:val="22"/>
        </w:rPr>
      </w:pPr>
      <w:r>
        <w:rPr>
          <w:sz w:val="22"/>
          <w:szCs w:val="22"/>
        </w:rPr>
        <w:t xml:space="preserve">Women disproportionately carry the burden of chronic conditions in Australia. </w:t>
      </w:r>
      <w:r w:rsidR="00807EC4">
        <w:rPr>
          <w:sz w:val="22"/>
          <w:szCs w:val="22"/>
        </w:rPr>
        <w:t>This document contains examples of gender-responsive actions that can be taken by individual professionals and community members, as well workplaces and organisations.</w:t>
      </w:r>
      <w:r w:rsidR="007130F5">
        <w:rPr>
          <w:sz w:val="22"/>
          <w:szCs w:val="22"/>
        </w:rPr>
        <w:t xml:space="preserve"> By taking gender-responsive actions as individuals, workplaces and communities, we can work towards</w:t>
      </w:r>
      <w:r w:rsidR="00E30629">
        <w:rPr>
          <w:sz w:val="22"/>
          <w:szCs w:val="22"/>
        </w:rPr>
        <w:t xml:space="preserve"> a</w:t>
      </w:r>
      <w:r w:rsidR="007130F5">
        <w:rPr>
          <w:sz w:val="22"/>
          <w:szCs w:val="22"/>
        </w:rPr>
        <w:t xml:space="preserve"> more</w:t>
      </w:r>
      <w:r w:rsidR="00E30629">
        <w:rPr>
          <w:sz w:val="22"/>
          <w:szCs w:val="22"/>
        </w:rPr>
        <w:t xml:space="preserve"> effective health system and more </w:t>
      </w:r>
      <w:r w:rsidR="007130F5">
        <w:rPr>
          <w:sz w:val="22"/>
          <w:szCs w:val="22"/>
        </w:rPr>
        <w:t>equitable health outcomes.</w:t>
      </w:r>
    </w:p>
    <w:p w14:paraId="1C8133EA" w14:textId="77777777" w:rsidR="001A0EDE" w:rsidRPr="000E4EE5" w:rsidRDefault="001A0EDE" w:rsidP="002A7500">
      <w:pPr>
        <w:pStyle w:val="Title"/>
        <w:rPr>
          <w:sz w:val="22"/>
          <w:szCs w:val="22"/>
        </w:rPr>
      </w:pPr>
    </w:p>
    <w:p w14:paraId="353164AE" w14:textId="288BF50A" w:rsidR="00807EC4" w:rsidRPr="004D4C99" w:rsidRDefault="00807EC4" w:rsidP="00807EC4">
      <w:pPr>
        <w:pStyle w:val="Heading3"/>
        <w:rPr>
          <w:rFonts w:ascii="Rubik" w:hAnsi="Rubik" w:cs="Rubik"/>
        </w:rPr>
      </w:pPr>
      <w:bookmarkStart w:id="1" w:name="_6orn3b6nvj35" w:colFirst="0" w:colLast="0"/>
      <w:bookmarkEnd w:id="1"/>
      <w:r w:rsidRPr="004D4C99">
        <w:rPr>
          <w:rFonts w:ascii="Rubik" w:hAnsi="Rubik" w:cs="Rubik"/>
          <w:sz w:val="22"/>
          <w:szCs w:val="22"/>
        </w:rPr>
        <w:t>Individual profession/practice</w:t>
      </w:r>
    </w:p>
    <w:p w14:paraId="639448CE" w14:textId="77777777" w:rsidR="00E85ADE" w:rsidRDefault="00E85ADE" w:rsidP="00807EC4">
      <w:pPr>
        <w:numPr>
          <w:ilvl w:val="0"/>
          <w:numId w:val="2"/>
        </w:numPr>
        <w:pBdr>
          <w:top w:val="nil"/>
          <w:left w:val="nil"/>
          <w:bottom w:val="nil"/>
          <w:right w:val="nil"/>
          <w:between w:val="nil"/>
        </w:pBdr>
        <w:rPr>
          <w:color w:val="000000"/>
          <w:sz w:val="22"/>
          <w:szCs w:val="22"/>
        </w:rPr>
      </w:pPr>
      <w:r>
        <w:rPr>
          <w:color w:val="000000"/>
          <w:sz w:val="22"/>
          <w:szCs w:val="22"/>
        </w:rPr>
        <w:t xml:space="preserve">Provide plain language information about chronic conditions that disproportionately impact women </w:t>
      </w:r>
    </w:p>
    <w:p w14:paraId="57B93C62" w14:textId="6E80F06C" w:rsidR="002C5D29" w:rsidRDefault="002C5D29" w:rsidP="00807EC4">
      <w:pPr>
        <w:numPr>
          <w:ilvl w:val="0"/>
          <w:numId w:val="2"/>
        </w:numPr>
        <w:pBdr>
          <w:top w:val="nil"/>
          <w:left w:val="nil"/>
          <w:bottom w:val="nil"/>
          <w:right w:val="nil"/>
          <w:between w:val="nil"/>
        </w:pBdr>
        <w:rPr>
          <w:color w:val="000000"/>
          <w:sz w:val="22"/>
          <w:szCs w:val="22"/>
        </w:rPr>
      </w:pPr>
      <w:r>
        <w:rPr>
          <w:color w:val="000000"/>
          <w:sz w:val="22"/>
          <w:szCs w:val="22"/>
        </w:rPr>
        <w:t>Build on</w:t>
      </w:r>
      <w:r w:rsidRPr="002C5D29">
        <w:rPr>
          <w:color w:val="000000"/>
          <w:sz w:val="22"/>
          <w:szCs w:val="22"/>
        </w:rPr>
        <w:t xml:space="preserve"> trauma-informed </w:t>
      </w:r>
      <w:r>
        <w:rPr>
          <w:color w:val="000000"/>
          <w:sz w:val="22"/>
          <w:szCs w:val="22"/>
        </w:rPr>
        <w:t xml:space="preserve">care </w:t>
      </w:r>
      <w:r w:rsidR="00FE5EE6">
        <w:rPr>
          <w:color w:val="000000"/>
          <w:sz w:val="22"/>
          <w:szCs w:val="22"/>
        </w:rPr>
        <w:t>and consider ways to address the</w:t>
      </w:r>
      <w:r w:rsidR="00B82BCC">
        <w:rPr>
          <w:color w:val="000000"/>
          <w:sz w:val="22"/>
          <w:szCs w:val="22"/>
        </w:rPr>
        <w:t xml:space="preserve"> impacts of trauma on </w:t>
      </w:r>
      <w:r w:rsidR="001D2F84">
        <w:rPr>
          <w:color w:val="000000"/>
          <w:sz w:val="22"/>
          <w:szCs w:val="22"/>
        </w:rPr>
        <w:t xml:space="preserve">chronic conditions, including </w:t>
      </w:r>
      <w:r w:rsidR="00AF7FE5">
        <w:rPr>
          <w:color w:val="000000"/>
          <w:sz w:val="22"/>
          <w:szCs w:val="22"/>
        </w:rPr>
        <w:t xml:space="preserve">with </w:t>
      </w:r>
      <w:r w:rsidR="001C1DF5">
        <w:rPr>
          <w:color w:val="000000"/>
          <w:sz w:val="22"/>
          <w:szCs w:val="22"/>
        </w:rPr>
        <w:t xml:space="preserve">somatic </w:t>
      </w:r>
      <w:r w:rsidR="00F96A8C">
        <w:rPr>
          <w:color w:val="000000"/>
          <w:sz w:val="22"/>
          <w:szCs w:val="22"/>
        </w:rPr>
        <w:t xml:space="preserve">therapy </w:t>
      </w:r>
      <w:r w:rsidR="001C1DF5">
        <w:rPr>
          <w:color w:val="000000"/>
          <w:sz w:val="22"/>
          <w:szCs w:val="22"/>
        </w:rPr>
        <w:t>and n</w:t>
      </w:r>
      <w:r w:rsidR="001D2F84">
        <w:rPr>
          <w:color w:val="000000"/>
          <w:sz w:val="22"/>
          <w:szCs w:val="22"/>
        </w:rPr>
        <w:t>ervous system</w:t>
      </w:r>
      <w:r w:rsidR="00F96A8C">
        <w:rPr>
          <w:color w:val="000000"/>
          <w:sz w:val="22"/>
          <w:szCs w:val="22"/>
        </w:rPr>
        <w:t xml:space="preserve"> practitioners</w:t>
      </w:r>
    </w:p>
    <w:p w14:paraId="488A26CE" w14:textId="48BBB32C" w:rsidR="00204B76" w:rsidRDefault="00204B76" w:rsidP="00807EC4">
      <w:pPr>
        <w:numPr>
          <w:ilvl w:val="0"/>
          <w:numId w:val="2"/>
        </w:numPr>
        <w:pBdr>
          <w:top w:val="nil"/>
          <w:left w:val="nil"/>
          <w:bottom w:val="nil"/>
          <w:right w:val="nil"/>
          <w:between w:val="nil"/>
        </w:pBdr>
        <w:rPr>
          <w:color w:val="000000"/>
          <w:sz w:val="22"/>
          <w:szCs w:val="22"/>
        </w:rPr>
      </w:pPr>
      <w:r>
        <w:rPr>
          <w:color w:val="000000"/>
          <w:sz w:val="22"/>
          <w:szCs w:val="22"/>
        </w:rPr>
        <w:t>Strengthen referrals between health, mental health, and other relevant care and services including domestic, family and sexual violence (DFSV) services</w:t>
      </w:r>
    </w:p>
    <w:p w14:paraId="690995EE" w14:textId="3D139343" w:rsidR="008C0287" w:rsidRPr="00E85ADE" w:rsidRDefault="000819CD" w:rsidP="00E85ADE">
      <w:pPr>
        <w:numPr>
          <w:ilvl w:val="0"/>
          <w:numId w:val="2"/>
        </w:numPr>
        <w:pBdr>
          <w:top w:val="nil"/>
          <w:left w:val="nil"/>
          <w:bottom w:val="nil"/>
          <w:right w:val="nil"/>
          <w:between w:val="nil"/>
        </w:pBdr>
        <w:rPr>
          <w:color w:val="000000"/>
          <w:sz w:val="22"/>
          <w:szCs w:val="22"/>
        </w:rPr>
      </w:pPr>
      <w:r>
        <w:rPr>
          <w:color w:val="000000"/>
          <w:sz w:val="22"/>
          <w:szCs w:val="22"/>
        </w:rPr>
        <w:t xml:space="preserve">Connect with community led support groups and lived experience advocates to </w:t>
      </w:r>
      <w:r w:rsidR="000A3285">
        <w:rPr>
          <w:color w:val="000000"/>
          <w:sz w:val="22"/>
          <w:szCs w:val="22"/>
        </w:rPr>
        <w:t>strengthen referrals and inform practice</w:t>
      </w:r>
    </w:p>
    <w:p w14:paraId="00C1DF88" w14:textId="77777777" w:rsidR="00807EC4" w:rsidRDefault="00807EC4" w:rsidP="00AF7FE5">
      <w:pPr>
        <w:pBdr>
          <w:top w:val="nil"/>
          <w:left w:val="nil"/>
          <w:bottom w:val="nil"/>
          <w:right w:val="nil"/>
          <w:between w:val="nil"/>
        </w:pBdr>
        <w:rPr>
          <w:color w:val="000000"/>
          <w:sz w:val="22"/>
          <w:szCs w:val="22"/>
        </w:rPr>
      </w:pPr>
    </w:p>
    <w:p w14:paraId="0F584C2B" w14:textId="77777777" w:rsidR="002A7ECB" w:rsidRDefault="002A7ECB" w:rsidP="00807EC4">
      <w:pPr>
        <w:pBdr>
          <w:top w:val="nil"/>
          <w:left w:val="nil"/>
          <w:bottom w:val="nil"/>
          <w:right w:val="nil"/>
          <w:between w:val="nil"/>
        </w:pBdr>
        <w:ind w:left="1080"/>
        <w:rPr>
          <w:color w:val="000000"/>
          <w:sz w:val="22"/>
          <w:szCs w:val="22"/>
        </w:rPr>
      </w:pPr>
    </w:p>
    <w:p w14:paraId="28A912F0" w14:textId="7D97D839" w:rsidR="00807EC4" w:rsidRPr="004D4C99" w:rsidRDefault="00807EC4" w:rsidP="00807EC4">
      <w:pPr>
        <w:pStyle w:val="Heading3"/>
        <w:rPr>
          <w:rFonts w:ascii="Rubik" w:hAnsi="Rubik" w:cs="Rubik"/>
          <w:sz w:val="22"/>
          <w:szCs w:val="22"/>
        </w:rPr>
      </w:pPr>
      <w:r w:rsidRPr="004D4C99">
        <w:rPr>
          <w:rFonts w:ascii="Rubik" w:hAnsi="Rubik" w:cs="Rubik"/>
          <w:sz w:val="22"/>
          <w:szCs w:val="22"/>
        </w:rPr>
        <w:t>Workplace/organisation</w:t>
      </w:r>
    </w:p>
    <w:p w14:paraId="01ACDEC1" w14:textId="0C545AD0" w:rsidR="002C5D29" w:rsidRDefault="00E72C06" w:rsidP="00807EC4">
      <w:pPr>
        <w:pStyle w:val="ListParagraph"/>
        <w:numPr>
          <w:ilvl w:val="0"/>
          <w:numId w:val="2"/>
        </w:numPr>
        <w:rPr>
          <w:color w:val="000000"/>
          <w:sz w:val="22"/>
          <w:szCs w:val="22"/>
        </w:rPr>
      </w:pPr>
      <w:r>
        <w:rPr>
          <w:color w:val="000000"/>
          <w:sz w:val="22"/>
          <w:szCs w:val="22"/>
        </w:rPr>
        <w:t>Identify ways to improve affordability, accessibility, appropriateness and availability of health care</w:t>
      </w:r>
    </w:p>
    <w:p w14:paraId="313E3B07" w14:textId="1B9D4996" w:rsidR="00E72C06" w:rsidRDefault="00174C10" w:rsidP="00807EC4">
      <w:pPr>
        <w:pStyle w:val="ListParagraph"/>
        <w:numPr>
          <w:ilvl w:val="0"/>
          <w:numId w:val="2"/>
        </w:numPr>
        <w:rPr>
          <w:color w:val="000000"/>
          <w:sz w:val="22"/>
          <w:szCs w:val="22"/>
        </w:rPr>
      </w:pPr>
      <w:r>
        <w:rPr>
          <w:color w:val="000000"/>
          <w:sz w:val="22"/>
          <w:szCs w:val="22"/>
        </w:rPr>
        <w:t xml:space="preserve">Address gendered bias and harmful stereotypes in health care through anti-discrimination policy and practice and statements </w:t>
      </w:r>
    </w:p>
    <w:p w14:paraId="56D147D9" w14:textId="77777777" w:rsidR="00D638A3" w:rsidRPr="002C5D29" w:rsidRDefault="00D638A3" w:rsidP="00D638A3">
      <w:pPr>
        <w:numPr>
          <w:ilvl w:val="0"/>
          <w:numId w:val="2"/>
        </w:numPr>
        <w:pBdr>
          <w:top w:val="nil"/>
          <w:left w:val="nil"/>
          <w:bottom w:val="nil"/>
          <w:right w:val="nil"/>
          <w:between w:val="nil"/>
        </w:pBdr>
        <w:rPr>
          <w:color w:val="000000"/>
          <w:sz w:val="22"/>
          <w:szCs w:val="22"/>
        </w:rPr>
      </w:pPr>
      <w:r w:rsidRPr="002C5D29">
        <w:rPr>
          <w:color w:val="000000"/>
          <w:sz w:val="22"/>
          <w:szCs w:val="22"/>
        </w:rPr>
        <w:t xml:space="preserve">Introduce reproductive health leave, informed by staff and people with lived experience </w:t>
      </w:r>
    </w:p>
    <w:p w14:paraId="025B7F5F" w14:textId="4DA8571A" w:rsidR="00807EC4" w:rsidRDefault="00D638A3" w:rsidP="00D638A3">
      <w:pPr>
        <w:pStyle w:val="ListParagraph"/>
        <w:numPr>
          <w:ilvl w:val="0"/>
          <w:numId w:val="2"/>
        </w:numPr>
        <w:rPr>
          <w:color w:val="000000"/>
          <w:sz w:val="22"/>
          <w:szCs w:val="22"/>
        </w:rPr>
      </w:pPr>
      <w:r>
        <w:rPr>
          <w:color w:val="000000"/>
          <w:sz w:val="22"/>
          <w:szCs w:val="22"/>
        </w:rPr>
        <w:t xml:space="preserve">Review and expand </w:t>
      </w:r>
      <w:r w:rsidRPr="004B33AF">
        <w:rPr>
          <w:color w:val="000000"/>
          <w:sz w:val="22"/>
          <w:szCs w:val="22"/>
        </w:rPr>
        <w:t>diversity, equity and inclusion policies to include chronic condition leave and accessibility provisions</w:t>
      </w:r>
    </w:p>
    <w:p w14:paraId="19587864" w14:textId="729A210F" w:rsidR="00EB509D" w:rsidRPr="00D638A3" w:rsidRDefault="00EB509D" w:rsidP="00D638A3">
      <w:pPr>
        <w:pStyle w:val="ListParagraph"/>
        <w:numPr>
          <w:ilvl w:val="0"/>
          <w:numId w:val="2"/>
        </w:numPr>
        <w:rPr>
          <w:color w:val="000000"/>
          <w:sz w:val="22"/>
          <w:szCs w:val="22"/>
        </w:rPr>
      </w:pPr>
      <w:r>
        <w:rPr>
          <w:color w:val="000000"/>
          <w:sz w:val="22"/>
          <w:szCs w:val="22"/>
        </w:rPr>
        <w:t>Connect with community led support groups and lived experience advocates</w:t>
      </w:r>
      <w:r w:rsidR="0029185A">
        <w:rPr>
          <w:color w:val="000000"/>
          <w:sz w:val="22"/>
          <w:szCs w:val="22"/>
        </w:rPr>
        <w:t xml:space="preserve"> to strengthen referrals and inform monitoring, evaluation and learnin</w:t>
      </w:r>
      <w:r w:rsidR="00BE28F3">
        <w:rPr>
          <w:color w:val="000000"/>
          <w:sz w:val="22"/>
          <w:szCs w:val="22"/>
        </w:rPr>
        <w:t>g</w:t>
      </w:r>
    </w:p>
    <w:p w14:paraId="38EA0E25" w14:textId="77777777" w:rsidR="002A7ECB" w:rsidRDefault="002A7ECB" w:rsidP="00807EC4">
      <w:pPr>
        <w:pBdr>
          <w:top w:val="nil"/>
          <w:left w:val="nil"/>
          <w:bottom w:val="nil"/>
          <w:right w:val="nil"/>
          <w:between w:val="nil"/>
        </w:pBdr>
        <w:ind w:left="360"/>
        <w:rPr>
          <w:color w:val="000000"/>
          <w:sz w:val="22"/>
          <w:szCs w:val="22"/>
        </w:rPr>
      </w:pPr>
    </w:p>
    <w:p w14:paraId="15E8987C" w14:textId="7366E3A0" w:rsidR="002A7ECB" w:rsidRDefault="00000000" w:rsidP="00807EC4">
      <w:pPr>
        <w:pStyle w:val="Heading3"/>
        <w:rPr>
          <w:sz w:val="22"/>
          <w:szCs w:val="22"/>
        </w:rPr>
      </w:pPr>
      <w:sdt>
        <w:sdtPr>
          <w:rPr>
            <w:sz w:val="22"/>
            <w:szCs w:val="22"/>
          </w:rPr>
          <w:tag w:val="goog_rdk_68"/>
          <w:id w:val="1134523234"/>
          <w:showingPlcHdr/>
        </w:sdtPr>
        <w:sdtContent>
          <w:r w:rsidR="00E30629">
            <w:rPr>
              <w:sz w:val="22"/>
              <w:szCs w:val="22"/>
            </w:rPr>
            <w:t xml:space="preserve">     </w:t>
          </w:r>
        </w:sdtContent>
      </w:sdt>
    </w:p>
    <w:p w14:paraId="0B320E92" w14:textId="172E7D01" w:rsidR="00807EC4" w:rsidRPr="004D4C99" w:rsidRDefault="00807EC4" w:rsidP="00807EC4">
      <w:pPr>
        <w:pStyle w:val="Heading3"/>
        <w:rPr>
          <w:rFonts w:ascii="Rubik" w:hAnsi="Rubik" w:cs="Rubik"/>
          <w:sz w:val="22"/>
          <w:szCs w:val="22"/>
        </w:rPr>
      </w:pPr>
      <w:r w:rsidRPr="004D4C99">
        <w:rPr>
          <w:rFonts w:ascii="Rubik" w:hAnsi="Rubik" w:cs="Rubik"/>
          <w:sz w:val="22"/>
          <w:szCs w:val="22"/>
        </w:rPr>
        <w:t>Community/studies</w:t>
      </w:r>
    </w:p>
    <w:p w14:paraId="1A65AD38" w14:textId="4E8F9CBB" w:rsidR="00807EC4" w:rsidRDefault="00D709CC" w:rsidP="00807EC4">
      <w:pPr>
        <w:numPr>
          <w:ilvl w:val="0"/>
          <w:numId w:val="2"/>
        </w:numPr>
        <w:pBdr>
          <w:top w:val="nil"/>
          <w:left w:val="nil"/>
          <w:bottom w:val="nil"/>
          <w:right w:val="nil"/>
          <w:between w:val="nil"/>
        </w:pBdr>
        <w:rPr>
          <w:color w:val="000000"/>
          <w:sz w:val="22"/>
          <w:szCs w:val="22"/>
        </w:rPr>
      </w:pPr>
      <w:r>
        <w:rPr>
          <w:color w:val="000000"/>
          <w:sz w:val="22"/>
          <w:szCs w:val="22"/>
        </w:rPr>
        <w:t xml:space="preserve">Learn more about chronic conditions that disproportionately impact women, for example by reading </w:t>
      </w:r>
      <w:hyperlink r:id="rId11" w:history="1">
        <w:r w:rsidR="0029185A" w:rsidRPr="0029185A">
          <w:rPr>
            <w:rStyle w:val="Hyperlink"/>
            <w:sz w:val="22"/>
            <w:szCs w:val="22"/>
          </w:rPr>
          <w:t>The Gendered Experience of Chronic Conditions: Insights, Challenges and Opportunities</w:t>
        </w:r>
      </w:hyperlink>
      <w:r w:rsidR="0029185A">
        <w:rPr>
          <w:color w:val="000000"/>
          <w:sz w:val="22"/>
          <w:szCs w:val="22"/>
        </w:rPr>
        <w:t xml:space="preserve"> by</w:t>
      </w:r>
      <w:r w:rsidR="0029185A" w:rsidRPr="0029185A">
        <w:rPr>
          <w:color w:val="000000"/>
          <w:sz w:val="22"/>
          <w:szCs w:val="22"/>
        </w:rPr>
        <w:t xml:space="preserve"> Australian Women's Health Alliance</w:t>
      </w:r>
    </w:p>
    <w:p w14:paraId="62F44BBB" w14:textId="234F0B1C" w:rsidR="002C5D29" w:rsidRDefault="002C5D29" w:rsidP="00807EC4">
      <w:pPr>
        <w:numPr>
          <w:ilvl w:val="0"/>
          <w:numId w:val="2"/>
        </w:numPr>
        <w:pBdr>
          <w:top w:val="nil"/>
          <w:left w:val="nil"/>
          <w:bottom w:val="nil"/>
          <w:right w:val="nil"/>
          <w:between w:val="nil"/>
        </w:pBdr>
        <w:rPr>
          <w:color w:val="000000"/>
          <w:sz w:val="22"/>
          <w:szCs w:val="22"/>
        </w:rPr>
      </w:pPr>
      <w:r>
        <w:rPr>
          <w:color w:val="000000"/>
          <w:sz w:val="22"/>
          <w:szCs w:val="22"/>
        </w:rPr>
        <w:t>C</w:t>
      </w:r>
      <w:r w:rsidRPr="002C5D29">
        <w:rPr>
          <w:color w:val="000000"/>
          <w:sz w:val="22"/>
          <w:szCs w:val="22"/>
        </w:rPr>
        <w:t xml:space="preserve">reate a campaign at university or TAFE for </w:t>
      </w:r>
      <w:r w:rsidR="003E059A">
        <w:rPr>
          <w:color w:val="000000"/>
          <w:sz w:val="22"/>
          <w:szCs w:val="22"/>
        </w:rPr>
        <w:t>International Women’s Day t</w:t>
      </w:r>
      <w:r w:rsidR="00F709E5">
        <w:rPr>
          <w:color w:val="000000"/>
          <w:sz w:val="22"/>
          <w:szCs w:val="22"/>
        </w:rPr>
        <w:t xml:space="preserve">o raise awareness of chronic conditions that disproportionately impact women, and </w:t>
      </w:r>
      <w:r w:rsidR="001C1DF5">
        <w:rPr>
          <w:color w:val="000000"/>
          <w:sz w:val="22"/>
          <w:szCs w:val="22"/>
        </w:rPr>
        <w:t>emphasise women’s agency around their health care</w:t>
      </w:r>
    </w:p>
    <w:p w14:paraId="2E0E54D4" w14:textId="76D90EB2" w:rsidR="00BE28F3" w:rsidRDefault="00BE28F3" w:rsidP="00807EC4">
      <w:pPr>
        <w:numPr>
          <w:ilvl w:val="0"/>
          <w:numId w:val="2"/>
        </w:numPr>
        <w:pBdr>
          <w:top w:val="nil"/>
          <w:left w:val="nil"/>
          <w:bottom w:val="nil"/>
          <w:right w:val="nil"/>
          <w:between w:val="nil"/>
        </w:pBdr>
        <w:rPr>
          <w:color w:val="000000"/>
          <w:sz w:val="22"/>
          <w:szCs w:val="22"/>
        </w:rPr>
      </w:pPr>
      <w:r>
        <w:rPr>
          <w:color w:val="000000"/>
          <w:sz w:val="22"/>
          <w:szCs w:val="22"/>
        </w:rPr>
        <w:lastRenderedPageBreak/>
        <w:t>Connect with community led support groups and lived experience advocates</w:t>
      </w:r>
    </w:p>
    <w:p w14:paraId="04E3FA4B" w14:textId="77777777" w:rsidR="002C5D29" w:rsidRDefault="002C5D29" w:rsidP="002C5D29">
      <w:pPr>
        <w:pBdr>
          <w:top w:val="nil"/>
          <w:left w:val="nil"/>
          <w:bottom w:val="nil"/>
          <w:right w:val="nil"/>
          <w:between w:val="nil"/>
        </w:pBdr>
        <w:rPr>
          <w:color w:val="000000"/>
          <w:sz w:val="22"/>
          <w:szCs w:val="22"/>
        </w:rPr>
      </w:pPr>
    </w:p>
    <w:tbl>
      <w:tblPr>
        <w:tblStyle w:val="TableGrid"/>
        <w:tblW w:w="0" w:type="auto"/>
        <w:tblLook w:val="04A0" w:firstRow="1" w:lastRow="0" w:firstColumn="1" w:lastColumn="0" w:noHBand="0" w:noVBand="1"/>
      </w:tblPr>
      <w:tblGrid>
        <w:gridCol w:w="9065"/>
      </w:tblGrid>
      <w:tr w:rsidR="002A7ECB" w14:paraId="7364602E" w14:textId="77777777" w:rsidTr="002A7ECB">
        <w:tc>
          <w:tcPr>
            <w:tcW w:w="9065" w:type="dxa"/>
          </w:tcPr>
          <w:p w14:paraId="7F2A5978" w14:textId="77777777" w:rsidR="002A7ECB" w:rsidRPr="004D4C99" w:rsidRDefault="002A7ECB" w:rsidP="002A7ECB">
            <w:pPr>
              <w:pStyle w:val="Heading3"/>
              <w:rPr>
                <w:rFonts w:ascii="Rubik" w:hAnsi="Rubik" w:cs="Rubik"/>
              </w:rPr>
            </w:pPr>
            <w:r w:rsidRPr="004D4C99">
              <w:rPr>
                <w:rFonts w:ascii="Rubik" w:hAnsi="Rubik" w:cs="Rubik"/>
              </w:rPr>
              <w:t>Notes</w:t>
            </w:r>
          </w:p>
          <w:p w14:paraId="61947623" w14:textId="04CC71F4" w:rsidR="002A7ECB" w:rsidRPr="002A7ECB" w:rsidRDefault="002A7ECB" w:rsidP="002A7ECB">
            <w:pPr>
              <w:pStyle w:val="ListParagraph"/>
              <w:numPr>
                <w:ilvl w:val="0"/>
                <w:numId w:val="3"/>
              </w:numPr>
              <w:pBdr>
                <w:top w:val="nil"/>
                <w:left w:val="nil"/>
                <w:bottom w:val="nil"/>
                <w:right w:val="nil"/>
                <w:between w:val="nil"/>
              </w:pBdr>
              <w:rPr>
                <w:b/>
                <w:bCs/>
                <w:color w:val="000000"/>
                <w:sz w:val="22"/>
                <w:szCs w:val="22"/>
              </w:rPr>
            </w:pPr>
            <w:r w:rsidRPr="002A7ECB">
              <w:rPr>
                <w:b/>
                <w:bCs/>
                <w:color w:val="000000"/>
                <w:sz w:val="22"/>
                <w:szCs w:val="22"/>
              </w:rPr>
              <w:t>Could you</w:t>
            </w:r>
            <w:r>
              <w:rPr>
                <w:b/>
                <w:bCs/>
                <w:color w:val="000000"/>
                <w:sz w:val="22"/>
                <w:szCs w:val="22"/>
              </w:rPr>
              <w:t xml:space="preserve"> or a</w:t>
            </w:r>
            <w:r w:rsidRPr="002A7ECB">
              <w:rPr>
                <w:b/>
                <w:bCs/>
                <w:color w:val="000000"/>
                <w:sz w:val="22"/>
                <w:szCs w:val="22"/>
              </w:rPr>
              <w:t xml:space="preserve"> workplace</w:t>
            </w:r>
            <w:r>
              <w:rPr>
                <w:b/>
                <w:bCs/>
                <w:color w:val="000000"/>
                <w:sz w:val="22"/>
                <w:szCs w:val="22"/>
              </w:rPr>
              <w:t>/</w:t>
            </w:r>
            <w:r w:rsidRPr="002A7ECB">
              <w:rPr>
                <w:b/>
                <w:bCs/>
                <w:color w:val="000000"/>
                <w:sz w:val="22"/>
                <w:szCs w:val="22"/>
              </w:rPr>
              <w:t>organisation</w:t>
            </w:r>
            <w:r>
              <w:rPr>
                <w:b/>
                <w:bCs/>
                <w:color w:val="000000"/>
                <w:sz w:val="22"/>
                <w:szCs w:val="22"/>
              </w:rPr>
              <w:t>/community group</w:t>
            </w:r>
            <w:r w:rsidRPr="002A7ECB">
              <w:rPr>
                <w:b/>
                <w:bCs/>
                <w:color w:val="000000"/>
                <w:sz w:val="22"/>
                <w:szCs w:val="22"/>
              </w:rPr>
              <w:t xml:space="preserve"> you know implement any of the suggested actions? </w:t>
            </w:r>
          </w:p>
          <w:p w14:paraId="33F71964" w14:textId="77777777" w:rsidR="002A7ECB" w:rsidRPr="002A7ECB" w:rsidRDefault="002A7ECB" w:rsidP="002A7ECB">
            <w:pPr>
              <w:pStyle w:val="ListParagraph"/>
              <w:pBdr>
                <w:top w:val="nil"/>
                <w:left w:val="nil"/>
                <w:bottom w:val="nil"/>
                <w:right w:val="nil"/>
                <w:between w:val="nil"/>
              </w:pBdr>
              <w:rPr>
                <w:color w:val="000000"/>
                <w:sz w:val="22"/>
                <w:szCs w:val="22"/>
              </w:rPr>
            </w:pPr>
          </w:p>
          <w:p w14:paraId="2D8EA1CA" w14:textId="77777777" w:rsidR="002A7ECB" w:rsidRDefault="002A7ECB" w:rsidP="002A7ECB">
            <w:pPr>
              <w:pStyle w:val="ListParagraph"/>
              <w:numPr>
                <w:ilvl w:val="0"/>
                <w:numId w:val="3"/>
              </w:numPr>
              <w:pBdr>
                <w:top w:val="nil"/>
                <w:left w:val="nil"/>
                <w:bottom w:val="nil"/>
                <w:right w:val="nil"/>
                <w:between w:val="nil"/>
              </w:pBdr>
              <w:rPr>
                <w:b/>
                <w:bCs/>
                <w:color w:val="000000"/>
                <w:sz w:val="22"/>
                <w:szCs w:val="22"/>
              </w:rPr>
            </w:pPr>
            <w:r w:rsidRPr="002A7ECB">
              <w:rPr>
                <w:b/>
                <w:bCs/>
                <w:color w:val="000000"/>
                <w:sz w:val="22"/>
                <w:szCs w:val="22"/>
              </w:rPr>
              <w:t xml:space="preserve">What support might assist in </w:t>
            </w:r>
            <w:r>
              <w:rPr>
                <w:b/>
                <w:bCs/>
                <w:color w:val="000000"/>
                <w:sz w:val="22"/>
                <w:szCs w:val="22"/>
              </w:rPr>
              <w:t>taking</w:t>
            </w:r>
            <w:r w:rsidRPr="002A7ECB">
              <w:rPr>
                <w:b/>
                <w:bCs/>
                <w:color w:val="000000"/>
                <w:sz w:val="22"/>
                <w:szCs w:val="22"/>
              </w:rPr>
              <w:t xml:space="preserve"> these actions?</w:t>
            </w:r>
          </w:p>
          <w:p w14:paraId="53E1927B" w14:textId="77777777" w:rsidR="002A7ECB" w:rsidRPr="002A7ECB" w:rsidRDefault="002A7ECB" w:rsidP="002A7ECB">
            <w:pPr>
              <w:pStyle w:val="ListParagraph"/>
              <w:rPr>
                <w:b/>
                <w:bCs/>
                <w:color w:val="000000"/>
                <w:sz w:val="22"/>
                <w:szCs w:val="22"/>
              </w:rPr>
            </w:pPr>
          </w:p>
          <w:p w14:paraId="593F7B27" w14:textId="69B86B25" w:rsidR="002A7ECB" w:rsidRPr="002A7ECB" w:rsidRDefault="002A7ECB" w:rsidP="002A7ECB">
            <w:pPr>
              <w:pStyle w:val="ListParagraph"/>
              <w:pBdr>
                <w:top w:val="nil"/>
                <w:left w:val="nil"/>
                <w:bottom w:val="nil"/>
                <w:right w:val="nil"/>
                <w:between w:val="nil"/>
              </w:pBdr>
              <w:rPr>
                <w:b/>
                <w:bCs/>
                <w:color w:val="000000"/>
                <w:sz w:val="22"/>
                <w:szCs w:val="22"/>
              </w:rPr>
            </w:pPr>
          </w:p>
        </w:tc>
      </w:tr>
    </w:tbl>
    <w:p w14:paraId="7AFA2ECB" w14:textId="77777777" w:rsidR="002A7ECB" w:rsidRDefault="002A7ECB" w:rsidP="002C5D29">
      <w:pPr>
        <w:pBdr>
          <w:top w:val="nil"/>
          <w:left w:val="nil"/>
          <w:bottom w:val="nil"/>
          <w:right w:val="nil"/>
          <w:between w:val="nil"/>
        </w:pBdr>
        <w:rPr>
          <w:color w:val="000000"/>
          <w:sz w:val="22"/>
          <w:szCs w:val="22"/>
        </w:rPr>
      </w:pPr>
    </w:p>
    <w:p w14:paraId="37EF4CD3" w14:textId="77777777" w:rsidR="002A7ECB" w:rsidRDefault="002A7ECB" w:rsidP="002C5D29">
      <w:pPr>
        <w:pBdr>
          <w:top w:val="nil"/>
          <w:left w:val="nil"/>
          <w:bottom w:val="nil"/>
          <w:right w:val="nil"/>
          <w:between w:val="nil"/>
        </w:pBdr>
        <w:rPr>
          <w:color w:val="000000"/>
          <w:sz w:val="22"/>
          <w:szCs w:val="22"/>
        </w:rPr>
      </w:pPr>
    </w:p>
    <w:p w14:paraId="5CBD66E0" w14:textId="77777777" w:rsidR="002C5D29" w:rsidRDefault="002C5D29" w:rsidP="002C5D29">
      <w:pPr>
        <w:rPr>
          <w:color w:val="000000"/>
          <w:sz w:val="22"/>
          <w:szCs w:val="22"/>
        </w:rPr>
      </w:pPr>
      <w:r>
        <w:rPr>
          <w:color w:val="000000"/>
          <w:sz w:val="22"/>
          <w:szCs w:val="22"/>
        </w:rPr>
        <w:t>This resource is from the ‘</w:t>
      </w:r>
      <w:hyperlink r:id="rId12" w:history="1">
        <w:r w:rsidRPr="00F35885">
          <w:rPr>
            <w:rStyle w:val="Hyperlink"/>
            <w:sz w:val="22"/>
            <w:szCs w:val="22"/>
          </w:rPr>
          <w:t>Introduction to Gender-Responsive Health</w:t>
        </w:r>
      </w:hyperlink>
      <w:r>
        <w:rPr>
          <w:color w:val="000000"/>
          <w:sz w:val="22"/>
          <w:szCs w:val="22"/>
        </w:rPr>
        <w:t>’ e-learning course by Australian Women’s Health Alliance.</w:t>
      </w:r>
    </w:p>
    <w:p w14:paraId="69208DF8" w14:textId="77777777" w:rsidR="002C5D29" w:rsidRDefault="002C5D29" w:rsidP="002C5D29">
      <w:pPr>
        <w:rPr>
          <w:color w:val="000000"/>
          <w:sz w:val="22"/>
          <w:szCs w:val="22"/>
        </w:rPr>
      </w:pPr>
    </w:p>
    <w:p w14:paraId="20F340D5" w14:textId="77777777" w:rsidR="002C5D29" w:rsidRPr="00FD516B" w:rsidRDefault="002C5D29" w:rsidP="002C5D29">
      <w:pPr>
        <w:rPr>
          <w:rFonts w:asciiTheme="majorHAnsi" w:eastAsia="Rubik" w:hAnsiTheme="majorHAnsi" w:cstheme="majorHAnsi"/>
          <w:color w:val="5A006F"/>
          <w:sz w:val="22"/>
          <w:szCs w:val="22"/>
        </w:rPr>
      </w:pPr>
      <w:r>
        <w:rPr>
          <w:color w:val="000000"/>
          <w:sz w:val="22"/>
          <w:szCs w:val="22"/>
        </w:rPr>
        <w:t>Last updated May 2025.</w:t>
      </w:r>
    </w:p>
    <w:p w14:paraId="2CDE06F3" w14:textId="77777777" w:rsidR="002C5D29" w:rsidRPr="002C5D29" w:rsidRDefault="002C5D29" w:rsidP="002C5D29">
      <w:pPr>
        <w:pBdr>
          <w:top w:val="nil"/>
          <w:left w:val="nil"/>
          <w:bottom w:val="nil"/>
          <w:right w:val="nil"/>
          <w:between w:val="nil"/>
        </w:pBdr>
        <w:rPr>
          <w:color w:val="000000"/>
          <w:sz w:val="22"/>
          <w:szCs w:val="22"/>
        </w:rPr>
      </w:pPr>
    </w:p>
    <w:sectPr w:rsidR="002C5D29" w:rsidRPr="002C5D29" w:rsidSect="002B5496">
      <w:headerReference w:type="default" r:id="rId13"/>
      <w:footerReference w:type="default" r:id="rId14"/>
      <w:headerReference w:type="first" r:id="rId15"/>
      <w:footerReference w:type="first" r:id="rId16"/>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54FB7" w14:textId="77777777" w:rsidR="00DC456E" w:rsidRDefault="00DC456E">
      <w:pPr>
        <w:spacing w:line="240" w:lineRule="auto"/>
      </w:pPr>
      <w:r>
        <w:separator/>
      </w:r>
    </w:p>
  </w:endnote>
  <w:endnote w:type="continuationSeparator" w:id="0">
    <w:p w14:paraId="3B38C23C" w14:textId="77777777" w:rsidR="00DC456E" w:rsidRDefault="00DC4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regular">
    <w:altName w:val="Cambria"/>
    <w:panose1 w:val="00000000000000000000"/>
    <w:charset w:val="00"/>
    <w:family w:val="roman"/>
    <w:notTrueType/>
    <w:pitch w:val="default"/>
  </w:font>
  <w:font w:name="Rubik">
    <w:altName w:val="Calibri"/>
    <w:charset w:val="00"/>
    <w:family w:val="auto"/>
    <w:pitch w:val="variable"/>
    <w:sig w:usb0="A0002A6F" w:usb1="C000205B" w:usb2="00000000" w:usb3="00000000" w:csb0="000000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35F0" w14:textId="77777777" w:rsidR="008F25C6" w:rsidRDefault="006A143E">
    <w:pPr>
      <w:jc w:val="right"/>
      <w:rPr>
        <w:color w:val="000000"/>
      </w:rPr>
    </w:pPr>
    <w:r>
      <w:rPr>
        <w:noProof/>
      </w:rPr>
      <w:drawing>
        <wp:anchor distT="114300" distB="114300" distL="114300" distR="114300" simplePos="0" relativeHeight="251658240" behindDoc="0" locked="0" layoutInCell="1" hidden="0" allowOverlap="1" wp14:anchorId="4C5757D5" wp14:editId="4DD175CC">
          <wp:simplePos x="0" y="0"/>
          <wp:positionH relativeFrom="column">
            <wp:posOffset>-964565</wp:posOffset>
          </wp:positionH>
          <wp:positionV relativeFrom="paragraph">
            <wp:posOffset>523875</wp:posOffset>
          </wp:positionV>
          <wp:extent cx="7631430" cy="125730"/>
          <wp:effectExtent l="0" t="0" r="0" b="0"/>
          <wp:wrapNone/>
          <wp:docPr id="854930143" name="Picture 854930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BB1C" w14:textId="77777777" w:rsidR="008F25C6" w:rsidRDefault="006A143E">
    <w:pPr>
      <w:jc w:val="right"/>
      <w:rPr>
        <w:color w:val="000000"/>
      </w:rPr>
    </w:pPr>
    <w:r>
      <w:rPr>
        <w:noProof/>
      </w:rPr>
      <w:drawing>
        <wp:anchor distT="114300" distB="114300" distL="114300" distR="114300" simplePos="0" relativeHeight="251658241" behindDoc="0" locked="0" layoutInCell="1" hidden="0" allowOverlap="1" wp14:anchorId="2A3FB7AB" wp14:editId="6975D44A">
          <wp:simplePos x="0" y="0"/>
          <wp:positionH relativeFrom="column">
            <wp:posOffset>-896620</wp:posOffset>
          </wp:positionH>
          <wp:positionV relativeFrom="paragraph">
            <wp:posOffset>521970</wp:posOffset>
          </wp:positionV>
          <wp:extent cx="7632000" cy="133200"/>
          <wp:effectExtent l="0" t="0" r="0" b="635"/>
          <wp:wrapNone/>
          <wp:docPr id="1877179319" name="Picture 187717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7179319" name="Picture 18771793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2000" cy="133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4DF0C" w14:textId="77777777" w:rsidR="00DC456E" w:rsidRDefault="00DC456E">
      <w:pPr>
        <w:spacing w:line="240" w:lineRule="auto"/>
      </w:pPr>
      <w:r>
        <w:separator/>
      </w:r>
    </w:p>
  </w:footnote>
  <w:footnote w:type="continuationSeparator" w:id="0">
    <w:p w14:paraId="06EDBB04" w14:textId="77777777" w:rsidR="00DC456E" w:rsidRDefault="00DC45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FC59" w14:textId="77777777" w:rsidR="008F25C6" w:rsidRDefault="006A143E">
    <w:r>
      <w:rPr>
        <w:noProof/>
      </w:rPr>
      <w:drawing>
        <wp:inline distT="0" distB="0" distL="0" distR="0" wp14:anchorId="5B139567" wp14:editId="19577CB1">
          <wp:extent cx="533400" cy="466725"/>
          <wp:effectExtent l="0" t="0" r="0" b="9525"/>
          <wp:docPr id="1781817302" name="Picture 1781817302" descr="The Australian Women's Health Alliance logo with four graphic icons only, the first and second shapes are stacked on top of the third and fourth shap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817302" name="Picture 1781817302" descr="The Australian Women's Health Alliance logo with four graphic icons only, the first and second shapes are stacked on top of the third and fourth shapes.">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14:paraId="202DC40A" w14:textId="77777777" w:rsidR="008F25C6" w:rsidRDefault="008F2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F85D" w14:textId="77777777" w:rsidR="008F25C6" w:rsidRDefault="006A143E" w:rsidP="1A1A1CC6">
    <w:pPr>
      <w:rPr>
        <w:color w:val="7030A0"/>
      </w:rPr>
    </w:pPr>
    <w:r>
      <w:rPr>
        <w:noProof/>
      </w:rPr>
      <w:drawing>
        <wp:anchor distT="114300" distB="114300" distL="114300" distR="114300" simplePos="0" relativeHeight="251658242" behindDoc="0" locked="0" layoutInCell="1" hidden="0" allowOverlap="1" wp14:anchorId="77A0F0C4" wp14:editId="7441915A">
          <wp:simplePos x="0" y="0"/>
          <wp:positionH relativeFrom="page">
            <wp:posOffset>-1424</wp:posOffset>
          </wp:positionH>
          <wp:positionV relativeFrom="page">
            <wp:posOffset>-6985</wp:posOffset>
          </wp:positionV>
          <wp:extent cx="7938000" cy="46800"/>
          <wp:effectExtent l="0" t="0" r="0" b="0"/>
          <wp:wrapNone/>
          <wp:docPr id="1424279754" name="Picture 1424279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279754" name="Picture 1424279754">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38000" cy="46800"/>
                  </a:xfrm>
                  <a:prstGeom prst="rect">
                    <a:avLst/>
                  </a:prstGeom>
                  <a:ln/>
                </pic:spPr>
              </pic:pic>
            </a:graphicData>
          </a:graphic>
          <wp14:sizeRelH relativeFrom="margin">
            <wp14:pctWidth>0</wp14:pctWidth>
          </wp14:sizeRelH>
          <wp14:sizeRelV relativeFrom="margin">
            <wp14:pctHeight>0</wp14:pctHeight>
          </wp14:sizeRelV>
        </wp:anchor>
      </w:drawing>
    </w:r>
    <w:r w:rsidR="1A1A1CC6" w:rsidRPr="1A1A1CC6">
      <w:rPr>
        <w:color w:val="7030A0"/>
      </w:rPr>
      <w:t xml:space="preserve">             </w:t>
    </w:r>
  </w:p>
  <w:tbl>
    <w:tblPr>
      <w:tblStyle w:val="PlainTable4"/>
      <w:tblW w:w="0" w:type="auto"/>
      <w:tblLayout w:type="fixed"/>
      <w:tblLook w:val="06A0" w:firstRow="1" w:lastRow="0" w:firstColumn="1" w:lastColumn="0" w:noHBand="1" w:noVBand="1"/>
      <w:tblCaption w:val="Header"/>
      <w:tblDescription w:val="The logo consists of the text “Australian Women’s Health Alliance” in purple. The text is accompanied by a graphic of four figures. The logo is set against a white background. &#10;&#10;You can also read the details: &#10;PO Box 341, Leichhardt, NSW 2040&#10;www.australianwomenshealth.org&#10;Reg. No. A023 83 &#10;ABN 84 238 300 000"/>
    </w:tblPr>
    <w:tblGrid>
      <w:gridCol w:w="4538"/>
    </w:tblGrid>
    <w:tr w:rsidR="000377AE" w14:paraId="06301DF2" w14:textId="77777777" w:rsidTr="1A1A1C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Pr>
        <w:p w14:paraId="01BCEAEB" w14:textId="77777777" w:rsidR="000377AE" w:rsidRDefault="000377AE" w:rsidP="1A1A1CC6">
          <w:pPr>
            <w:rPr>
              <w:color w:val="7030A0"/>
            </w:rPr>
          </w:pPr>
          <w:r>
            <w:rPr>
              <w:noProof/>
            </w:rPr>
            <w:drawing>
              <wp:inline distT="0" distB="0" distL="0" distR="0" wp14:anchorId="1272172B" wp14:editId="3DEF8EA2">
                <wp:extent cx="2151426" cy="733425"/>
                <wp:effectExtent l="0" t="0" r="0" b="0"/>
                <wp:doc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pic:cNvPicPr/>
                      </pic:nvPicPr>
                      <pic:blipFill>
                        <a:blip r:embed="rId2">
                          <a:extLst>
                            <a:ext uri="{28A0092B-C50C-407E-A947-70E740481C1C}">
                              <a14:useLocalDpi xmlns:a14="http://schemas.microsoft.com/office/drawing/2010/main" val="0"/>
                            </a:ext>
                          </a:extLst>
                        </a:blip>
                        <a:srcRect r="54006"/>
                        <a:stretch>
                          <a:fillRect/>
                        </a:stretch>
                      </pic:blipFill>
                      <pic:spPr>
                        <a:xfrm>
                          <a:off x="0" y="0"/>
                          <a:ext cx="2151426" cy="733425"/>
                        </a:xfrm>
                        <a:prstGeom prst="rect">
                          <a:avLst/>
                        </a:prstGeom>
                      </pic:spPr>
                    </pic:pic>
                  </a:graphicData>
                </a:graphic>
              </wp:inline>
            </w:drawing>
          </w:r>
        </w:p>
        <w:p w14:paraId="478CF8C3" w14:textId="77777777" w:rsidR="000377AE" w:rsidRDefault="000377AE" w:rsidP="1A1A1CC6"/>
      </w:tc>
    </w:tr>
  </w:tbl>
  <w:p w14:paraId="7EF993DE" w14:textId="77777777" w:rsidR="1A1A1CC6" w:rsidRDefault="1A1A1CC6" w:rsidP="1A1A1CC6">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D1A33"/>
    <w:multiLevelType w:val="hybridMultilevel"/>
    <w:tmpl w:val="85D2603E"/>
    <w:lvl w:ilvl="0" w:tplc="3272A6E4">
      <w:start w:val="1"/>
      <w:numFmt w:val="bullet"/>
      <w:lvlText w:val=""/>
      <w:lvlJc w:val="left"/>
      <w:pPr>
        <w:ind w:left="720" w:hanging="360"/>
      </w:pPr>
      <w:rPr>
        <w:rFonts w:ascii="Symbol" w:hAnsi="Symbol" w:hint="default"/>
      </w:rPr>
    </w:lvl>
    <w:lvl w:ilvl="1" w:tplc="2C004F8E">
      <w:start w:val="1"/>
      <w:numFmt w:val="bullet"/>
      <w:lvlText w:val="o"/>
      <w:lvlJc w:val="left"/>
      <w:pPr>
        <w:ind w:left="1440" w:hanging="360"/>
      </w:pPr>
      <w:rPr>
        <w:rFonts w:ascii="Courier New" w:hAnsi="Courier New" w:hint="default"/>
      </w:rPr>
    </w:lvl>
    <w:lvl w:ilvl="2" w:tplc="5660F4B6">
      <w:start w:val="1"/>
      <w:numFmt w:val="bullet"/>
      <w:lvlText w:val="▪"/>
      <w:lvlJc w:val="left"/>
      <w:pPr>
        <w:ind w:left="2160" w:hanging="360"/>
      </w:pPr>
      <w:rPr>
        <w:rFonts w:ascii="Noto Sans Symbols" w:hAnsi="Noto Sans Symbols" w:hint="default"/>
      </w:rPr>
    </w:lvl>
    <w:lvl w:ilvl="3" w:tplc="92B6E7F4">
      <w:start w:val="1"/>
      <w:numFmt w:val="bullet"/>
      <w:lvlText w:val="●"/>
      <w:lvlJc w:val="left"/>
      <w:pPr>
        <w:ind w:left="2880" w:hanging="360"/>
      </w:pPr>
      <w:rPr>
        <w:rFonts w:ascii="Noto Sans Symbols" w:hAnsi="Noto Sans Symbols" w:hint="default"/>
      </w:rPr>
    </w:lvl>
    <w:lvl w:ilvl="4" w:tplc="2138DCC4">
      <w:start w:val="1"/>
      <w:numFmt w:val="bullet"/>
      <w:lvlText w:val="o"/>
      <w:lvlJc w:val="left"/>
      <w:pPr>
        <w:ind w:left="3600" w:hanging="360"/>
      </w:pPr>
      <w:rPr>
        <w:rFonts w:ascii="Courier New" w:hAnsi="Courier New" w:hint="default"/>
      </w:rPr>
    </w:lvl>
    <w:lvl w:ilvl="5" w:tplc="F0ACBA96">
      <w:start w:val="1"/>
      <w:numFmt w:val="bullet"/>
      <w:lvlText w:val="▪"/>
      <w:lvlJc w:val="left"/>
      <w:pPr>
        <w:ind w:left="4320" w:hanging="360"/>
      </w:pPr>
      <w:rPr>
        <w:rFonts w:ascii="Noto Sans Symbols" w:hAnsi="Noto Sans Symbols" w:hint="default"/>
      </w:rPr>
    </w:lvl>
    <w:lvl w:ilvl="6" w:tplc="B4303466">
      <w:start w:val="1"/>
      <w:numFmt w:val="bullet"/>
      <w:lvlText w:val="●"/>
      <w:lvlJc w:val="left"/>
      <w:pPr>
        <w:ind w:left="5040" w:hanging="360"/>
      </w:pPr>
      <w:rPr>
        <w:rFonts w:ascii="Noto Sans Symbols" w:hAnsi="Noto Sans Symbols" w:hint="default"/>
      </w:rPr>
    </w:lvl>
    <w:lvl w:ilvl="7" w:tplc="9F26FDB0">
      <w:start w:val="1"/>
      <w:numFmt w:val="bullet"/>
      <w:lvlText w:val="o"/>
      <w:lvlJc w:val="left"/>
      <w:pPr>
        <w:ind w:left="5760" w:hanging="360"/>
      </w:pPr>
      <w:rPr>
        <w:rFonts w:ascii="Courier New" w:hAnsi="Courier New" w:hint="default"/>
      </w:rPr>
    </w:lvl>
    <w:lvl w:ilvl="8" w:tplc="D21616C2">
      <w:start w:val="1"/>
      <w:numFmt w:val="bullet"/>
      <w:lvlText w:val="▪"/>
      <w:lvlJc w:val="left"/>
      <w:pPr>
        <w:ind w:left="6480" w:hanging="360"/>
      </w:pPr>
      <w:rPr>
        <w:rFonts w:ascii="Noto Sans Symbols" w:hAnsi="Noto Sans Symbols" w:hint="default"/>
      </w:rPr>
    </w:lvl>
  </w:abstractNum>
  <w:abstractNum w:abstractNumId="1" w15:restartNumberingAfterBreak="0">
    <w:nsid w:val="6D6D2F7D"/>
    <w:multiLevelType w:val="hybridMultilevel"/>
    <w:tmpl w:val="1F7A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8B6452"/>
    <w:multiLevelType w:val="hybridMultilevel"/>
    <w:tmpl w:val="FA065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558864">
    <w:abstractNumId w:val="1"/>
  </w:num>
  <w:num w:numId="2" w16cid:durableId="1581594238">
    <w:abstractNumId w:val="0"/>
  </w:num>
  <w:num w:numId="3" w16cid:durableId="1359506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C4"/>
    <w:rsid w:val="00022C11"/>
    <w:rsid w:val="000377AE"/>
    <w:rsid w:val="000819CD"/>
    <w:rsid w:val="00083FC9"/>
    <w:rsid w:val="000A3285"/>
    <w:rsid w:val="000D4F71"/>
    <w:rsid w:val="000E4EE5"/>
    <w:rsid w:val="000F59D1"/>
    <w:rsid w:val="00157B87"/>
    <w:rsid w:val="00174C10"/>
    <w:rsid w:val="001A0EDE"/>
    <w:rsid w:val="001A4C07"/>
    <w:rsid w:val="001C1DF5"/>
    <w:rsid w:val="001D2F84"/>
    <w:rsid w:val="00204B76"/>
    <w:rsid w:val="0029185A"/>
    <w:rsid w:val="002A7500"/>
    <w:rsid w:val="002A7ECB"/>
    <w:rsid w:val="002B5496"/>
    <w:rsid w:val="002C5D29"/>
    <w:rsid w:val="00302CFE"/>
    <w:rsid w:val="00325D78"/>
    <w:rsid w:val="00333FE0"/>
    <w:rsid w:val="00340B32"/>
    <w:rsid w:val="00362F82"/>
    <w:rsid w:val="003E059A"/>
    <w:rsid w:val="00413166"/>
    <w:rsid w:val="00447BE7"/>
    <w:rsid w:val="00454AA4"/>
    <w:rsid w:val="00485690"/>
    <w:rsid w:val="004D4C99"/>
    <w:rsid w:val="00513DC9"/>
    <w:rsid w:val="005273E0"/>
    <w:rsid w:val="00580736"/>
    <w:rsid w:val="005C0F1D"/>
    <w:rsid w:val="005F731C"/>
    <w:rsid w:val="00600D7F"/>
    <w:rsid w:val="00664D0C"/>
    <w:rsid w:val="006A143E"/>
    <w:rsid w:val="006C2455"/>
    <w:rsid w:val="007130F5"/>
    <w:rsid w:val="00785ADE"/>
    <w:rsid w:val="00790CE3"/>
    <w:rsid w:val="007D2445"/>
    <w:rsid w:val="00807EC4"/>
    <w:rsid w:val="00847A98"/>
    <w:rsid w:val="008A79D0"/>
    <w:rsid w:val="008C0287"/>
    <w:rsid w:val="008F25C6"/>
    <w:rsid w:val="009439AD"/>
    <w:rsid w:val="00993286"/>
    <w:rsid w:val="009D2032"/>
    <w:rsid w:val="00AA7E26"/>
    <w:rsid w:val="00AB6A6B"/>
    <w:rsid w:val="00AF7FE5"/>
    <w:rsid w:val="00B538CD"/>
    <w:rsid w:val="00B715FE"/>
    <w:rsid w:val="00B82BCC"/>
    <w:rsid w:val="00B91144"/>
    <w:rsid w:val="00BB0A41"/>
    <w:rsid w:val="00BE28F3"/>
    <w:rsid w:val="00BF72E2"/>
    <w:rsid w:val="00C078A2"/>
    <w:rsid w:val="00C440CB"/>
    <w:rsid w:val="00C46CD3"/>
    <w:rsid w:val="00C4786D"/>
    <w:rsid w:val="00C524BF"/>
    <w:rsid w:val="00C754AA"/>
    <w:rsid w:val="00C7775B"/>
    <w:rsid w:val="00CB56F5"/>
    <w:rsid w:val="00CD4800"/>
    <w:rsid w:val="00D214DF"/>
    <w:rsid w:val="00D3424F"/>
    <w:rsid w:val="00D638A3"/>
    <w:rsid w:val="00D709CC"/>
    <w:rsid w:val="00D725CF"/>
    <w:rsid w:val="00DA1DC8"/>
    <w:rsid w:val="00DC456E"/>
    <w:rsid w:val="00E0589E"/>
    <w:rsid w:val="00E30629"/>
    <w:rsid w:val="00E418F3"/>
    <w:rsid w:val="00E72C06"/>
    <w:rsid w:val="00E8111A"/>
    <w:rsid w:val="00E85ADE"/>
    <w:rsid w:val="00EB337F"/>
    <w:rsid w:val="00EB509D"/>
    <w:rsid w:val="00F709E5"/>
    <w:rsid w:val="00F71EBB"/>
    <w:rsid w:val="00F96A8C"/>
    <w:rsid w:val="00FA5118"/>
    <w:rsid w:val="00FD5C10"/>
    <w:rsid w:val="00FE5EE6"/>
    <w:rsid w:val="0C5ED419"/>
    <w:rsid w:val="1450BDA1"/>
    <w:rsid w:val="1A1A1CC6"/>
    <w:rsid w:val="1FDFAEFA"/>
    <w:rsid w:val="3EFF4C5A"/>
    <w:rsid w:val="409B1CBB"/>
    <w:rsid w:val="54F1DB20"/>
    <w:rsid w:val="6B50CEB1"/>
    <w:rsid w:val="6FE13D70"/>
    <w:rsid w:val="7299E082"/>
    <w:rsid w:val="75D18144"/>
    <w:rsid w:val="7A2420FF"/>
    <w:rsid w:val="7CFED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178A8"/>
  <w15:docId w15:val="{888BBB41-AE2F-4C06-8372-0D03ED6A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menshealthhub.learnworlds.com/course/intro-to-gender-responsive-heal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nwomenshealth.org/resource/the-gendered-experience-of-chronic-conditions-insights-challenges-and-opportunit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x2672\Downloads\Policy%20Brief%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3f973e-18e3-4683-9db9-a8b30f12ddca">
      <Terms xmlns="http://schemas.microsoft.com/office/infopath/2007/PartnerControls"/>
    </lcf76f155ced4ddcb4097134ff3c332f>
    <TaxCatchAll xmlns="5b707c4a-f0af-4a30-ae8a-e74992196a0f" xsi:nil="true"/>
    <SharedWithUsers xmlns="5b707c4a-f0af-4a30-ae8a-e74992196a0f">
      <UserInfo>
        <DisplayName/>
        <AccountId xsi:nil="true"/>
        <AccountType/>
      </UserInfo>
    </SharedWithUsers>
    <MediaLengthInSeconds xmlns="153f973e-18e3-4683-9db9-a8b30f12dd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5" ma:contentTypeDescription="Create a new document." ma:contentTypeScope="" ma:versionID="bd1d590ff9f7cd7d748fd02ce68befd5">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7a3f6ef1bd95ad436be522dc8eb4956a"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6787-EE38-4415-91C1-925AF946DD56}">
  <ds:schemaRefs>
    <ds:schemaRef ds:uri="http://schemas.microsoft.com/office/2006/metadata/properties"/>
    <ds:schemaRef ds:uri="http://schemas.microsoft.com/office/infopath/2007/PartnerControls"/>
    <ds:schemaRef ds:uri="153f973e-18e3-4683-9db9-a8b30f12ddca"/>
    <ds:schemaRef ds:uri="5b707c4a-f0af-4a30-ae8a-e74992196a0f"/>
  </ds:schemaRefs>
</ds:datastoreItem>
</file>

<file path=customXml/itemProps2.xml><?xml version="1.0" encoding="utf-8"?>
<ds:datastoreItem xmlns:ds="http://schemas.openxmlformats.org/officeDocument/2006/customXml" ds:itemID="{3E46313F-81A3-4E12-AD82-3F5A874EE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187AD-0EDB-4B4C-AC27-3835DA922188}">
  <ds:schemaRefs>
    <ds:schemaRef ds:uri="http://schemas.microsoft.com/sharepoint/v3/contenttype/forms"/>
  </ds:schemaRefs>
</ds:datastoreItem>
</file>

<file path=customXml/itemProps4.xml><?xml version="1.0" encoding="utf-8"?>
<ds:datastoreItem xmlns:ds="http://schemas.openxmlformats.org/officeDocument/2006/customXml" ds:itemID="{10C4646A-4C72-45F6-9348-03F53FD99921}">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Policy Brief template FINAL</Template>
  <TotalTime>24</TotalTime>
  <Pages>2</Pages>
  <Words>406</Words>
  <Characters>2341</Characters>
  <Application>Microsoft Office Word</Application>
  <DocSecurity>0</DocSecurity>
  <Lines>123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Women's Health Alliance</dc:creator>
  <cp:lastModifiedBy>Bonnie Laxton-Blinkhorn</cp:lastModifiedBy>
  <cp:revision>30</cp:revision>
  <dcterms:created xsi:type="dcterms:W3CDTF">2025-05-30T06:24:00Z</dcterms:created>
  <dcterms:modified xsi:type="dcterms:W3CDTF">2025-06-01T22:41:00Z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164800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0x010100F5319B620C901544A72D510C44F6C46A</vt:lpwstr>
  </property>
</Properties>
</file>