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53FC" w14:textId="13E9EF5E" w:rsidR="001A0EDE" w:rsidRPr="00835AE4" w:rsidRDefault="00807EC4" w:rsidP="000377AE">
      <w:pPr>
        <w:pStyle w:val="Style1"/>
        <w:rPr>
          <w:rFonts w:ascii="Rubik" w:hAnsi="Rubik" w:cs="Rubik Medium"/>
        </w:rPr>
      </w:pPr>
      <w:r w:rsidRPr="00835AE4">
        <w:rPr>
          <w:rFonts w:ascii="Rubik" w:hAnsi="Rubik" w:cs="Rubik Medium"/>
        </w:rPr>
        <w:t>Toolkit Resource</w:t>
      </w:r>
    </w:p>
    <w:p w14:paraId="59BBA836" w14:textId="6B81656A" w:rsidR="002A7500" w:rsidRPr="00835AE4" w:rsidRDefault="00807EC4" w:rsidP="000377AE">
      <w:pPr>
        <w:pStyle w:val="Heading2"/>
        <w:spacing w:after="0"/>
        <w:rPr>
          <w:rFonts w:ascii="Rubik" w:hAnsi="Rubik"/>
        </w:rPr>
      </w:pPr>
      <w:bookmarkStart w:id="0" w:name="_usdc0nj6twdp" w:colFirst="0" w:colLast="0"/>
      <w:bookmarkEnd w:id="0"/>
      <w:r w:rsidRPr="00835AE4">
        <w:rPr>
          <w:rFonts w:ascii="Rubik" w:hAnsi="Rubik"/>
        </w:rPr>
        <w:t xml:space="preserve">Example actions to address </w:t>
      </w:r>
      <w:r w:rsidR="00223C8B" w:rsidRPr="00835AE4">
        <w:rPr>
          <w:rFonts w:ascii="Rubik" w:hAnsi="Rubik"/>
        </w:rPr>
        <w:t>mental health</w:t>
      </w:r>
    </w:p>
    <w:p w14:paraId="0F310C44" w14:textId="77777777" w:rsidR="000377AE" w:rsidRPr="00807EC4" w:rsidRDefault="000377AE" w:rsidP="000377AE">
      <w:pPr>
        <w:rPr>
          <w:sz w:val="22"/>
          <w:szCs w:val="22"/>
        </w:rPr>
      </w:pPr>
    </w:p>
    <w:p w14:paraId="6B78ADE9" w14:textId="51504AFD" w:rsidR="00807EC4" w:rsidRPr="00807EC4" w:rsidRDefault="00B026C3" w:rsidP="000377AE">
      <w:pPr>
        <w:rPr>
          <w:sz w:val="22"/>
          <w:szCs w:val="22"/>
        </w:rPr>
      </w:pPr>
      <w:r>
        <w:rPr>
          <w:sz w:val="22"/>
          <w:szCs w:val="22"/>
        </w:rPr>
        <w:t>Women face a greater risk of experiencing mental health challenges compared to men</w:t>
      </w:r>
      <w:r w:rsidR="006B18CA">
        <w:rPr>
          <w:sz w:val="22"/>
          <w:szCs w:val="22"/>
        </w:rPr>
        <w:t xml:space="preserve">, so our health </w:t>
      </w:r>
      <w:r w:rsidR="001A40A0">
        <w:rPr>
          <w:sz w:val="22"/>
          <w:szCs w:val="22"/>
        </w:rPr>
        <w:t>and social care systems must be gender-responsive to meet these challenges</w:t>
      </w:r>
      <w:r>
        <w:rPr>
          <w:sz w:val="22"/>
          <w:szCs w:val="22"/>
        </w:rPr>
        <w:t xml:space="preserve">. </w:t>
      </w:r>
      <w:r w:rsidR="00807EC4">
        <w:rPr>
          <w:sz w:val="22"/>
          <w:szCs w:val="22"/>
        </w:rPr>
        <w:t>This document contains examples of gender-responsive actions that can be taken by individual professionals and community members, as well workplaces and organisations</w:t>
      </w:r>
      <w:r w:rsidR="00241263">
        <w:rPr>
          <w:sz w:val="22"/>
          <w:szCs w:val="22"/>
        </w:rPr>
        <w:t xml:space="preserve"> to address gendered inequities in mental health</w:t>
      </w:r>
      <w:r w:rsidR="00807EC4">
        <w:rPr>
          <w:sz w:val="22"/>
          <w:szCs w:val="22"/>
        </w:rPr>
        <w:t>.</w:t>
      </w:r>
    </w:p>
    <w:p w14:paraId="1C8133EA" w14:textId="77777777" w:rsidR="001A0EDE" w:rsidRPr="000E4EE5" w:rsidRDefault="001A0EDE" w:rsidP="002A7500">
      <w:pPr>
        <w:pStyle w:val="Title"/>
        <w:rPr>
          <w:sz w:val="22"/>
          <w:szCs w:val="22"/>
        </w:rPr>
      </w:pPr>
    </w:p>
    <w:p w14:paraId="353164AE" w14:textId="55D54A58" w:rsidR="00807EC4" w:rsidRPr="00835AE4" w:rsidRDefault="00807EC4" w:rsidP="00807EC4">
      <w:pPr>
        <w:pStyle w:val="Heading3"/>
        <w:rPr>
          <w:rFonts w:ascii="Rubik" w:hAnsi="Rubik"/>
        </w:rPr>
      </w:pPr>
      <w:bookmarkStart w:id="1" w:name="_6orn3b6nvj35" w:colFirst="0" w:colLast="0"/>
      <w:bookmarkEnd w:id="1"/>
      <w:r w:rsidRPr="00835AE4">
        <w:rPr>
          <w:rFonts w:ascii="Rubik" w:hAnsi="Rubik"/>
          <w:sz w:val="22"/>
          <w:szCs w:val="22"/>
        </w:rPr>
        <w:t>Individual profession</w:t>
      </w:r>
      <w:r w:rsidR="00726939">
        <w:rPr>
          <w:rFonts w:ascii="Rubik" w:hAnsi="Rubik"/>
          <w:sz w:val="22"/>
          <w:szCs w:val="22"/>
        </w:rPr>
        <w:t>al</w:t>
      </w:r>
      <w:r w:rsidRPr="00835AE4">
        <w:rPr>
          <w:rFonts w:ascii="Rubik" w:hAnsi="Rubik"/>
          <w:sz w:val="22"/>
          <w:szCs w:val="22"/>
        </w:rPr>
        <w:t>/practice</w:t>
      </w:r>
    </w:p>
    <w:p w14:paraId="2A25C83C" w14:textId="1BFB35B5" w:rsidR="0045050D" w:rsidRDefault="0045050D" w:rsidP="0045050D">
      <w:pPr>
        <w:numPr>
          <w:ilvl w:val="0"/>
          <w:numId w:val="2"/>
        </w:numPr>
        <w:pBdr>
          <w:top w:val="nil"/>
          <w:left w:val="nil"/>
          <w:bottom w:val="nil"/>
          <w:right w:val="nil"/>
          <w:between w:val="nil"/>
        </w:pBdr>
        <w:rPr>
          <w:color w:val="000000"/>
          <w:sz w:val="22"/>
          <w:szCs w:val="22"/>
        </w:rPr>
      </w:pPr>
      <w:r>
        <w:rPr>
          <w:color w:val="000000"/>
          <w:sz w:val="22"/>
          <w:szCs w:val="22"/>
        </w:rPr>
        <w:t>Learn more about</w:t>
      </w:r>
      <w:r w:rsidR="000F6826">
        <w:rPr>
          <w:color w:val="000000"/>
          <w:sz w:val="22"/>
          <w:szCs w:val="22"/>
        </w:rPr>
        <w:t xml:space="preserve"> how</w:t>
      </w:r>
      <w:r>
        <w:rPr>
          <w:color w:val="000000"/>
          <w:sz w:val="22"/>
          <w:szCs w:val="22"/>
        </w:rPr>
        <w:t xml:space="preserve"> gender</w:t>
      </w:r>
      <w:r w:rsidR="000F6826">
        <w:rPr>
          <w:color w:val="000000"/>
          <w:sz w:val="22"/>
          <w:szCs w:val="22"/>
        </w:rPr>
        <w:t xml:space="preserve"> affects</w:t>
      </w:r>
      <w:r>
        <w:rPr>
          <w:color w:val="000000"/>
          <w:sz w:val="22"/>
          <w:szCs w:val="22"/>
        </w:rPr>
        <w:t xml:space="preserve"> </w:t>
      </w:r>
      <w:r w:rsidRPr="000C576E">
        <w:rPr>
          <w:color w:val="000000"/>
          <w:sz w:val="22"/>
          <w:szCs w:val="22"/>
        </w:rPr>
        <w:t>mental health</w:t>
      </w:r>
      <w:r w:rsidR="003356C7">
        <w:rPr>
          <w:color w:val="000000"/>
          <w:sz w:val="22"/>
          <w:szCs w:val="22"/>
        </w:rPr>
        <w:t>, including</w:t>
      </w:r>
      <w:r w:rsidR="007345F5">
        <w:rPr>
          <w:color w:val="000000"/>
          <w:sz w:val="22"/>
          <w:szCs w:val="22"/>
        </w:rPr>
        <w:t xml:space="preserve"> the</w:t>
      </w:r>
      <w:r w:rsidR="003356C7">
        <w:rPr>
          <w:color w:val="000000"/>
          <w:sz w:val="22"/>
          <w:szCs w:val="22"/>
        </w:rPr>
        <w:t xml:space="preserve"> </w:t>
      </w:r>
      <w:hyperlink r:id="rId11" w:history="1">
        <w:r w:rsidR="003356C7" w:rsidRPr="000C576E">
          <w:rPr>
            <w:rStyle w:val="Hyperlink"/>
            <w:sz w:val="22"/>
            <w:szCs w:val="22"/>
          </w:rPr>
          <w:t>social, environmental and gendered determinants</w:t>
        </w:r>
      </w:hyperlink>
      <w:r w:rsidR="003356C7">
        <w:rPr>
          <w:color w:val="000000"/>
          <w:sz w:val="22"/>
          <w:szCs w:val="22"/>
        </w:rPr>
        <w:t xml:space="preserve"> that disproportionately impact women</w:t>
      </w:r>
    </w:p>
    <w:p w14:paraId="1A1840AB" w14:textId="5A8A482F" w:rsidR="000F6826" w:rsidRDefault="008E55C7" w:rsidP="0045050D">
      <w:pPr>
        <w:numPr>
          <w:ilvl w:val="0"/>
          <w:numId w:val="2"/>
        </w:numPr>
        <w:pBdr>
          <w:top w:val="nil"/>
          <w:left w:val="nil"/>
          <w:bottom w:val="nil"/>
          <w:right w:val="nil"/>
          <w:between w:val="nil"/>
        </w:pBdr>
        <w:rPr>
          <w:color w:val="000000"/>
          <w:sz w:val="22"/>
          <w:szCs w:val="22"/>
        </w:rPr>
      </w:pPr>
      <w:r>
        <w:rPr>
          <w:color w:val="000000"/>
          <w:sz w:val="22"/>
          <w:szCs w:val="22"/>
        </w:rPr>
        <w:t>P</w:t>
      </w:r>
      <w:r w:rsidR="000F6826">
        <w:rPr>
          <w:color w:val="000000"/>
          <w:sz w:val="22"/>
          <w:szCs w:val="22"/>
        </w:rPr>
        <w:t>rovide plain language information</w:t>
      </w:r>
      <w:r>
        <w:rPr>
          <w:color w:val="000000"/>
          <w:sz w:val="22"/>
          <w:szCs w:val="22"/>
        </w:rPr>
        <w:t xml:space="preserve"> about and available services that relate to mental health conditions and psychosocial disabilities that disproportionately impact women</w:t>
      </w:r>
    </w:p>
    <w:p w14:paraId="798F61C4" w14:textId="39B63C43" w:rsidR="003748B5" w:rsidRDefault="003748B5" w:rsidP="003748B5">
      <w:pPr>
        <w:numPr>
          <w:ilvl w:val="0"/>
          <w:numId w:val="2"/>
        </w:numPr>
        <w:pBdr>
          <w:top w:val="nil"/>
          <w:left w:val="nil"/>
          <w:bottom w:val="nil"/>
          <w:right w:val="nil"/>
          <w:between w:val="nil"/>
        </w:pBdr>
        <w:rPr>
          <w:color w:val="000000"/>
          <w:sz w:val="22"/>
          <w:szCs w:val="22"/>
        </w:rPr>
      </w:pPr>
      <w:r>
        <w:rPr>
          <w:color w:val="000000"/>
          <w:sz w:val="22"/>
          <w:szCs w:val="22"/>
        </w:rPr>
        <w:t>Strengthen referrals between health, mental health, and other relevant care and services including domestic, family and sexual violence (DFSV) services</w:t>
      </w:r>
      <w:r w:rsidR="00B93826">
        <w:rPr>
          <w:color w:val="000000"/>
          <w:sz w:val="22"/>
          <w:szCs w:val="22"/>
        </w:rPr>
        <w:t xml:space="preserve">, disability support and </w:t>
      </w:r>
      <w:r w:rsidR="00C106AE">
        <w:rPr>
          <w:color w:val="000000"/>
          <w:sz w:val="22"/>
          <w:szCs w:val="22"/>
        </w:rPr>
        <w:t xml:space="preserve">maternal health care such as abortion care, </w:t>
      </w:r>
      <w:r w:rsidR="00B93826">
        <w:rPr>
          <w:color w:val="000000"/>
          <w:sz w:val="22"/>
          <w:szCs w:val="22"/>
        </w:rPr>
        <w:t>perinatal</w:t>
      </w:r>
      <w:r w:rsidR="00C106AE">
        <w:rPr>
          <w:color w:val="000000"/>
          <w:sz w:val="22"/>
          <w:szCs w:val="22"/>
        </w:rPr>
        <w:t xml:space="preserve"> and </w:t>
      </w:r>
      <w:r w:rsidR="00B93826">
        <w:rPr>
          <w:color w:val="000000"/>
          <w:sz w:val="22"/>
          <w:szCs w:val="22"/>
        </w:rPr>
        <w:t>postnatal health services</w:t>
      </w:r>
    </w:p>
    <w:p w14:paraId="12FFB65E" w14:textId="1B4B1692"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 xml:space="preserve">Incorporate </w:t>
      </w:r>
      <w:hyperlink r:id="rId12" w:history="1">
        <w:r w:rsidRPr="002C5D29">
          <w:rPr>
            <w:rStyle w:val="Hyperlink"/>
            <w:sz w:val="22"/>
            <w:szCs w:val="22"/>
          </w:rPr>
          <w:t>vicarious trauma</w:t>
        </w:r>
      </w:hyperlink>
      <w:r>
        <w:rPr>
          <w:color w:val="000000"/>
          <w:sz w:val="22"/>
          <w:szCs w:val="22"/>
        </w:rPr>
        <w:t xml:space="preserve"> training and considerations in practice</w:t>
      </w:r>
      <w:r w:rsidRPr="002C5D29">
        <w:rPr>
          <w:color w:val="000000"/>
          <w:sz w:val="22"/>
          <w:szCs w:val="22"/>
        </w:rPr>
        <w:t xml:space="preserve"> </w:t>
      </w:r>
    </w:p>
    <w:p w14:paraId="6C406A73" w14:textId="791DAC6E" w:rsidR="0045050D" w:rsidRDefault="009C076A" w:rsidP="0045050D">
      <w:pPr>
        <w:numPr>
          <w:ilvl w:val="0"/>
          <w:numId w:val="2"/>
        </w:numPr>
        <w:pBdr>
          <w:top w:val="nil"/>
          <w:left w:val="nil"/>
          <w:bottom w:val="nil"/>
          <w:right w:val="nil"/>
          <w:between w:val="nil"/>
        </w:pBdr>
        <w:rPr>
          <w:color w:val="000000"/>
          <w:sz w:val="22"/>
          <w:szCs w:val="22"/>
        </w:rPr>
      </w:pPr>
      <w:r>
        <w:rPr>
          <w:color w:val="000000"/>
          <w:sz w:val="22"/>
          <w:szCs w:val="22"/>
        </w:rPr>
        <w:t>Expand</w:t>
      </w:r>
      <w:r w:rsidR="0045050D" w:rsidRPr="002C5D29">
        <w:rPr>
          <w:color w:val="000000"/>
          <w:sz w:val="22"/>
          <w:szCs w:val="22"/>
        </w:rPr>
        <w:t xml:space="preserve"> trauma-informed </w:t>
      </w:r>
      <w:r w:rsidR="0045050D">
        <w:rPr>
          <w:color w:val="000000"/>
          <w:sz w:val="22"/>
          <w:szCs w:val="22"/>
        </w:rPr>
        <w:t xml:space="preserve">care and consider ways to address the impacts of trauma on </w:t>
      </w:r>
      <w:r w:rsidR="00225D9C">
        <w:rPr>
          <w:color w:val="000000"/>
          <w:sz w:val="22"/>
          <w:szCs w:val="22"/>
        </w:rPr>
        <w:t>mental health and wellbeing</w:t>
      </w:r>
      <w:r w:rsidR="0045050D">
        <w:rPr>
          <w:color w:val="000000"/>
          <w:sz w:val="22"/>
          <w:szCs w:val="22"/>
        </w:rPr>
        <w:t>, including with somatic</w:t>
      </w:r>
      <w:r>
        <w:rPr>
          <w:color w:val="000000"/>
          <w:sz w:val="22"/>
          <w:szCs w:val="22"/>
        </w:rPr>
        <w:t>, expressive arts</w:t>
      </w:r>
      <w:r w:rsidR="0045050D">
        <w:rPr>
          <w:color w:val="000000"/>
          <w:sz w:val="22"/>
          <w:szCs w:val="22"/>
        </w:rPr>
        <w:t xml:space="preserve"> therapy and nervous system practitioners</w:t>
      </w:r>
    </w:p>
    <w:p w14:paraId="3885640A" w14:textId="1A1A8F46" w:rsidR="002C5D29" w:rsidRPr="003748B5" w:rsidRDefault="0045050D" w:rsidP="003748B5">
      <w:pPr>
        <w:numPr>
          <w:ilvl w:val="0"/>
          <w:numId w:val="2"/>
        </w:numPr>
        <w:pBdr>
          <w:top w:val="nil"/>
          <w:left w:val="nil"/>
          <w:bottom w:val="nil"/>
          <w:right w:val="nil"/>
          <w:between w:val="nil"/>
        </w:pBdr>
        <w:rPr>
          <w:color w:val="000000"/>
          <w:sz w:val="22"/>
          <w:szCs w:val="22"/>
        </w:rPr>
      </w:pPr>
      <w:r>
        <w:rPr>
          <w:color w:val="000000"/>
          <w:sz w:val="22"/>
          <w:szCs w:val="22"/>
        </w:rPr>
        <w:t>Connect with community led support groups</w:t>
      </w:r>
      <w:r w:rsidR="003748B5">
        <w:rPr>
          <w:color w:val="000000"/>
          <w:sz w:val="22"/>
          <w:szCs w:val="22"/>
        </w:rPr>
        <w:t>, mental health carer</w:t>
      </w:r>
      <w:r w:rsidR="002050CD">
        <w:rPr>
          <w:color w:val="000000"/>
          <w:sz w:val="22"/>
          <w:szCs w:val="22"/>
        </w:rPr>
        <w:t xml:space="preserve"> support</w:t>
      </w:r>
      <w:r>
        <w:rPr>
          <w:color w:val="000000"/>
          <w:sz w:val="22"/>
          <w:szCs w:val="22"/>
        </w:rPr>
        <w:t xml:space="preserve"> and lived experience advocates to strengthen referrals and inform practice</w:t>
      </w:r>
    </w:p>
    <w:p w14:paraId="00C1DF88" w14:textId="77777777" w:rsidR="00807EC4" w:rsidRDefault="00807EC4" w:rsidP="00807EC4">
      <w:pPr>
        <w:pBdr>
          <w:top w:val="nil"/>
          <w:left w:val="nil"/>
          <w:bottom w:val="nil"/>
          <w:right w:val="nil"/>
          <w:between w:val="nil"/>
        </w:pBdr>
        <w:ind w:left="1080"/>
        <w:rPr>
          <w:color w:val="000000"/>
          <w:sz w:val="22"/>
          <w:szCs w:val="22"/>
        </w:rPr>
      </w:pPr>
    </w:p>
    <w:p w14:paraId="0F584C2B" w14:textId="77777777" w:rsidR="002A7ECB" w:rsidRDefault="002A7ECB" w:rsidP="00807EC4">
      <w:pPr>
        <w:pBdr>
          <w:top w:val="nil"/>
          <w:left w:val="nil"/>
          <w:bottom w:val="nil"/>
          <w:right w:val="nil"/>
          <w:between w:val="nil"/>
        </w:pBdr>
        <w:ind w:left="1080"/>
        <w:rPr>
          <w:color w:val="000000"/>
          <w:sz w:val="22"/>
          <w:szCs w:val="22"/>
        </w:rPr>
      </w:pPr>
    </w:p>
    <w:p w14:paraId="28A912F0" w14:textId="7D97D839" w:rsidR="00807EC4" w:rsidRPr="00835AE4" w:rsidRDefault="00807EC4" w:rsidP="00807EC4">
      <w:pPr>
        <w:pStyle w:val="Heading3"/>
        <w:rPr>
          <w:rFonts w:ascii="Rubik" w:hAnsi="Rubik"/>
          <w:sz w:val="22"/>
          <w:szCs w:val="22"/>
        </w:rPr>
      </w:pPr>
      <w:r w:rsidRPr="00835AE4">
        <w:rPr>
          <w:rFonts w:ascii="Rubik" w:hAnsi="Rubik"/>
          <w:sz w:val="22"/>
          <w:szCs w:val="22"/>
        </w:rPr>
        <w:t>Workplace/organisation</w:t>
      </w:r>
    </w:p>
    <w:p w14:paraId="7948534F" w14:textId="1220212E" w:rsidR="00807EC4" w:rsidRDefault="00807EC4" w:rsidP="00807EC4">
      <w:pPr>
        <w:numPr>
          <w:ilvl w:val="0"/>
          <w:numId w:val="2"/>
        </w:numPr>
        <w:pBdr>
          <w:top w:val="nil"/>
          <w:left w:val="nil"/>
          <w:bottom w:val="nil"/>
          <w:right w:val="nil"/>
          <w:between w:val="nil"/>
        </w:pBdr>
        <w:rPr>
          <w:color w:val="000000"/>
          <w:sz w:val="22"/>
          <w:szCs w:val="22"/>
        </w:rPr>
      </w:pPr>
      <w:r>
        <w:rPr>
          <w:color w:val="000000"/>
          <w:sz w:val="22"/>
          <w:szCs w:val="22"/>
        </w:rPr>
        <w:t xml:space="preserve">Develop innovative models </w:t>
      </w:r>
      <w:r w:rsidR="00136E7C">
        <w:rPr>
          <w:color w:val="000000"/>
          <w:sz w:val="22"/>
          <w:szCs w:val="22"/>
        </w:rPr>
        <w:t xml:space="preserve">that incorporate </w:t>
      </w:r>
      <w:r w:rsidR="000209A4">
        <w:rPr>
          <w:color w:val="000000"/>
          <w:sz w:val="22"/>
          <w:szCs w:val="22"/>
        </w:rPr>
        <w:t xml:space="preserve">gender-responsive </w:t>
      </w:r>
      <w:r w:rsidR="00136E7C">
        <w:rPr>
          <w:color w:val="000000"/>
          <w:sz w:val="22"/>
          <w:szCs w:val="22"/>
        </w:rPr>
        <w:t>mental health as part of multidisciplinary and holistic people-centred care</w:t>
      </w:r>
    </w:p>
    <w:p w14:paraId="51E3ED36" w14:textId="64025D58" w:rsidR="00422C27" w:rsidRDefault="00422C27" w:rsidP="00422C27">
      <w:pPr>
        <w:pStyle w:val="ListParagraph"/>
        <w:numPr>
          <w:ilvl w:val="0"/>
          <w:numId w:val="2"/>
        </w:numPr>
        <w:rPr>
          <w:color w:val="000000"/>
          <w:sz w:val="22"/>
          <w:szCs w:val="22"/>
        </w:rPr>
      </w:pPr>
      <w:r>
        <w:rPr>
          <w:color w:val="000000"/>
          <w:sz w:val="22"/>
          <w:szCs w:val="22"/>
        </w:rPr>
        <w:t>Identify ways to improve affordability, accessibility, appropriateness and availability of health care</w:t>
      </w:r>
      <w:r w:rsidR="002E5B23">
        <w:rPr>
          <w:color w:val="000000"/>
          <w:sz w:val="22"/>
          <w:szCs w:val="22"/>
        </w:rPr>
        <w:t xml:space="preserve">, addressing the </w:t>
      </w:r>
      <w:r w:rsidR="000209A4">
        <w:rPr>
          <w:color w:val="000000"/>
          <w:sz w:val="22"/>
          <w:szCs w:val="22"/>
        </w:rPr>
        <w:t>gendered</w:t>
      </w:r>
      <w:r w:rsidR="005574A2">
        <w:rPr>
          <w:color w:val="000000"/>
          <w:sz w:val="22"/>
          <w:szCs w:val="22"/>
        </w:rPr>
        <w:t>, soci</w:t>
      </w:r>
      <w:r w:rsidR="00E46617">
        <w:rPr>
          <w:color w:val="000000"/>
          <w:sz w:val="22"/>
          <w:szCs w:val="22"/>
        </w:rPr>
        <w:t>o-economic</w:t>
      </w:r>
      <w:r w:rsidR="005574A2">
        <w:rPr>
          <w:color w:val="000000"/>
          <w:sz w:val="22"/>
          <w:szCs w:val="22"/>
        </w:rPr>
        <w:t xml:space="preserve"> and environmental </w:t>
      </w:r>
      <w:r w:rsidR="002E5B23">
        <w:rPr>
          <w:color w:val="000000"/>
          <w:sz w:val="22"/>
          <w:szCs w:val="22"/>
        </w:rPr>
        <w:t xml:space="preserve">barriers </w:t>
      </w:r>
      <w:r w:rsidR="005574A2">
        <w:rPr>
          <w:color w:val="000000"/>
          <w:sz w:val="22"/>
          <w:szCs w:val="22"/>
        </w:rPr>
        <w:t>to</w:t>
      </w:r>
      <w:r w:rsidR="000362F0">
        <w:rPr>
          <w:color w:val="000000"/>
          <w:sz w:val="22"/>
          <w:szCs w:val="22"/>
        </w:rPr>
        <w:t xml:space="preserve"> access</w:t>
      </w:r>
      <w:r w:rsidR="002E5B23">
        <w:rPr>
          <w:color w:val="000000"/>
          <w:sz w:val="22"/>
          <w:szCs w:val="22"/>
        </w:rPr>
        <w:t xml:space="preserve"> </w:t>
      </w:r>
      <w:r w:rsidR="000362F0">
        <w:rPr>
          <w:color w:val="000000"/>
          <w:sz w:val="22"/>
          <w:szCs w:val="22"/>
        </w:rPr>
        <w:t xml:space="preserve">that </w:t>
      </w:r>
      <w:r w:rsidR="002E5B23">
        <w:rPr>
          <w:color w:val="000000"/>
          <w:sz w:val="22"/>
          <w:szCs w:val="22"/>
        </w:rPr>
        <w:t>can impact mental health and wellbeing</w:t>
      </w:r>
    </w:p>
    <w:p w14:paraId="3010219C" w14:textId="390E4276" w:rsidR="00422C27" w:rsidRDefault="00422C27" w:rsidP="00422C27">
      <w:pPr>
        <w:pStyle w:val="ListParagraph"/>
        <w:numPr>
          <w:ilvl w:val="0"/>
          <w:numId w:val="2"/>
        </w:numPr>
        <w:rPr>
          <w:color w:val="000000"/>
          <w:sz w:val="22"/>
          <w:szCs w:val="22"/>
        </w:rPr>
      </w:pPr>
      <w:r>
        <w:rPr>
          <w:color w:val="000000"/>
          <w:sz w:val="22"/>
          <w:szCs w:val="22"/>
        </w:rPr>
        <w:t xml:space="preserve">Address gendered bias and harmful stereotypes </w:t>
      </w:r>
      <w:r w:rsidR="00D67708">
        <w:rPr>
          <w:color w:val="000000"/>
          <w:sz w:val="22"/>
          <w:szCs w:val="22"/>
        </w:rPr>
        <w:t xml:space="preserve">that can impact women’s mental health </w:t>
      </w:r>
      <w:r w:rsidR="000362F0">
        <w:rPr>
          <w:color w:val="000000"/>
          <w:sz w:val="22"/>
          <w:szCs w:val="22"/>
        </w:rPr>
        <w:t>by</w:t>
      </w:r>
      <w:r>
        <w:rPr>
          <w:color w:val="000000"/>
          <w:sz w:val="22"/>
          <w:szCs w:val="22"/>
        </w:rPr>
        <w:t xml:space="preserve"> </w:t>
      </w:r>
      <w:r w:rsidR="00966938">
        <w:rPr>
          <w:color w:val="000000"/>
          <w:sz w:val="22"/>
          <w:szCs w:val="22"/>
        </w:rPr>
        <w:t xml:space="preserve">embedding </w:t>
      </w:r>
      <w:r>
        <w:rPr>
          <w:color w:val="000000"/>
          <w:sz w:val="22"/>
          <w:szCs w:val="22"/>
        </w:rPr>
        <w:t>anti-discrimination</w:t>
      </w:r>
      <w:r w:rsidR="00241FE7">
        <w:rPr>
          <w:color w:val="000000"/>
          <w:sz w:val="22"/>
          <w:szCs w:val="22"/>
        </w:rPr>
        <w:t xml:space="preserve"> measures into organisational </w:t>
      </w:r>
      <w:r>
        <w:rPr>
          <w:color w:val="000000"/>
          <w:sz w:val="22"/>
          <w:szCs w:val="22"/>
        </w:rPr>
        <w:t xml:space="preserve">policy and </w:t>
      </w:r>
      <w:r w:rsidR="00D67708">
        <w:rPr>
          <w:color w:val="000000"/>
          <w:sz w:val="22"/>
          <w:szCs w:val="22"/>
        </w:rPr>
        <w:t>practice</w:t>
      </w:r>
    </w:p>
    <w:p w14:paraId="6434A6B0" w14:textId="0FE7D995" w:rsidR="00422C27" w:rsidRPr="00D638A3" w:rsidRDefault="00422C27" w:rsidP="00422C27">
      <w:pPr>
        <w:pStyle w:val="ListParagraph"/>
        <w:numPr>
          <w:ilvl w:val="0"/>
          <w:numId w:val="2"/>
        </w:numPr>
        <w:rPr>
          <w:color w:val="000000"/>
          <w:sz w:val="22"/>
          <w:szCs w:val="22"/>
        </w:rPr>
      </w:pPr>
      <w:r>
        <w:rPr>
          <w:color w:val="000000"/>
          <w:sz w:val="22"/>
          <w:szCs w:val="22"/>
        </w:rPr>
        <w:t>Connect with community</w:t>
      </w:r>
      <w:r w:rsidR="008C0ED9">
        <w:rPr>
          <w:color w:val="000000"/>
          <w:sz w:val="22"/>
          <w:szCs w:val="22"/>
        </w:rPr>
        <w:t>-</w:t>
      </w:r>
      <w:r>
        <w:rPr>
          <w:color w:val="000000"/>
          <w:sz w:val="22"/>
          <w:szCs w:val="22"/>
        </w:rPr>
        <w:t>led support groups</w:t>
      </w:r>
      <w:r w:rsidR="00C67538">
        <w:rPr>
          <w:color w:val="000000"/>
          <w:sz w:val="22"/>
          <w:szCs w:val="22"/>
        </w:rPr>
        <w:t>, mental health carers</w:t>
      </w:r>
      <w:r>
        <w:rPr>
          <w:color w:val="000000"/>
          <w:sz w:val="22"/>
          <w:szCs w:val="22"/>
        </w:rPr>
        <w:t xml:space="preserve"> and lived experience advocates to strengthen referrals and inform monitoring, evaluation and learning</w:t>
      </w:r>
    </w:p>
    <w:p w14:paraId="01ACDEC1" w14:textId="5F65AC68" w:rsidR="002C5D29" w:rsidRPr="008C0ED9" w:rsidRDefault="002C5D29" w:rsidP="00807EC4">
      <w:pPr>
        <w:pStyle w:val="ListParagraph"/>
        <w:numPr>
          <w:ilvl w:val="0"/>
          <w:numId w:val="2"/>
        </w:numPr>
        <w:rPr>
          <w:color w:val="000000"/>
          <w:sz w:val="22"/>
          <w:szCs w:val="22"/>
        </w:rPr>
      </w:pPr>
      <w:r>
        <w:rPr>
          <w:color w:val="000000"/>
          <w:sz w:val="22"/>
          <w:szCs w:val="22"/>
        </w:rPr>
        <w:t xml:space="preserve">Include referrals to or consider establishing relevant </w:t>
      </w:r>
      <w:hyperlink r:id="rId13" w:history="1">
        <w:r w:rsidRPr="002C5D29">
          <w:rPr>
            <w:rStyle w:val="Hyperlink"/>
            <w:sz w:val="22"/>
            <w:szCs w:val="22"/>
          </w:rPr>
          <w:t>health justice partnerships</w:t>
        </w:r>
      </w:hyperlink>
      <w:r w:rsidR="00BF7A2E">
        <w:t xml:space="preserve"> </w:t>
      </w:r>
      <w:r w:rsidR="00BF7A2E" w:rsidRPr="00BF7A2E">
        <w:rPr>
          <w:sz w:val="22"/>
          <w:szCs w:val="22"/>
        </w:rPr>
        <w:t xml:space="preserve">that incorporate </w:t>
      </w:r>
      <w:r w:rsidR="00BF7A2E">
        <w:rPr>
          <w:sz w:val="22"/>
          <w:szCs w:val="22"/>
        </w:rPr>
        <w:t xml:space="preserve">women’s </w:t>
      </w:r>
      <w:r w:rsidR="00BF7A2E" w:rsidRPr="00BF7A2E">
        <w:rPr>
          <w:sz w:val="22"/>
          <w:szCs w:val="22"/>
        </w:rPr>
        <w:t>mental health</w:t>
      </w:r>
      <w:r w:rsidR="00BF7A2E">
        <w:rPr>
          <w:sz w:val="22"/>
          <w:szCs w:val="22"/>
        </w:rPr>
        <w:t xml:space="preserve"> specialists and counsellors</w:t>
      </w:r>
    </w:p>
    <w:p w14:paraId="3A176D1E" w14:textId="755AC985" w:rsidR="008C0ED9" w:rsidRPr="004B33AF" w:rsidRDefault="00216814" w:rsidP="00807EC4">
      <w:pPr>
        <w:pStyle w:val="ListParagraph"/>
        <w:numPr>
          <w:ilvl w:val="0"/>
          <w:numId w:val="2"/>
        </w:numPr>
        <w:rPr>
          <w:color w:val="000000"/>
          <w:sz w:val="22"/>
          <w:szCs w:val="22"/>
        </w:rPr>
      </w:pPr>
      <w:r>
        <w:rPr>
          <w:sz w:val="22"/>
          <w:szCs w:val="22"/>
        </w:rPr>
        <w:t>Collaborate</w:t>
      </w:r>
      <w:r w:rsidR="008C0ED9">
        <w:rPr>
          <w:sz w:val="22"/>
          <w:szCs w:val="22"/>
        </w:rPr>
        <w:t xml:space="preserve"> with community organisations, events and the arts that support women’s health, rights and/or </w:t>
      </w:r>
      <w:r w:rsidR="00BE103B">
        <w:rPr>
          <w:sz w:val="22"/>
          <w:szCs w:val="22"/>
        </w:rPr>
        <w:t xml:space="preserve">people who have experienced gender-based violence and discrimination </w:t>
      </w:r>
    </w:p>
    <w:p w14:paraId="025B7F5F" w14:textId="77777777" w:rsidR="00807EC4" w:rsidRDefault="00807EC4" w:rsidP="00807EC4">
      <w:pPr>
        <w:pBdr>
          <w:top w:val="nil"/>
          <w:left w:val="nil"/>
          <w:bottom w:val="nil"/>
          <w:right w:val="nil"/>
          <w:between w:val="nil"/>
        </w:pBdr>
        <w:ind w:left="360"/>
        <w:rPr>
          <w:color w:val="000000"/>
          <w:sz w:val="22"/>
          <w:szCs w:val="22"/>
        </w:rPr>
      </w:pPr>
    </w:p>
    <w:p w14:paraId="15E8987C" w14:textId="4283F2C5" w:rsidR="002A7ECB" w:rsidRDefault="002A7ECB" w:rsidP="00807EC4">
      <w:pPr>
        <w:pStyle w:val="Heading3"/>
        <w:rPr>
          <w:sz w:val="22"/>
          <w:szCs w:val="22"/>
        </w:rPr>
      </w:pPr>
    </w:p>
    <w:p w14:paraId="0B320E92" w14:textId="172E7D01" w:rsidR="00807EC4" w:rsidRPr="00835AE4" w:rsidRDefault="00807EC4" w:rsidP="00807EC4">
      <w:pPr>
        <w:pStyle w:val="Heading3"/>
        <w:rPr>
          <w:rFonts w:ascii="Rubik" w:hAnsi="Rubik"/>
          <w:sz w:val="22"/>
          <w:szCs w:val="22"/>
        </w:rPr>
      </w:pPr>
      <w:r w:rsidRPr="00835AE4">
        <w:rPr>
          <w:rFonts w:ascii="Rubik" w:hAnsi="Rubik"/>
          <w:sz w:val="22"/>
          <w:szCs w:val="22"/>
        </w:rPr>
        <w:t>Community/studies</w:t>
      </w:r>
    </w:p>
    <w:p w14:paraId="1A65AD38" w14:textId="243F033F" w:rsidR="00807EC4" w:rsidRDefault="00B904A7" w:rsidP="00807EC4">
      <w:pPr>
        <w:numPr>
          <w:ilvl w:val="0"/>
          <w:numId w:val="2"/>
        </w:numPr>
        <w:pBdr>
          <w:top w:val="nil"/>
          <w:left w:val="nil"/>
          <w:bottom w:val="nil"/>
          <w:right w:val="nil"/>
          <w:between w:val="nil"/>
        </w:pBdr>
        <w:rPr>
          <w:color w:val="000000"/>
          <w:sz w:val="22"/>
          <w:szCs w:val="22"/>
        </w:rPr>
      </w:pPr>
      <w:r>
        <w:rPr>
          <w:color w:val="000000"/>
          <w:sz w:val="22"/>
          <w:szCs w:val="22"/>
        </w:rPr>
        <w:t>Learn about what local or online mental health support is available</w:t>
      </w:r>
      <w:r w:rsidR="0067157E">
        <w:rPr>
          <w:color w:val="000000"/>
          <w:sz w:val="22"/>
          <w:szCs w:val="22"/>
        </w:rPr>
        <w:t xml:space="preserve"> – h</w:t>
      </w:r>
      <w:r w:rsidR="005031B6">
        <w:rPr>
          <w:color w:val="000000"/>
          <w:sz w:val="22"/>
          <w:szCs w:val="22"/>
        </w:rPr>
        <w:t>ow might or might they not cater to</w:t>
      </w:r>
      <w:r w:rsidR="0018557F">
        <w:rPr>
          <w:color w:val="000000"/>
          <w:sz w:val="22"/>
          <w:szCs w:val="22"/>
        </w:rPr>
        <w:t xml:space="preserve"> the unique and diverse needs of</w:t>
      </w:r>
      <w:r w:rsidR="005031B6">
        <w:rPr>
          <w:color w:val="000000"/>
          <w:sz w:val="22"/>
          <w:szCs w:val="22"/>
        </w:rPr>
        <w:t xml:space="preserve"> women and gender diverse people?</w:t>
      </w:r>
    </w:p>
    <w:p w14:paraId="1E203FA5" w14:textId="27164132" w:rsidR="00F972B8" w:rsidRDefault="00F972B8" w:rsidP="00807EC4">
      <w:pPr>
        <w:numPr>
          <w:ilvl w:val="0"/>
          <w:numId w:val="2"/>
        </w:numPr>
        <w:pBdr>
          <w:top w:val="nil"/>
          <w:left w:val="nil"/>
          <w:bottom w:val="nil"/>
          <w:right w:val="nil"/>
          <w:between w:val="nil"/>
        </w:pBdr>
        <w:rPr>
          <w:color w:val="000000"/>
          <w:sz w:val="22"/>
          <w:szCs w:val="22"/>
        </w:rPr>
      </w:pPr>
      <w:r>
        <w:rPr>
          <w:color w:val="000000"/>
          <w:sz w:val="22"/>
          <w:szCs w:val="22"/>
        </w:rPr>
        <w:t xml:space="preserve">Choose a </w:t>
      </w:r>
      <w:r w:rsidR="00250842">
        <w:rPr>
          <w:color w:val="000000"/>
          <w:sz w:val="22"/>
          <w:szCs w:val="22"/>
        </w:rPr>
        <w:t xml:space="preserve">children’s popular culture </w:t>
      </w:r>
      <w:r>
        <w:rPr>
          <w:color w:val="000000"/>
          <w:sz w:val="22"/>
          <w:szCs w:val="22"/>
        </w:rPr>
        <w:t xml:space="preserve">movie </w:t>
      </w:r>
      <w:r w:rsidR="00687A87">
        <w:rPr>
          <w:color w:val="000000"/>
          <w:sz w:val="22"/>
          <w:szCs w:val="22"/>
        </w:rPr>
        <w:t xml:space="preserve">and apply a gendered lens to the </w:t>
      </w:r>
      <w:r w:rsidR="00216814">
        <w:rPr>
          <w:color w:val="000000"/>
          <w:sz w:val="22"/>
          <w:szCs w:val="22"/>
        </w:rPr>
        <w:t xml:space="preserve">way </w:t>
      </w:r>
      <w:r w:rsidR="00687A87">
        <w:rPr>
          <w:color w:val="000000"/>
          <w:sz w:val="22"/>
          <w:szCs w:val="22"/>
        </w:rPr>
        <w:t>mental health</w:t>
      </w:r>
      <w:r w:rsidR="00D75909">
        <w:rPr>
          <w:color w:val="000000"/>
          <w:sz w:val="22"/>
          <w:szCs w:val="22"/>
        </w:rPr>
        <w:t xml:space="preserve"> </w:t>
      </w:r>
      <w:r w:rsidR="00216814">
        <w:rPr>
          <w:color w:val="000000"/>
          <w:sz w:val="22"/>
          <w:szCs w:val="22"/>
        </w:rPr>
        <w:t xml:space="preserve">is portrayed </w:t>
      </w:r>
      <w:r>
        <w:rPr>
          <w:color w:val="000000"/>
          <w:sz w:val="22"/>
          <w:szCs w:val="22"/>
        </w:rPr>
        <w:t xml:space="preserve">(for example, </w:t>
      </w:r>
      <w:r w:rsidR="00687A87">
        <w:rPr>
          <w:color w:val="000000"/>
          <w:sz w:val="22"/>
          <w:szCs w:val="22"/>
        </w:rPr>
        <w:t xml:space="preserve">Finding Dory, Frozen, </w:t>
      </w:r>
      <w:r>
        <w:rPr>
          <w:color w:val="000000"/>
          <w:sz w:val="22"/>
          <w:szCs w:val="22"/>
        </w:rPr>
        <w:t>Inside Out,</w:t>
      </w:r>
      <w:r w:rsidR="00250842">
        <w:rPr>
          <w:color w:val="000000"/>
          <w:sz w:val="22"/>
          <w:szCs w:val="22"/>
        </w:rPr>
        <w:t xml:space="preserve"> </w:t>
      </w:r>
      <w:r w:rsidR="00687A87">
        <w:rPr>
          <w:color w:val="000000"/>
          <w:sz w:val="22"/>
          <w:szCs w:val="22"/>
        </w:rPr>
        <w:t xml:space="preserve">Mary and Max, </w:t>
      </w:r>
      <w:r w:rsidR="00045C97">
        <w:rPr>
          <w:color w:val="000000"/>
          <w:sz w:val="22"/>
          <w:szCs w:val="22"/>
        </w:rPr>
        <w:t>My Life as a Zucchini, Soul</w:t>
      </w:r>
      <w:r w:rsidR="004966CB">
        <w:rPr>
          <w:color w:val="000000"/>
          <w:sz w:val="22"/>
          <w:szCs w:val="22"/>
        </w:rPr>
        <w:t xml:space="preserve">, </w:t>
      </w:r>
      <w:r w:rsidR="004261B1">
        <w:rPr>
          <w:color w:val="000000"/>
          <w:sz w:val="22"/>
          <w:szCs w:val="22"/>
        </w:rPr>
        <w:t xml:space="preserve">Turning Red or </w:t>
      </w:r>
      <w:r w:rsidR="004966CB">
        <w:rPr>
          <w:color w:val="000000"/>
          <w:sz w:val="22"/>
          <w:szCs w:val="22"/>
        </w:rPr>
        <w:t>Up</w:t>
      </w:r>
      <w:r>
        <w:rPr>
          <w:color w:val="000000"/>
          <w:sz w:val="22"/>
          <w:szCs w:val="22"/>
        </w:rPr>
        <w:t xml:space="preserve">) </w:t>
      </w:r>
      <w:r w:rsidR="00687A87">
        <w:rPr>
          <w:color w:val="000000"/>
          <w:sz w:val="22"/>
          <w:szCs w:val="22"/>
        </w:rPr>
        <w:t>– how might you expl</w:t>
      </w:r>
      <w:r w:rsidR="003B66D4">
        <w:rPr>
          <w:color w:val="000000"/>
          <w:sz w:val="22"/>
          <w:szCs w:val="22"/>
        </w:rPr>
        <w:t>ore</w:t>
      </w:r>
      <w:r w:rsidR="000039C7">
        <w:rPr>
          <w:color w:val="000000"/>
          <w:sz w:val="22"/>
          <w:szCs w:val="22"/>
        </w:rPr>
        <w:t xml:space="preserve"> </w:t>
      </w:r>
      <w:r w:rsidR="003B66D4">
        <w:rPr>
          <w:color w:val="000000"/>
          <w:sz w:val="22"/>
          <w:szCs w:val="22"/>
        </w:rPr>
        <w:t xml:space="preserve">some of the </w:t>
      </w:r>
      <w:r w:rsidR="00212736">
        <w:rPr>
          <w:color w:val="000000"/>
          <w:sz w:val="22"/>
          <w:szCs w:val="22"/>
        </w:rPr>
        <w:t xml:space="preserve">themes around </w:t>
      </w:r>
      <w:r w:rsidR="003B66D4">
        <w:rPr>
          <w:color w:val="000000"/>
          <w:sz w:val="22"/>
          <w:szCs w:val="22"/>
        </w:rPr>
        <w:t xml:space="preserve">mental health </w:t>
      </w:r>
      <w:r w:rsidR="00212736">
        <w:rPr>
          <w:color w:val="000000"/>
          <w:sz w:val="22"/>
          <w:szCs w:val="22"/>
        </w:rPr>
        <w:t>with</w:t>
      </w:r>
      <w:r w:rsidR="000039C7">
        <w:rPr>
          <w:color w:val="000000"/>
          <w:sz w:val="22"/>
          <w:szCs w:val="22"/>
        </w:rPr>
        <w:t xml:space="preserve"> a child or young person?</w:t>
      </w:r>
    </w:p>
    <w:p w14:paraId="62F44BBB" w14:textId="351D9A3F"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C</w:t>
      </w:r>
      <w:r w:rsidRPr="002C5D29">
        <w:rPr>
          <w:color w:val="000000"/>
          <w:sz w:val="22"/>
          <w:szCs w:val="22"/>
        </w:rPr>
        <w:t xml:space="preserve">reate a campaign at university or TAFE </w:t>
      </w:r>
      <w:r w:rsidR="00985A07">
        <w:rPr>
          <w:color w:val="000000"/>
          <w:sz w:val="22"/>
          <w:szCs w:val="22"/>
        </w:rPr>
        <w:t xml:space="preserve">for a </w:t>
      </w:r>
      <w:hyperlink r:id="rId14" w:history="1">
        <w:r w:rsidR="00985A07" w:rsidRPr="00985A07">
          <w:rPr>
            <w:rStyle w:val="Hyperlink"/>
            <w:sz w:val="22"/>
            <w:szCs w:val="22"/>
          </w:rPr>
          <w:t>day of significance</w:t>
        </w:r>
      </w:hyperlink>
      <w:r w:rsidR="00985A07">
        <w:rPr>
          <w:color w:val="000000"/>
          <w:sz w:val="22"/>
          <w:szCs w:val="22"/>
        </w:rPr>
        <w:t xml:space="preserve"> relevant to mental health and integrate</w:t>
      </w:r>
      <w:r w:rsidR="00A037DE">
        <w:rPr>
          <w:color w:val="000000"/>
          <w:sz w:val="22"/>
          <w:szCs w:val="22"/>
        </w:rPr>
        <w:t xml:space="preserve"> </w:t>
      </w:r>
      <w:r w:rsidR="00084461">
        <w:rPr>
          <w:color w:val="000000"/>
          <w:sz w:val="22"/>
          <w:szCs w:val="22"/>
        </w:rPr>
        <w:t xml:space="preserve">health promotion </w:t>
      </w:r>
      <w:r w:rsidR="00A037DE">
        <w:rPr>
          <w:color w:val="000000"/>
          <w:sz w:val="22"/>
          <w:szCs w:val="22"/>
        </w:rPr>
        <w:t>messages</w:t>
      </w:r>
      <w:r w:rsidR="002D4431">
        <w:rPr>
          <w:color w:val="000000"/>
          <w:sz w:val="22"/>
          <w:szCs w:val="22"/>
        </w:rPr>
        <w:t xml:space="preserve"> for</w:t>
      </w:r>
      <w:r w:rsidR="00A037DE">
        <w:rPr>
          <w:color w:val="000000"/>
          <w:sz w:val="22"/>
          <w:szCs w:val="22"/>
        </w:rPr>
        <w:t xml:space="preserve"> women and gender diverse people</w:t>
      </w:r>
      <w:r w:rsidR="00985A07">
        <w:rPr>
          <w:color w:val="000000"/>
          <w:sz w:val="22"/>
          <w:szCs w:val="22"/>
        </w:rPr>
        <w:t xml:space="preserve"> (for example, </w:t>
      </w:r>
      <w:r w:rsidR="001C6505">
        <w:rPr>
          <w:color w:val="000000"/>
          <w:sz w:val="22"/>
          <w:szCs w:val="22"/>
        </w:rPr>
        <w:t xml:space="preserve">International Day Against Homophobia, Biphobia and Transphobia (IDAHOBIT), </w:t>
      </w:r>
      <w:r w:rsidR="00084461">
        <w:rPr>
          <w:color w:val="000000"/>
          <w:sz w:val="22"/>
          <w:szCs w:val="22"/>
        </w:rPr>
        <w:t xml:space="preserve">R U OK? Day, </w:t>
      </w:r>
      <w:r w:rsidR="007126F6">
        <w:rPr>
          <w:color w:val="000000"/>
          <w:sz w:val="22"/>
          <w:szCs w:val="22"/>
        </w:rPr>
        <w:t xml:space="preserve">Wear </w:t>
      </w:r>
      <w:r w:rsidR="00A037DE">
        <w:rPr>
          <w:color w:val="000000"/>
          <w:sz w:val="22"/>
          <w:szCs w:val="22"/>
        </w:rPr>
        <w:t>It Purple Day,</w:t>
      </w:r>
      <w:r w:rsidR="00084461">
        <w:rPr>
          <w:color w:val="000000"/>
          <w:sz w:val="22"/>
          <w:szCs w:val="22"/>
        </w:rPr>
        <w:t xml:space="preserve"> World Mental Health Month and</w:t>
      </w:r>
      <w:r w:rsidR="00A037DE">
        <w:rPr>
          <w:color w:val="000000"/>
          <w:sz w:val="22"/>
          <w:szCs w:val="22"/>
        </w:rPr>
        <w:t xml:space="preserve"> </w:t>
      </w:r>
      <w:r w:rsidR="007126F6">
        <w:rPr>
          <w:color w:val="000000"/>
          <w:sz w:val="22"/>
          <w:szCs w:val="22"/>
        </w:rPr>
        <w:t>World Suicide Prevention Day</w:t>
      </w:r>
      <w:r w:rsidR="00084461">
        <w:rPr>
          <w:color w:val="000000"/>
          <w:sz w:val="22"/>
          <w:szCs w:val="22"/>
        </w:rPr>
        <w:t>)</w:t>
      </w:r>
      <w:r w:rsidR="00985A07">
        <w:rPr>
          <w:color w:val="000000"/>
          <w:sz w:val="22"/>
          <w:szCs w:val="22"/>
        </w:rPr>
        <w:t xml:space="preserve"> </w:t>
      </w:r>
    </w:p>
    <w:p w14:paraId="7EAAB777" w14:textId="24231A9F" w:rsidR="008F25C6" w:rsidRDefault="00807EC4" w:rsidP="00413166">
      <w:pPr>
        <w:numPr>
          <w:ilvl w:val="0"/>
          <w:numId w:val="2"/>
        </w:numPr>
        <w:pBdr>
          <w:top w:val="nil"/>
          <w:left w:val="nil"/>
          <w:bottom w:val="nil"/>
          <w:right w:val="nil"/>
          <w:between w:val="nil"/>
        </w:pBdr>
        <w:rPr>
          <w:color w:val="000000"/>
          <w:sz w:val="22"/>
          <w:szCs w:val="22"/>
        </w:rPr>
      </w:pPr>
      <w:r w:rsidRPr="00807EC4">
        <w:rPr>
          <w:color w:val="000000"/>
          <w:sz w:val="22"/>
          <w:szCs w:val="22"/>
        </w:rPr>
        <w:t xml:space="preserve">Engage with community organisations, events and the arts that support women’s </w:t>
      </w:r>
      <w:r w:rsidR="0067157E">
        <w:rPr>
          <w:color w:val="000000"/>
          <w:sz w:val="22"/>
          <w:szCs w:val="22"/>
        </w:rPr>
        <w:t>mental health</w:t>
      </w:r>
      <w:bookmarkStart w:id="2" w:name="_gyf4cpl5u5vu" w:colFirst="0" w:colLast="0"/>
      <w:bookmarkEnd w:id="2"/>
      <w:r w:rsidR="004E7DB4">
        <w:rPr>
          <w:color w:val="000000"/>
          <w:sz w:val="22"/>
          <w:szCs w:val="22"/>
        </w:rPr>
        <w:t>, rights and/or people who have experienced gender-based violence and discrimination</w:t>
      </w:r>
    </w:p>
    <w:p w14:paraId="04E3FA4B" w14:textId="77777777" w:rsidR="002C5D29" w:rsidRDefault="002C5D29" w:rsidP="002C5D29">
      <w:pPr>
        <w:pBdr>
          <w:top w:val="nil"/>
          <w:left w:val="nil"/>
          <w:bottom w:val="nil"/>
          <w:right w:val="nil"/>
          <w:between w:val="nil"/>
        </w:pBdr>
        <w:rPr>
          <w:color w:val="000000"/>
          <w:sz w:val="22"/>
          <w:szCs w:val="22"/>
        </w:rPr>
      </w:pPr>
    </w:p>
    <w:tbl>
      <w:tblPr>
        <w:tblStyle w:val="TableGrid"/>
        <w:tblW w:w="0" w:type="auto"/>
        <w:tblLook w:val="04A0" w:firstRow="1" w:lastRow="0" w:firstColumn="1" w:lastColumn="0" w:noHBand="0" w:noVBand="1"/>
      </w:tblPr>
      <w:tblGrid>
        <w:gridCol w:w="9065"/>
      </w:tblGrid>
      <w:tr w:rsidR="002A7ECB" w14:paraId="7364602E" w14:textId="77777777" w:rsidTr="002A7ECB">
        <w:tc>
          <w:tcPr>
            <w:tcW w:w="9065" w:type="dxa"/>
          </w:tcPr>
          <w:p w14:paraId="7F2A5978" w14:textId="77777777" w:rsidR="002A7ECB" w:rsidRPr="00835AE4" w:rsidRDefault="002A7ECB" w:rsidP="002A7ECB">
            <w:pPr>
              <w:pStyle w:val="Heading3"/>
              <w:rPr>
                <w:rFonts w:ascii="Rubik" w:hAnsi="Rubik"/>
              </w:rPr>
            </w:pPr>
            <w:r w:rsidRPr="00835AE4">
              <w:rPr>
                <w:rFonts w:ascii="Rubik" w:hAnsi="Rubik"/>
              </w:rPr>
              <w:t>Notes</w:t>
            </w:r>
          </w:p>
          <w:p w14:paraId="61947623" w14:textId="04CC71F4" w:rsidR="002A7ECB" w:rsidRPr="002A7ECB" w:rsidRDefault="002A7ECB" w:rsidP="002A7ECB">
            <w:pPr>
              <w:pStyle w:val="ListParagraph"/>
              <w:numPr>
                <w:ilvl w:val="0"/>
                <w:numId w:val="3"/>
              </w:numPr>
              <w:pBdr>
                <w:top w:val="nil"/>
                <w:left w:val="nil"/>
                <w:bottom w:val="nil"/>
                <w:right w:val="nil"/>
                <w:between w:val="nil"/>
              </w:pBdr>
              <w:rPr>
                <w:b/>
                <w:bCs/>
                <w:color w:val="000000"/>
                <w:sz w:val="22"/>
                <w:szCs w:val="22"/>
              </w:rPr>
            </w:pPr>
            <w:r w:rsidRPr="002A7ECB">
              <w:rPr>
                <w:b/>
                <w:bCs/>
                <w:color w:val="000000"/>
                <w:sz w:val="22"/>
                <w:szCs w:val="22"/>
              </w:rPr>
              <w:t>Could you</w:t>
            </w:r>
            <w:r>
              <w:rPr>
                <w:b/>
                <w:bCs/>
                <w:color w:val="000000"/>
                <w:sz w:val="22"/>
                <w:szCs w:val="22"/>
              </w:rPr>
              <w:t xml:space="preserve"> or a</w:t>
            </w:r>
            <w:r w:rsidRPr="002A7ECB">
              <w:rPr>
                <w:b/>
                <w:bCs/>
                <w:color w:val="000000"/>
                <w:sz w:val="22"/>
                <w:szCs w:val="22"/>
              </w:rPr>
              <w:t xml:space="preserve"> workplace</w:t>
            </w:r>
            <w:r>
              <w:rPr>
                <w:b/>
                <w:bCs/>
                <w:color w:val="000000"/>
                <w:sz w:val="22"/>
                <w:szCs w:val="22"/>
              </w:rPr>
              <w:t>/</w:t>
            </w:r>
            <w:r w:rsidRPr="002A7ECB">
              <w:rPr>
                <w:b/>
                <w:bCs/>
                <w:color w:val="000000"/>
                <w:sz w:val="22"/>
                <w:szCs w:val="22"/>
              </w:rPr>
              <w:t>organisation</w:t>
            </w:r>
            <w:r>
              <w:rPr>
                <w:b/>
                <w:bCs/>
                <w:color w:val="000000"/>
                <w:sz w:val="22"/>
                <w:szCs w:val="22"/>
              </w:rPr>
              <w:t>/community group</w:t>
            </w:r>
            <w:r w:rsidRPr="002A7ECB">
              <w:rPr>
                <w:b/>
                <w:bCs/>
                <w:color w:val="000000"/>
                <w:sz w:val="22"/>
                <w:szCs w:val="22"/>
              </w:rPr>
              <w:t xml:space="preserve"> you know implement any of the suggested actions? </w:t>
            </w:r>
          </w:p>
          <w:p w14:paraId="33F71964" w14:textId="77777777" w:rsidR="002A7ECB" w:rsidRPr="002A7ECB" w:rsidRDefault="002A7ECB" w:rsidP="002A7ECB">
            <w:pPr>
              <w:pStyle w:val="ListParagraph"/>
              <w:pBdr>
                <w:top w:val="nil"/>
                <w:left w:val="nil"/>
                <w:bottom w:val="nil"/>
                <w:right w:val="nil"/>
                <w:between w:val="nil"/>
              </w:pBdr>
              <w:rPr>
                <w:color w:val="000000"/>
                <w:sz w:val="22"/>
                <w:szCs w:val="22"/>
              </w:rPr>
            </w:pPr>
          </w:p>
          <w:p w14:paraId="2D8EA1CA" w14:textId="77777777" w:rsidR="002A7ECB" w:rsidRDefault="002A7ECB" w:rsidP="002A7ECB">
            <w:pPr>
              <w:pStyle w:val="ListParagraph"/>
              <w:numPr>
                <w:ilvl w:val="0"/>
                <w:numId w:val="3"/>
              </w:numPr>
              <w:pBdr>
                <w:top w:val="nil"/>
                <w:left w:val="nil"/>
                <w:bottom w:val="nil"/>
                <w:right w:val="nil"/>
                <w:between w:val="nil"/>
              </w:pBdr>
              <w:rPr>
                <w:b/>
                <w:bCs/>
                <w:color w:val="000000"/>
                <w:sz w:val="22"/>
                <w:szCs w:val="22"/>
              </w:rPr>
            </w:pPr>
            <w:r w:rsidRPr="002A7ECB">
              <w:rPr>
                <w:b/>
                <w:bCs/>
                <w:color w:val="000000"/>
                <w:sz w:val="22"/>
                <w:szCs w:val="22"/>
              </w:rPr>
              <w:t xml:space="preserve">What support might assist in </w:t>
            </w:r>
            <w:r>
              <w:rPr>
                <w:b/>
                <w:bCs/>
                <w:color w:val="000000"/>
                <w:sz w:val="22"/>
                <w:szCs w:val="22"/>
              </w:rPr>
              <w:t>taking</w:t>
            </w:r>
            <w:r w:rsidRPr="002A7ECB">
              <w:rPr>
                <w:b/>
                <w:bCs/>
                <w:color w:val="000000"/>
                <w:sz w:val="22"/>
                <w:szCs w:val="22"/>
              </w:rPr>
              <w:t xml:space="preserve"> these actions?</w:t>
            </w:r>
          </w:p>
          <w:p w14:paraId="53E1927B" w14:textId="77777777" w:rsidR="002A7ECB" w:rsidRPr="002A7ECB" w:rsidRDefault="002A7ECB" w:rsidP="002A7ECB">
            <w:pPr>
              <w:pStyle w:val="ListParagraph"/>
              <w:rPr>
                <w:b/>
                <w:bCs/>
                <w:color w:val="000000"/>
                <w:sz w:val="22"/>
                <w:szCs w:val="22"/>
              </w:rPr>
            </w:pPr>
          </w:p>
          <w:p w14:paraId="593F7B27" w14:textId="69B86B25" w:rsidR="002A7ECB" w:rsidRPr="002A7ECB" w:rsidRDefault="002A7ECB" w:rsidP="002A7ECB">
            <w:pPr>
              <w:pStyle w:val="ListParagraph"/>
              <w:pBdr>
                <w:top w:val="nil"/>
                <w:left w:val="nil"/>
                <w:bottom w:val="nil"/>
                <w:right w:val="nil"/>
                <w:between w:val="nil"/>
              </w:pBdr>
              <w:rPr>
                <w:b/>
                <w:bCs/>
                <w:color w:val="000000"/>
                <w:sz w:val="22"/>
                <w:szCs w:val="22"/>
              </w:rPr>
            </w:pPr>
          </w:p>
        </w:tc>
      </w:tr>
    </w:tbl>
    <w:p w14:paraId="7AFA2ECB" w14:textId="77777777" w:rsidR="002A7ECB" w:rsidRDefault="002A7ECB" w:rsidP="002C5D29">
      <w:pPr>
        <w:pBdr>
          <w:top w:val="nil"/>
          <w:left w:val="nil"/>
          <w:bottom w:val="nil"/>
          <w:right w:val="nil"/>
          <w:between w:val="nil"/>
        </w:pBdr>
        <w:rPr>
          <w:color w:val="000000"/>
          <w:sz w:val="22"/>
          <w:szCs w:val="22"/>
        </w:rPr>
      </w:pPr>
    </w:p>
    <w:p w14:paraId="37EF4CD3" w14:textId="77777777" w:rsidR="002A7ECB" w:rsidRDefault="002A7ECB" w:rsidP="002C5D29">
      <w:pPr>
        <w:pBdr>
          <w:top w:val="nil"/>
          <w:left w:val="nil"/>
          <w:bottom w:val="nil"/>
          <w:right w:val="nil"/>
          <w:between w:val="nil"/>
        </w:pBdr>
        <w:rPr>
          <w:color w:val="000000"/>
          <w:sz w:val="22"/>
          <w:szCs w:val="22"/>
        </w:rPr>
      </w:pPr>
    </w:p>
    <w:p w14:paraId="5CBD66E0" w14:textId="77777777" w:rsidR="002C5D29" w:rsidRDefault="002C5D29" w:rsidP="002C5D29">
      <w:pPr>
        <w:rPr>
          <w:color w:val="000000"/>
          <w:sz w:val="22"/>
          <w:szCs w:val="22"/>
        </w:rPr>
      </w:pPr>
      <w:r>
        <w:rPr>
          <w:color w:val="000000"/>
          <w:sz w:val="22"/>
          <w:szCs w:val="22"/>
        </w:rPr>
        <w:t>This resource is from the ‘</w:t>
      </w:r>
      <w:hyperlink r:id="rId15" w:history="1">
        <w:r w:rsidRPr="00F35885">
          <w:rPr>
            <w:rStyle w:val="Hyperlink"/>
            <w:sz w:val="22"/>
            <w:szCs w:val="22"/>
          </w:rPr>
          <w:t>Introduction to Gender-Responsive Health</w:t>
        </w:r>
      </w:hyperlink>
      <w:r>
        <w:rPr>
          <w:color w:val="000000"/>
          <w:sz w:val="22"/>
          <w:szCs w:val="22"/>
        </w:rPr>
        <w:t>’ e-learning course by Australian Women’s Health Alliance.</w:t>
      </w:r>
    </w:p>
    <w:p w14:paraId="69208DF8" w14:textId="77777777" w:rsidR="002C5D29" w:rsidRDefault="002C5D29" w:rsidP="002C5D29">
      <w:pPr>
        <w:rPr>
          <w:color w:val="000000"/>
          <w:sz w:val="22"/>
          <w:szCs w:val="22"/>
        </w:rPr>
      </w:pPr>
    </w:p>
    <w:p w14:paraId="20F340D5" w14:textId="77777777" w:rsidR="002C5D29" w:rsidRPr="00FD516B" w:rsidRDefault="002C5D29" w:rsidP="002C5D29">
      <w:pPr>
        <w:rPr>
          <w:rFonts w:asciiTheme="majorHAnsi" w:eastAsia="Rubik" w:hAnsiTheme="majorHAnsi" w:cstheme="majorHAnsi"/>
          <w:color w:val="5A006F"/>
          <w:sz w:val="22"/>
          <w:szCs w:val="22"/>
        </w:rPr>
      </w:pPr>
      <w:r>
        <w:rPr>
          <w:color w:val="000000"/>
          <w:sz w:val="22"/>
          <w:szCs w:val="22"/>
        </w:rPr>
        <w:t>Last updated May 2025.</w:t>
      </w:r>
    </w:p>
    <w:p w14:paraId="2CDE06F3" w14:textId="77777777" w:rsidR="002C5D29" w:rsidRPr="002C5D29" w:rsidRDefault="002C5D29" w:rsidP="002C5D29">
      <w:pPr>
        <w:pBdr>
          <w:top w:val="nil"/>
          <w:left w:val="nil"/>
          <w:bottom w:val="nil"/>
          <w:right w:val="nil"/>
          <w:between w:val="nil"/>
        </w:pBdr>
        <w:rPr>
          <w:color w:val="000000"/>
          <w:sz w:val="22"/>
          <w:szCs w:val="22"/>
        </w:rPr>
      </w:pPr>
    </w:p>
    <w:sectPr w:rsidR="002C5D29" w:rsidRPr="002C5D29" w:rsidSect="002B5496">
      <w:headerReference w:type="default" r:id="rId16"/>
      <w:footerReference w:type="default" r:id="rId17"/>
      <w:headerReference w:type="first" r:id="rId18"/>
      <w:footerReference w:type="first" r:id="rId19"/>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23253" w14:textId="77777777" w:rsidR="00F345B5" w:rsidRDefault="00F345B5">
      <w:pPr>
        <w:spacing w:line="240" w:lineRule="auto"/>
      </w:pPr>
      <w:r>
        <w:separator/>
      </w:r>
    </w:p>
  </w:endnote>
  <w:endnote w:type="continuationSeparator" w:id="0">
    <w:p w14:paraId="13F22122" w14:textId="77777777" w:rsidR="00F345B5" w:rsidRDefault="00F34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regular">
    <w:altName w:val="Cambria"/>
    <w:panose1 w:val="00000000000000000000"/>
    <w:charset w:val="00"/>
    <w:family w:val="roman"/>
    <w:notTrueType/>
    <w:pitch w:val="default"/>
  </w:font>
  <w:font w:name="Rubi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Rubik Medium">
    <w:charset w:val="00"/>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35F0" w14:textId="77777777" w:rsidR="008F25C6" w:rsidRDefault="006A143E">
    <w:pPr>
      <w:jc w:val="right"/>
      <w:rPr>
        <w:color w:val="000000"/>
      </w:rPr>
    </w:pPr>
    <w:r>
      <w:rPr>
        <w:noProof/>
      </w:rPr>
      <w:drawing>
        <wp:anchor distT="114300" distB="114300" distL="114300" distR="114300" simplePos="0" relativeHeight="251661312" behindDoc="0" locked="0" layoutInCell="1" hidden="0" allowOverlap="1" wp14:anchorId="4C5757D5" wp14:editId="4DD175CC">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BB1C" w14:textId="77777777" w:rsidR="008F25C6" w:rsidRDefault="006A143E">
    <w:pPr>
      <w:jc w:val="right"/>
      <w:rPr>
        <w:color w:val="000000"/>
      </w:rPr>
    </w:pPr>
    <w:r>
      <w:rPr>
        <w:noProof/>
      </w:rPr>
      <w:drawing>
        <wp:anchor distT="114300" distB="114300" distL="114300" distR="114300" simplePos="0" relativeHeight="251662336" behindDoc="0" locked="0" layoutInCell="1" hidden="0" allowOverlap="1" wp14:anchorId="2A3FB7AB" wp14:editId="6975D44A">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2E4E" w14:textId="77777777" w:rsidR="00F345B5" w:rsidRDefault="00F345B5">
      <w:pPr>
        <w:spacing w:line="240" w:lineRule="auto"/>
      </w:pPr>
      <w:r>
        <w:separator/>
      </w:r>
    </w:p>
  </w:footnote>
  <w:footnote w:type="continuationSeparator" w:id="0">
    <w:p w14:paraId="66858893" w14:textId="77777777" w:rsidR="00F345B5" w:rsidRDefault="00F345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FC59" w14:textId="77777777" w:rsidR="008F25C6" w:rsidRDefault="006A143E">
    <w:r>
      <w:rPr>
        <w:noProof/>
      </w:rPr>
      <w:drawing>
        <wp:inline distT="0" distB="0" distL="0" distR="0" wp14:anchorId="5B139567" wp14:editId="19577CB1">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202DC40A"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F85D" w14:textId="77777777" w:rsidR="008F25C6" w:rsidRDefault="006A143E" w:rsidP="1A1A1CC6">
    <w:pPr>
      <w:rPr>
        <w:color w:val="7030A0"/>
      </w:rPr>
    </w:pPr>
    <w:r>
      <w:rPr>
        <w:noProof/>
      </w:rPr>
      <w:drawing>
        <wp:anchor distT="114300" distB="114300" distL="114300" distR="114300" simplePos="0" relativeHeight="251662848" behindDoc="0" locked="0" layoutInCell="1" hidden="0" allowOverlap="1" wp14:anchorId="77A0F0C4" wp14:editId="7441915A">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06301DF2"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01BCEAEB" w14:textId="77777777" w:rsidR="000377AE" w:rsidRDefault="000377AE" w:rsidP="1A1A1CC6">
          <w:pPr>
            <w:rPr>
              <w:color w:val="7030A0"/>
            </w:rPr>
          </w:pPr>
          <w:r>
            <w:rPr>
              <w:noProof/>
            </w:rPr>
            <w:drawing>
              <wp:inline distT="0" distB="0" distL="0" distR="0" wp14:anchorId="1272172B" wp14:editId="3DEF8EA2">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478CF8C3" w14:textId="77777777" w:rsidR="000377AE" w:rsidRDefault="000377AE" w:rsidP="1A1A1CC6"/>
      </w:tc>
    </w:tr>
  </w:tbl>
  <w:p w14:paraId="7EF993DE"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D1A33"/>
    <w:multiLevelType w:val="hybridMultilevel"/>
    <w:tmpl w:val="85D2603E"/>
    <w:lvl w:ilvl="0" w:tplc="3272A6E4">
      <w:start w:val="1"/>
      <w:numFmt w:val="bullet"/>
      <w:lvlText w:val=""/>
      <w:lvlJc w:val="left"/>
      <w:pPr>
        <w:ind w:left="720" w:hanging="360"/>
      </w:pPr>
      <w:rPr>
        <w:rFonts w:ascii="Symbol" w:hAnsi="Symbol" w:hint="default"/>
      </w:rPr>
    </w:lvl>
    <w:lvl w:ilvl="1" w:tplc="2C004F8E">
      <w:start w:val="1"/>
      <w:numFmt w:val="bullet"/>
      <w:lvlText w:val="o"/>
      <w:lvlJc w:val="left"/>
      <w:pPr>
        <w:ind w:left="1440" w:hanging="360"/>
      </w:pPr>
      <w:rPr>
        <w:rFonts w:ascii="Courier New" w:hAnsi="Courier New" w:hint="default"/>
      </w:rPr>
    </w:lvl>
    <w:lvl w:ilvl="2" w:tplc="5660F4B6">
      <w:start w:val="1"/>
      <w:numFmt w:val="bullet"/>
      <w:lvlText w:val="▪"/>
      <w:lvlJc w:val="left"/>
      <w:pPr>
        <w:ind w:left="2160" w:hanging="360"/>
      </w:pPr>
      <w:rPr>
        <w:rFonts w:ascii="Noto Sans Symbols" w:hAnsi="Noto Sans Symbols" w:hint="default"/>
      </w:rPr>
    </w:lvl>
    <w:lvl w:ilvl="3" w:tplc="92B6E7F4">
      <w:start w:val="1"/>
      <w:numFmt w:val="bullet"/>
      <w:lvlText w:val="●"/>
      <w:lvlJc w:val="left"/>
      <w:pPr>
        <w:ind w:left="2880" w:hanging="360"/>
      </w:pPr>
      <w:rPr>
        <w:rFonts w:ascii="Noto Sans Symbols" w:hAnsi="Noto Sans Symbols" w:hint="default"/>
      </w:rPr>
    </w:lvl>
    <w:lvl w:ilvl="4" w:tplc="2138DCC4">
      <w:start w:val="1"/>
      <w:numFmt w:val="bullet"/>
      <w:lvlText w:val="o"/>
      <w:lvlJc w:val="left"/>
      <w:pPr>
        <w:ind w:left="3600" w:hanging="360"/>
      </w:pPr>
      <w:rPr>
        <w:rFonts w:ascii="Courier New" w:hAnsi="Courier New" w:hint="default"/>
      </w:rPr>
    </w:lvl>
    <w:lvl w:ilvl="5" w:tplc="F0ACBA96">
      <w:start w:val="1"/>
      <w:numFmt w:val="bullet"/>
      <w:lvlText w:val="▪"/>
      <w:lvlJc w:val="left"/>
      <w:pPr>
        <w:ind w:left="4320" w:hanging="360"/>
      </w:pPr>
      <w:rPr>
        <w:rFonts w:ascii="Noto Sans Symbols" w:hAnsi="Noto Sans Symbols" w:hint="default"/>
      </w:rPr>
    </w:lvl>
    <w:lvl w:ilvl="6" w:tplc="B4303466">
      <w:start w:val="1"/>
      <w:numFmt w:val="bullet"/>
      <w:lvlText w:val="●"/>
      <w:lvlJc w:val="left"/>
      <w:pPr>
        <w:ind w:left="5040" w:hanging="360"/>
      </w:pPr>
      <w:rPr>
        <w:rFonts w:ascii="Noto Sans Symbols" w:hAnsi="Noto Sans Symbols" w:hint="default"/>
      </w:rPr>
    </w:lvl>
    <w:lvl w:ilvl="7" w:tplc="9F26FDB0">
      <w:start w:val="1"/>
      <w:numFmt w:val="bullet"/>
      <w:lvlText w:val="o"/>
      <w:lvlJc w:val="left"/>
      <w:pPr>
        <w:ind w:left="5760" w:hanging="360"/>
      </w:pPr>
      <w:rPr>
        <w:rFonts w:ascii="Courier New" w:hAnsi="Courier New" w:hint="default"/>
      </w:rPr>
    </w:lvl>
    <w:lvl w:ilvl="8" w:tplc="D21616C2">
      <w:start w:val="1"/>
      <w:numFmt w:val="bullet"/>
      <w:lvlText w:val="▪"/>
      <w:lvlJc w:val="left"/>
      <w:pPr>
        <w:ind w:left="6480" w:hanging="360"/>
      </w:pPr>
      <w:rPr>
        <w:rFonts w:ascii="Noto Sans Symbols" w:hAnsi="Noto Sans Symbols" w:hint="default"/>
      </w:rPr>
    </w:lvl>
  </w:abstractNum>
  <w:abstractNum w:abstractNumId="1"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8B6452"/>
    <w:multiLevelType w:val="hybridMultilevel"/>
    <w:tmpl w:val="FA06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558864">
    <w:abstractNumId w:val="1"/>
  </w:num>
  <w:num w:numId="2" w16cid:durableId="1581594238">
    <w:abstractNumId w:val="0"/>
  </w:num>
  <w:num w:numId="3" w16cid:durableId="135950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C4"/>
    <w:rsid w:val="000039C7"/>
    <w:rsid w:val="000209A4"/>
    <w:rsid w:val="000362F0"/>
    <w:rsid w:val="000377AE"/>
    <w:rsid w:val="00045C97"/>
    <w:rsid w:val="00083FC9"/>
    <w:rsid w:val="00084461"/>
    <w:rsid w:val="000C576E"/>
    <w:rsid w:val="000D4F71"/>
    <w:rsid w:val="000E4EE5"/>
    <w:rsid w:val="000F3F3F"/>
    <w:rsid w:val="000F59D1"/>
    <w:rsid w:val="000F6826"/>
    <w:rsid w:val="00136E7C"/>
    <w:rsid w:val="0015190A"/>
    <w:rsid w:val="00157B87"/>
    <w:rsid w:val="00182424"/>
    <w:rsid w:val="00184FA5"/>
    <w:rsid w:val="0018557F"/>
    <w:rsid w:val="001A0EDE"/>
    <w:rsid w:val="001A40A0"/>
    <w:rsid w:val="001A4C07"/>
    <w:rsid w:val="001C6505"/>
    <w:rsid w:val="001E35E7"/>
    <w:rsid w:val="002050CD"/>
    <w:rsid w:val="00212736"/>
    <w:rsid w:val="00216814"/>
    <w:rsid w:val="00223C8B"/>
    <w:rsid w:val="00225D9C"/>
    <w:rsid w:val="00241263"/>
    <w:rsid w:val="00241FE7"/>
    <w:rsid w:val="00250842"/>
    <w:rsid w:val="002A7500"/>
    <w:rsid w:val="002A7ECB"/>
    <w:rsid w:val="002B5496"/>
    <w:rsid w:val="002C5D29"/>
    <w:rsid w:val="002D4431"/>
    <w:rsid w:val="002E5B23"/>
    <w:rsid w:val="00302CFE"/>
    <w:rsid w:val="00325D78"/>
    <w:rsid w:val="00333FE0"/>
    <w:rsid w:val="003356C7"/>
    <w:rsid w:val="00340B32"/>
    <w:rsid w:val="00362F82"/>
    <w:rsid w:val="003748B5"/>
    <w:rsid w:val="003B66D4"/>
    <w:rsid w:val="00413166"/>
    <w:rsid w:val="00422C27"/>
    <w:rsid w:val="004261B1"/>
    <w:rsid w:val="00447BE7"/>
    <w:rsid w:val="0045050D"/>
    <w:rsid w:val="00454AA4"/>
    <w:rsid w:val="00485690"/>
    <w:rsid w:val="004966CB"/>
    <w:rsid w:val="004E7DB4"/>
    <w:rsid w:val="005031B6"/>
    <w:rsid w:val="00513DC9"/>
    <w:rsid w:val="005574A2"/>
    <w:rsid w:val="00580736"/>
    <w:rsid w:val="005C0F1D"/>
    <w:rsid w:val="005F731C"/>
    <w:rsid w:val="00600D7F"/>
    <w:rsid w:val="00664D0C"/>
    <w:rsid w:val="0067157E"/>
    <w:rsid w:val="00687A87"/>
    <w:rsid w:val="006A143E"/>
    <w:rsid w:val="006B18CA"/>
    <w:rsid w:val="007126F6"/>
    <w:rsid w:val="0072384A"/>
    <w:rsid w:val="00726939"/>
    <w:rsid w:val="007345F5"/>
    <w:rsid w:val="007673A0"/>
    <w:rsid w:val="00790CE3"/>
    <w:rsid w:val="00807EC4"/>
    <w:rsid w:val="00833DF6"/>
    <w:rsid w:val="00835AE4"/>
    <w:rsid w:val="00847A98"/>
    <w:rsid w:val="008A79D0"/>
    <w:rsid w:val="008C0ED9"/>
    <w:rsid w:val="008E55C7"/>
    <w:rsid w:val="008F25C6"/>
    <w:rsid w:val="00940A5A"/>
    <w:rsid w:val="009439AD"/>
    <w:rsid w:val="00966938"/>
    <w:rsid w:val="00985A07"/>
    <w:rsid w:val="00993286"/>
    <w:rsid w:val="009C076A"/>
    <w:rsid w:val="009D2032"/>
    <w:rsid w:val="009E311A"/>
    <w:rsid w:val="00A037DE"/>
    <w:rsid w:val="00A060B1"/>
    <w:rsid w:val="00A20F0D"/>
    <w:rsid w:val="00A92A15"/>
    <w:rsid w:val="00AA7E26"/>
    <w:rsid w:val="00AB6A6B"/>
    <w:rsid w:val="00B026C3"/>
    <w:rsid w:val="00B35748"/>
    <w:rsid w:val="00B538CD"/>
    <w:rsid w:val="00B715FE"/>
    <w:rsid w:val="00B904A7"/>
    <w:rsid w:val="00B93826"/>
    <w:rsid w:val="00BA2FE5"/>
    <w:rsid w:val="00BB0A41"/>
    <w:rsid w:val="00BD5761"/>
    <w:rsid w:val="00BE103B"/>
    <w:rsid w:val="00BF72E2"/>
    <w:rsid w:val="00BF7A2E"/>
    <w:rsid w:val="00C078A2"/>
    <w:rsid w:val="00C106AE"/>
    <w:rsid w:val="00C24C66"/>
    <w:rsid w:val="00C440CB"/>
    <w:rsid w:val="00C4786D"/>
    <w:rsid w:val="00C524BF"/>
    <w:rsid w:val="00C67538"/>
    <w:rsid w:val="00C754AA"/>
    <w:rsid w:val="00C7775B"/>
    <w:rsid w:val="00CA5288"/>
    <w:rsid w:val="00CB56F5"/>
    <w:rsid w:val="00CD4800"/>
    <w:rsid w:val="00D214DF"/>
    <w:rsid w:val="00D3424F"/>
    <w:rsid w:val="00D67708"/>
    <w:rsid w:val="00D725CF"/>
    <w:rsid w:val="00D75909"/>
    <w:rsid w:val="00DA1DC8"/>
    <w:rsid w:val="00E0589E"/>
    <w:rsid w:val="00E46617"/>
    <w:rsid w:val="00E8111A"/>
    <w:rsid w:val="00E85AA5"/>
    <w:rsid w:val="00EB337F"/>
    <w:rsid w:val="00F345B5"/>
    <w:rsid w:val="00F628D5"/>
    <w:rsid w:val="00F71EBB"/>
    <w:rsid w:val="00F8280E"/>
    <w:rsid w:val="00F972B8"/>
    <w:rsid w:val="00FA5118"/>
    <w:rsid w:val="00FD5C10"/>
    <w:rsid w:val="0C5ED419"/>
    <w:rsid w:val="1450BDA1"/>
    <w:rsid w:val="1A1A1CC6"/>
    <w:rsid w:val="1FDFAEFA"/>
    <w:rsid w:val="3EFF4C5A"/>
    <w:rsid w:val="409B1CBB"/>
    <w:rsid w:val="54F1DB20"/>
    <w:rsid w:val="58B2232A"/>
    <w:rsid w:val="6B50CEB1"/>
    <w:rsid w:val="6FE13D70"/>
    <w:rsid w:val="7299E082"/>
    <w:rsid w:val="75D18144"/>
    <w:rsid w:val="7A2420FF"/>
    <w:rsid w:val="7CFED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78A8"/>
  <w15:docId w15:val="{888BBB41-AE2F-4C06-8372-0D03ED6A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justice.org.au/health-justice-partnersh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1800respect.org.au/resources-and-tools/work-induced-stress-and-trau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yondblue.org.au/mental-health/Womens-Mental-Health" TargetMode="External"/><Relationship Id="rId5" Type="http://schemas.openxmlformats.org/officeDocument/2006/relationships/numbering" Target="numbering.xml"/><Relationship Id="rId15" Type="http://schemas.openxmlformats.org/officeDocument/2006/relationships/hyperlink" Target="https://womenshealthhub.learnworlds.com/course/intro-to-gender-responsive-healt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talhealthcommission.gov.au/news-media/mental-health-calendar/2025-mental-health-calend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x2672\Download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
        <AccountId xsi:nil="true"/>
        <AccountType/>
      </UserInfo>
    </SharedWithUsers>
    <MediaLengthInSeconds xmlns="153f973e-18e3-4683-9db9-a8b30f12d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2.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3.xml><?xml version="1.0" encoding="utf-8"?>
<ds:datastoreItem xmlns:ds="http://schemas.openxmlformats.org/officeDocument/2006/customXml" ds:itemID="{CDA187AD-0EDB-4B4C-AC27-3835DA922188}">
  <ds:schemaRefs>
    <ds:schemaRef ds:uri="http://schemas.microsoft.com/sharepoint/v3/contenttype/forms"/>
  </ds:schemaRefs>
</ds:datastoreItem>
</file>

<file path=customXml/itemProps4.xml><?xml version="1.0" encoding="utf-8"?>
<ds:datastoreItem xmlns:ds="http://schemas.openxmlformats.org/officeDocument/2006/customXml" ds:itemID="{7D943C66-904C-4DAA-BD90-CFB1FEEC5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4</TotalTime>
  <Pages>2</Pages>
  <Words>593</Words>
  <Characters>3735</Characters>
  <Application>Microsoft Office Word</Application>
  <DocSecurity>0</DocSecurity>
  <Lines>79</Lines>
  <Paragraphs>34</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Women's Health Alliance</dc:creator>
  <cp:lastModifiedBy>Bonnie Laxton-Blinkhorn</cp:lastModifiedBy>
  <cp:revision>73</cp:revision>
  <dcterms:created xsi:type="dcterms:W3CDTF">2025-05-30T21:34:00Z</dcterms:created>
  <dcterms:modified xsi:type="dcterms:W3CDTF">2025-06-01T21:34:00Z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