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52D1" w14:textId="431F0069" w:rsidR="00086393" w:rsidRPr="00FE4626" w:rsidRDefault="00235D8B" w:rsidP="7FB9DBF3">
      <w:pPr>
        <w:keepNext/>
        <w:keepLines/>
        <w:pBdr>
          <w:top w:val="nil"/>
          <w:left w:val="nil"/>
          <w:bottom w:val="nil"/>
          <w:right w:val="nil"/>
          <w:between w:val="nil"/>
        </w:pBdr>
        <w:rPr>
          <w:rFonts w:ascii="Rubik" w:eastAsia="Rubik" w:hAnsi="Rubik" w:cs="Rubik"/>
          <w:color w:val="5A006F"/>
          <w:sz w:val="36"/>
          <w:szCs w:val="36"/>
        </w:rPr>
      </w:pPr>
      <w:r w:rsidRPr="00FE4626">
        <w:rPr>
          <w:rFonts w:ascii="Rubik" w:eastAsia="Rubik" w:hAnsi="Rubik" w:cs="Rubik"/>
          <w:color w:val="5A006F"/>
          <w:sz w:val="30"/>
          <w:szCs w:val="30"/>
        </w:rPr>
        <w:t xml:space="preserve">Policy </w:t>
      </w:r>
      <w:r w:rsidR="00E0714D" w:rsidRPr="00FE4626">
        <w:rPr>
          <w:rFonts w:ascii="Rubik" w:eastAsia="Rubik" w:hAnsi="Rubik" w:cs="Rubik"/>
          <w:color w:val="5A006F"/>
          <w:sz w:val="30"/>
          <w:szCs w:val="30"/>
        </w:rPr>
        <w:t>B</w:t>
      </w:r>
      <w:r w:rsidRPr="00FE4626">
        <w:rPr>
          <w:rFonts w:ascii="Rubik" w:eastAsia="Rubik" w:hAnsi="Rubik" w:cs="Rubik"/>
          <w:color w:val="5A006F"/>
          <w:sz w:val="30"/>
          <w:szCs w:val="30"/>
        </w:rPr>
        <w:t>rief</w:t>
      </w:r>
    </w:p>
    <w:p w14:paraId="2616DF4A" w14:textId="4ADB8EB5" w:rsidR="00086393" w:rsidRPr="00CB1039" w:rsidRDefault="00FD3D4F" w:rsidP="007773FD">
      <w:pPr>
        <w:pStyle w:val="Heading2"/>
        <w:spacing w:after="0"/>
        <w:rPr>
          <w:rFonts w:ascii="Rubik" w:hAnsi="Rubik"/>
        </w:rPr>
      </w:pPr>
      <w:bookmarkStart w:id="0" w:name="_heading=h.gjdgxs" w:colFirst="0" w:colLast="0"/>
      <w:bookmarkEnd w:id="0"/>
      <w:r>
        <w:rPr>
          <w:rFonts w:ascii="Rubik" w:hAnsi="Rubik"/>
        </w:rPr>
        <w:t>Investing in Official Development Assistance</w:t>
      </w:r>
      <w:r w:rsidR="003D0460">
        <w:rPr>
          <w:rFonts w:ascii="Rubik" w:hAnsi="Rubik"/>
        </w:rPr>
        <w:t xml:space="preserve"> </w:t>
      </w:r>
    </w:p>
    <w:p w14:paraId="5680D8AC" w14:textId="77777777" w:rsidR="00086393" w:rsidRPr="001361C0" w:rsidRDefault="00086393" w:rsidP="007773FD">
      <w:pPr>
        <w:rPr>
          <w:sz w:val="18"/>
          <w:szCs w:val="18"/>
        </w:rPr>
      </w:pPr>
    </w:p>
    <w:p w14:paraId="7A881387" w14:textId="3055400C" w:rsidR="005162C9" w:rsidRPr="00A037A4" w:rsidRDefault="00235D8B" w:rsidP="00A037A4">
      <w:pPr>
        <w:pStyle w:val="Heading3"/>
        <w:rPr>
          <w:rFonts w:ascii="Rubik" w:hAnsi="Rubik" w:cs="Rubik"/>
        </w:rPr>
      </w:pPr>
      <w:r w:rsidRPr="00CB1039">
        <w:rPr>
          <w:rFonts w:ascii="Rubik" w:hAnsi="Rubik" w:cs="Rubik"/>
        </w:rPr>
        <w:t>Key messages</w:t>
      </w:r>
      <w:bookmarkStart w:id="1" w:name="_heading=h.30j0zll"/>
      <w:bookmarkEnd w:id="1"/>
    </w:p>
    <w:p w14:paraId="01FF5A43" w14:textId="77777777" w:rsidR="00A037A4" w:rsidRPr="00A037A4" w:rsidRDefault="00A037A4" w:rsidP="00A037A4">
      <w:pPr>
        <w:numPr>
          <w:ilvl w:val="0"/>
          <w:numId w:val="5"/>
        </w:numPr>
        <w:rPr>
          <w:color w:val="000000" w:themeColor="text1"/>
          <w:sz w:val="22"/>
          <w:szCs w:val="22"/>
          <w:lang w:val="en-AU"/>
        </w:rPr>
      </w:pPr>
      <w:r w:rsidRPr="00A037A4">
        <w:rPr>
          <w:color w:val="000000" w:themeColor="text1"/>
          <w:sz w:val="22"/>
          <w:szCs w:val="22"/>
          <w:lang w:val="en-AU"/>
        </w:rPr>
        <w:t>Investing in Official Development Assistance is crucial for both global and domestic health equity and gender equity, helping to mitigate global health crises and reduce the strain on Australia's healthcare system.</w:t>
      </w:r>
    </w:p>
    <w:p w14:paraId="3C367177" w14:textId="0681D851" w:rsidR="00A037A4" w:rsidRPr="00A037A4" w:rsidRDefault="00A037A4" w:rsidP="34A983F7">
      <w:pPr>
        <w:ind w:left="720"/>
        <w:rPr>
          <w:color w:val="000000" w:themeColor="text1"/>
          <w:sz w:val="22"/>
          <w:szCs w:val="22"/>
          <w:lang w:val="en-AU"/>
        </w:rPr>
      </w:pPr>
      <w:r w:rsidRPr="34A983F7">
        <w:rPr>
          <w:color w:val="000000" w:themeColor="text1"/>
          <w:sz w:val="22"/>
          <w:szCs w:val="22"/>
          <w:lang w:val="en-AU"/>
        </w:rPr>
        <w:t>Promoting global gender equity through Official Development Assistance contributes to a more stable and prosperous world, benefit</w:t>
      </w:r>
      <w:r w:rsidR="1A18DE4F" w:rsidRPr="34A983F7">
        <w:rPr>
          <w:color w:val="000000" w:themeColor="text1"/>
          <w:sz w:val="22"/>
          <w:szCs w:val="22"/>
          <w:lang w:val="en-AU"/>
        </w:rPr>
        <w:t>t</w:t>
      </w:r>
      <w:r w:rsidRPr="34A983F7">
        <w:rPr>
          <w:color w:val="000000" w:themeColor="text1"/>
          <w:sz w:val="22"/>
          <w:szCs w:val="22"/>
          <w:lang w:val="en-AU"/>
        </w:rPr>
        <w:t>ing Australia economically and socially.</w:t>
      </w:r>
    </w:p>
    <w:p w14:paraId="0FABB3C2" w14:textId="7D742C0C" w:rsidR="00A037A4" w:rsidRPr="00A037A4" w:rsidRDefault="00A037A4" w:rsidP="00A037A4">
      <w:pPr>
        <w:numPr>
          <w:ilvl w:val="0"/>
          <w:numId w:val="5"/>
        </w:numPr>
        <w:rPr>
          <w:color w:val="000000" w:themeColor="text1"/>
          <w:sz w:val="22"/>
          <w:szCs w:val="22"/>
          <w:lang w:val="en-AU"/>
        </w:rPr>
      </w:pPr>
      <w:r w:rsidRPr="00A037A4">
        <w:rPr>
          <w:color w:val="000000" w:themeColor="text1"/>
          <w:sz w:val="22"/>
          <w:szCs w:val="22"/>
          <w:lang w:val="en-AU"/>
        </w:rPr>
        <w:t>Investing in global Indigenous self-determination empowers Indigenous communities to lead their own development, ensuring aid programs are culturally safe, relevant and effective.</w:t>
      </w:r>
    </w:p>
    <w:p w14:paraId="4BDD0F71" w14:textId="6BDBC4B4" w:rsidR="00A037A4" w:rsidRPr="00A037A4" w:rsidRDefault="00A037A4" w:rsidP="00A037A4">
      <w:pPr>
        <w:numPr>
          <w:ilvl w:val="0"/>
          <w:numId w:val="5"/>
        </w:numPr>
        <w:rPr>
          <w:color w:val="000000" w:themeColor="text1"/>
          <w:sz w:val="22"/>
          <w:szCs w:val="22"/>
          <w:lang w:val="en-AU"/>
        </w:rPr>
      </w:pPr>
      <w:r w:rsidRPr="34A983F7">
        <w:rPr>
          <w:color w:val="000000" w:themeColor="text1"/>
          <w:sz w:val="22"/>
          <w:szCs w:val="22"/>
          <w:lang w:val="en-AU"/>
        </w:rPr>
        <w:t>Strengthening the global health ecosystem is essential to protect populations</w:t>
      </w:r>
      <w:r w:rsidR="00976684" w:rsidRPr="34A983F7">
        <w:rPr>
          <w:color w:val="000000" w:themeColor="text1"/>
          <w:sz w:val="22"/>
          <w:szCs w:val="22"/>
          <w:lang w:val="en-AU"/>
        </w:rPr>
        <w:t xml:space="preserve"> experiencing vulnerability</w:t>
      </w:r>
      <w:r w:rsidRPr="34A983F7">
        <w:rPr>
          <w:color w:val="000000" w:themeColor="text1"/>
          <w:sz w:val="22"/>
          <w:szCs w:val="22"/>
          <w:lang w:val="en-AU"/>
        </w:rPr>
        <w:t xml:space="preserve"> and ensure sustainable development, both globally and domestically, as global health crises can have knock-on effects for health equity and gender equity in Australia.</w:t>
      </w:r>
    </w:p>
    <w:p w14:paraId="715BE5F9" w14:textId="2322A530" w:rsidR="44F0F898" w:rsidRDefault="44F0F898">
      <w:pPr>
        <w:numPr>
          <w:ilvl w:val="0"/>
          <w:numId w:val="5"/>
        </w:numPr>
        <w:rPr>
          <w:color w:val="000000" w:themeColor="text1"/>
          <w:sz w:val="22"/>
          <w:szCs w:val="22"/>
          <w:lang w:val="en-AU"/>
        </w:rPr>
      </w:pPr>
      <w:r w:rsidRPr="2F147516">
        <w:rPr>
          <w:color w:val="000000" w:themeColor="text1"/>
          <w:sz w:val="22"/>
          <w:szCs w:val="22"/>
          <w:lang w:val="en-AU"/>
        </w:rPr>
        <w:t>G</w:t>
      </w:r>
      <w:r w:rsidR="229AC443" w:rsidRPr="2F147516">
        <w:rPr>
          <w:color w:val="000000" w:themeColor="text1"/>
          <w:sz w:val="22"/>
          <w:szCs w:val="22"/>
          <w:lang w:val="en-AU"/>
        </w:rPr>
        <w:t>lobal health resourcing will face escalating strains in coming years.</w:t>
      </w:r>
      <w:r w:rsidR="0EBC4CEF" w:rsidRPr="2F147516">
        <w:rPr>
          <w:color w:val="000000" w:themeColor="text1"/>
          <w:sz w:val="22"/>
          <w:szCs w:val="22"/>
          <w:lang w:val="en-AU"/>
        </w:rPr>
        <w:t xml:space="preserve"> </w:t>
      </w:r>
      <w:r w:rsidR="1995D386" w:rsidRPr="2F147516">
        <w:rPr>
          <w:color w:val="000000" w:themeColor="text1"/>
          <w:sz w:val="22"/>
          <w:szCs w:val="22"/>
          <w:lang w:val="en-AU"/>
        </w:rPr>
        <w:t xml:space="preserve">Alliances between </w:t>
      </w:r>
      <w:r w:rsidR="0F14DFF0" w:rsidRPr="2F147516">
        <w:rPr>
          <w:color w:val="000000" w:themeColor="text1"/>
          <w:sz w:val="22"/>
          <w:szCs w:val="22"/>
          <w:lang w:val="en-AU"/>
        </w:rPr>
        <w:t>g</w:t>
      </w:r>
      <w:r w:rsidR="1995D386" w:rsidRPr="2F147516">
        <w:rPr>
          <w:color w:val="000000" w:themeColor="text1"/>
          <w:sz w:val="22"/>
          <w:szCs w:val="22"/>
          <w:lang w:val="en-AU"/>
        </w:rPr>
        <w:t xml:space="preserve">overnments, </w:t>
      </w:r>
      <w:r w:rsidR="24EAD86C" w:rsidRPr="2F147516">
        <w:rPr>
          <w:color w:val="000000" w:themeColor="text1"/>
          <w:sz w:val="22"/>
          <w:szCs w:val="22"/>
          <w:lang w:val="en-AU"/>
        </w:rPr>
        <w:t>p</w:t>
      </w:r>
      <w:r w:rsidR="1995D386" w:rsidRPr="2F147516">
        <w:rPr>
          <w:color w:val="000000" w:themeColor="text1"/>
          <w:sz w:val="22"/>
          <w:szCs w:val="22"/>
          <w:lang w:val="en-AU"/>
        </w:rPr>
        <w:t xml:space="preserve">hilanthropists and </w:t>
      </w:r>
      <w:r w:rsidR="6ABA4D9C" w:rsidRPr="2F147516">
        <w:rPr>
          <w:color w:val="000000" w:themeColor="text1"/>
          <w:sz w:val="22"/>
          <w:szCs w:val="22"/>
          <w:lang w:val="en-AU"/>
        </w:rPr>
        <w:t>c</w:t>
      </w:r>
      <w:r w:rsidR="1995D386" w:rsidRPr="2F147516">
        <w:rPr>
          <w:color w:val="000000" w:themeColor="text1"/>
          <w:sz w:val="22"/>
          <w:szCs w:val="22"/>
          <w:lang w:val="en-AU"/>
        </w:rPr>
        <w:t xml:space="preserve">ivil </w:t>
      </w:r>
      <w:r w:rsidR="6EABB284" w:rsidRPr="2F147516">
        <w:rPr>
          <w:color w:val="000000" w:themeColor="text1"/>
          <w:sz w:val="22"/>
          <w:szCs w:val="22"/>
          <w:lang w:val="en-AU"/>
        </w:rPr>
        <w:t>s</w:t>
      </w:r>
      <w:r w:rsidR="1995D386" w:rsidRPr="2F147516">
        <w:rPr>
          <w:color w:val="000000" w:themeColor="text1"/>
          <w:sz w:val="22"/>
          <w:szCs w:val="22"/>
          <w:lang w:val="en-AU"/>
        </w:rPr>
        <w:t>ociety will be critical to maintain progress in global health and the Right to Development.</w:t>
      </w:r>
    </w:p>
    <w:p w14:paraId="25D7AE30" w14:textId="2F075094" w:rsidR="00A037A4" w:rsidRPr="00A037A4" w:rsidRDefault="00A037A4" w:rsidP="005162C9">
      <w:pPr>
        <w:numPr>
          <w:ilvl w:val="0"/>
          <w:numId w:val="5"/>
        </w:numPr>
        <w:rPr>
          <w:color w:val="000000" w:themeColor="text1"/>
          <w:sz w:val="22"/>
          <w:szCs w:val="22"/>
          <w:lang w:val="en-AU"/>
        </w:rPr>
      </w:pPr>
      <w:r w:rsidRPr="00A037A4">
        <w:rPr>
          <w:color w:val="000000" w:themeColor="text1"/>
          <w:sz w:val="22"/>
          <w:szCs w:val="22"/>
          <w:lang w:val="en-AU"/>
        </w:rPr>
        <w:t>Platforming Australian parliamentarians and diplomats to lead global conversations on gender equity can significantly advance health policies and practices</w:t>
      </w:r>
      <w:r w:rsidR="0013736E">
        <w:rPr>
          <w:color w:val="000000" w:themeColor="text1"/>
          <w:sz w:val="22"/>
          <w:szCs w:val="22"/>
          <w:lang w:val="en-AU"/>
        </w:rPr>
        <w:t>, globally and domestically.</w:t>
      </w:r>
    </w:p>
    <w:p w14:paraId="4257D883" w14:textId="77777777" w:rsidR="00A037A4" w:rsidRPr="0014698F" w:rsidRDefault="00A037A4" w:rsidP="005162C9">
      <w:pPr>
        <w:rPr>
          <w:color w:val="000000"/>
        </w:rPr>
      </w:pPr>
    </w:p>
    <w:p w14:paraId="62224936" w14:textId="7AC40038" w:rsidR="00086393" w:rsidRPr="00CB1039" w:rsidRDefault="00235D8B" w:rsidP="007773FD">
      <w:pPr>
        <w:pStyle w:val="Heading3"/>
        <w:rPr>
          <w:rFonts w:ascii="Rubik" w:hAnsi="Rubik" w:cs="Rubik"/>
        </w:rPr>
      </w:pPr>
      <w:bookmarkStart w:id="2" w:name="_heading=h.1fob9te" w:colFirst="0" w:colLast="0"/>
      <w:bookmarkEnd w:id="2"/>
      <w:r w:rsidRPr="00CB1039">
        <w:rPr>
          <w:rFonts w:ascii="Rubik" w:hAnsi="Rubik" w:cs="Rubik"/>
        </w:rPr>
        <w:t xml:space="preserve">Purpose of this brief </w:t>
      </w:r>
    </w:p>
    <w:p w14:paraId="585F80A5" w14:textId="691618C3" w:rsidR="00086393" w:rsidRDefault="00235D8B" w:rsidP="007773FD">
      <w:pPr>
        <w:rPr>
          <w:sz w:val="22"/>
          <w:szCs w:val="22"/>
        </w:rPr>
      </w:pPr>
      <w:r w:rsidRPr="0C9A0CD9">
        <w:rPr>
          <w:sz w:val="22"/>
          <w:szCs w:val="22"/>
        </w:rPr>
        <w:t xml:space="preserve">Australian Women’s Health Alliance works to articulate the policies and actions necessary to improve health outcomes for women. </w:t>
      </w:r>
      <w:proofErr w:type="gramStart"/>
      <w:r w:rsidR="00FD3D4F" w:rsidRPr="0C9A0CD9">
        <w:rPr>
          <w:sz w:val="22"/>
          <w:szCs w:val="22"/>
        </w:rPr>
        <w:t>This brief highlight</w:t>
      </w:r>
      <w:r w:rsidR="66A071B0" w:rsidRPr="0C9A0CD9">
        <w:rPr>
          <w:sz w:val="22"/>
          <w:szCs w:val="22"/>
        </w:rPr>
        <w:t>s</w:t>
      </w:r>
      <w:proofErr w:type="gramEnd"/>
      <w:r w:rsidR="00FD3D4F" w:rsidRPr="0C9A0CD9">
        <w:rPr>
          <w:sz w:val="22"/>
          <w:szCs w:val="22"/>
        </w:rPr>
        <w:t xml:space="preserve"> the importance of investing in gender and health equity through Australian Official Development Assistance. </w:t>
      </w:r>
    </w:p>
    <w:p w14:paraId="030A4D39" w14:textId="77777777" w:rsidR="003D0460" w:rsidRDefault="003D0460" w:rsidP="007773FD">
      <w:pPr>
        <w:rPr>
          <w:sz w:val="22"/>
          <w:szCs w:val="22"/>
        </w:rPr>
      </w:pPr>
    </w:p>
    <w:p w14:paraId="326CAD52" w14:textId="77777777" w:rsidR="003D0460" w:rsidRPr="003D0460" w:rsidRDefault="003D0460" w:rsidP="00E652FF">
      <w:pPr>
        <w:pStyle w:val="Heading3"/>
        <w:rPr>
          <w:rFonts w:ascii="Rubik" w:hAnsi="Rubik" w:cs="Rubik"/>
        </w:rPr>
      </w:pPr>
      <w:r w:rsidRPr="003D0460">
        <w:rPr>
          <w:rFonts w:ascii="Rubik" w:hAnsi="Rubik" w:cs="Rubik"/>
        </w:rPr>
        <w:t>What is Official Development Assistance?</w:t>
      </w:r>
    </w:p>
    <w:p w14:paraId="0E41E33B" w14:textId="73DB737B" w:rsidR="003D0460" w:rsidRPr="003D0460" w:rsidRDefault="003D0460" w:rsidP="003D0460">
      <w:pPr>
        <w:rPr>
          <w:sz w:val="22"/>
          <w:szCs w:val="22"/>
          <w:lang w:val="en-AU"/>
        </w:rPr>
      </w:pPr>
      <w:r w:rsidRPr="2753B0B1">
        <w:rPr>
          <w:sz w:val="22"/>
          <w:szCs w:val="22"/>
          <w:lang w:val="en-AU"/>
        </w:rPr>
        <w:t>Official Development Assistance refers to government aid designed to promote the economic development and welfare of developing countries. It is provided by official agencies, including state and local governments, or by their executive agencies. This assistance includes both grants and concessional loans. The primary objective of Official Development Assistance is to support the economic growth and social wellbeing of recipient countries, addressing issues such as poverty, health, education and infrastructure development. By fostering sustainable development, Official Development Assistance aims to create a more equitable</w:t>
      </w:r>
      <w:r w:rsidR="1BC17AAA" w:rsidRPr="2753B0B1">
        <w:rPr>
          <w:sz w:val="22"/>
          <w:szCs w:val="22"/>
          <w:lang w:val="en-AU"/>
        </w:rPr>
        <w:t>, healthy</w:t>
      </w:r>
      <w:r w:rsidRPr="2753B0B1">
        <w:rPr>
          <w:sz w:val="22"/>
          <w:szCs w:val="22"/>
          <w:lang w:val="en-AU"/>
        </w:rPr>
        <w:t xml:space="preserve"> and prosperous global community.</w:t>
      </w:r>
    </w:p>
    <w:p w14:paraId="7F83D794" w14:textId="77777777" w:rsidR="00E652FF" w:rsidRPr="000316C9" w:rsidRDefault="00E652FF" w:rsidP="000316C9">
      <w:pPr>
        <w:rPr>
          <w:sz w:val="22"/>
          <w:szCs w:val="22"/>
        </w:rPr>
      </w:pPr>
    </w:p>
    <w:p w14:paraId="10B70A01" w14:textId="6D46D9F8" w:rsidR="003D0460" w:rsidRPr="003D0460" w:rsidRDefault="003D0460" w:rsidP="00E652FF">
      <w:pPr>
        <w:pStyle w:val="Heading3"/>
        <w:rPr>
          <w:rFonts w:ascii="Rubik" w:hAnsi="Rubik" w:cs="Rubik"/>
        </w:rPr>
      </w:pPr>
      <w:r w:rsidRPr="2D62F11E">
        <w:rPr>
          <w:rFonts w:ascii="Rubik" w:hAnsi="Rubik" w:cs="Rubik"/>
        </w:rPr>
        <w:t>Applying a</w:t>
      </w:r>
      <w:r w:rsidR="00E652FF" w:rsidRPr="2D62F11E">
        <w:rPr>
          <w:rFonts w:ascii="Rubik" w:hAnsi="Rubik" w:cs="Rubik"/>
        </w:rPr>
        <w:t xml:space="preserve">n </w:t>
      </w:r>
      <w:r w:rsidR="722E99B4" w:rsidRPr="2D62F11E">
        <w:rPr>
          <w:rFonts w:ascii="Rubik" w:hAnsi="Rubik" w:cs="Rubik"/>
        </w:rPr>
        <w:t>i</w:t>
      </w:r>
      <w:r w:rsidR="00E652FF" w:rsidRPr="2D62F11E">
        <w:rPr>
          <w:rFonts w:ascii="Rubik" w:hAnsi="Rubik" w:cs="Rubik"/>
        </w:rPr>
        <w:t>ntersectional</w:t>
      </w:r>
      <w:r w:rsidRPr="2D62F11E">
        <w:rPr>
          <w:rFonts w:ascii="Rubik" w:hAnsi="Rubik" w:cs="Rubik"/>
        </w:rPr>
        <w:t xml:space="preserve"> </w:t>
      </w:r>
      <w:r w:rsidR="4719F655" w:rsidRPr="2D62F11E">
        <w:rPr>
          <w:rFonts w:ascii="Rubik" w:hAnsi="Rubik" w:cs="Rubik"/>
        </w:rPr>
        <w:t>g</w:t>
      </w:r>
      <w:r w:rsidRPr="2D62F11E">
        <w:rPr>
          <w:rFonts w:ascii="Rubik" w:hAnsi="Rubik" w:cs="Rubik"/>
        </w:rPr>
        <w:t xml:space="preserve">ender </w:t>
      </w:r>
      <w:r w:rsidR="520AAD7A" w:rsidRPr="2D62F11E">
        <w:rPr>
          <w:rFonts w:ascii="Rubik" w:hAnsi="Rubik" w:cs="Rubik"/>
        </w:rPr>
        <w:t>l</w:t>
      </w:r>
      <w:r w:rsidRPr="2D62F11E">
        <w:rPr>
          <w:rFonts w:ascii="Rubik" w:hAnsi="Rubik" w:cs="Rubik"/>
        </w:rPr>
        <w:t xml:space="preserve">ens </w:t>
      </w:r>
    </w:p>
    <w:p w14:paraId="59078B59" w14:textId="702F1AAE" w:rsidR="003D0460" w:rsidRDefault="003D0460" w:rsidP="003D0460">
      <w:pPr>
        <w:rPr>
          <w:sz w:val="22"/>
          <w:szCs w:val="22"/>
          <w:lang w:val="en-AU"/>
        </w:rPr>
      </w:pPr>
      <w:r w:rsidRPr="4BDBC06B">
        <w:rPr>
          <w:sz w:val="22"/>
          <w:szCs w:val="22"/>
          <w:lang w:val="en-AU"/>
        </w:rPr>
        <w:t>Applying a gender lens to Official Development Assistance involves systematically considering the different impacts of aid</w:t>
      </w:r>
      <w:r w:rsidR="00E2555F" w:rsidRPr="4BDBC06B">
        <w:rPr>
          <w:sz w:val="22"/>
          <w:szCs w:val="22"/>
          <w:lang w:val="en-AU"/>
        </w:rPr>
        <w:t xml:space="preserve">, </w:t>
      </w:r>
      <w:r w:rsidRPr="4BDBC06B">
        <w:rPr>
          <w:sz w:val="22"/>
          <w:szCs w:val="22"/>
          <w:lang w:val="en-AU"/>
        </w:rPr>
        <w:t>recognis</w:t>
      </w:r>
      <w:r w:rsidR="00E2555F" w:rsidRPr="4BDBC06B">
        <w:rPr>
          <w:sz w:val="22"/>
          <w:szCs w:val="22"/>
          <w:lang w:val="en-AU"/>
        </w:rPr>
        <w:t>ing</w:t>
      </w:r>
      <w:r w:rsidRPr="4BDBC06B">
        <w:rPr>
          <w:sz w:val="22"/>
          <w:szCs w:val="22"/>
          <w:lang w:val="en-AU"/>
        </w:rPr>
        <w:t xml:space="preserve"> that gender dynamics and power imbalances can influence how benefits are distributed and experienced. By integrating gender</w:t>
      </w:r>
      <w:r w:rsidR="000033A9">
        <w:rPr>
          <w:sz w:val="22"/>
          <w:szCs w:val="22"/>
          <w:lang w:val="en-AU"/>
        </w:rPr>
        <w:t>-responsive approaches</w:t>
      </w:r>
      <w:r w:rsidRPr="4BDBC06B">
        <w:rPr>
          <w:sz w:val="22"/>
          <w:szCs w:val="22"/>
          <w:lang w:val="en-AU"/>
        </w:rPr>
        <w:t xml:space="preserve"> into the design, implementation and evaluation of aid programs, Official Development Assistance can more effectively address the specific needs and challenges faced by women and g</w:t>
      </w:r>
      <w:r w:rsidR="2C6040A0" w:rsidRPr="4BDBC06B">
        <w:rPr>
          <w:sz w:val="22"/>
          <w:szCs w:val="22"/>
          <w:lang w:val="en-AU"/>
        </w:rPr>
        <w:t xml:space="preserve">ender diverse </w:t>
      </w:r>
      <w:r w:rsidR="2C6040A0" w:rsidRPr="4BDBC06B">
        <w:rPr>
          <w:sz w:val="22"/>
          <w:szCs w:val="22"/>
          <w:lang w:val="en-AU"/>
        </w:rPr>
        <w:lastRenderedPageBreak/>
        <w:t>populations</w:t>
      </w:r>
      <w:r w:rsidRPr="4BDBC06B">
        <w:rPr>
          <w:sz w:val="22"/>
          <w:szCs w:val="22"/>
          <w:lang w:val="en-AU"/>
        </w:rPr>
        <w:t xml:space="preserve">. This includes promoting women's economic empowerment, ensuring access to quality healthcare and education and supporting initiatives that </w:t>
      </w:r>
      <w:r w:rsidR="4E61CF1F" w:rsidRPr="4BDBC06B">
        <w:rPr>
          <w:sz w:val="22"/>
          <w:szCs w:val="22"/>
          <w:lang w:val="en-AU"/>
        </w:rPr>
        <w:t xml:space="preserve">prevent </w:t>
      </w:r>
      <w:r w:rsidRPr="4BDBC06B">
        <w:rPr>
          <w:sz w:val="22"/>
          <w:szCs w:val="22"/>
          <w:lang w:val="en-AU"/>
        </w:rPr>
        <w:t xml:space="preserve">gender-based violence. </w:t>
      </w:r>
    </w:p>
    <w:p w14:paraId="0E0876B5" w14:textId="77777777" w:rsidR="00E652FF" w:rsidRPr="003D0460" w:rsidRDefault="00E652FF" w:rsidP="003D0460">
      <w:pPr>
        <w:rPr>
          <w:sz w:val="22"/>
          <w:szCs w:val="22"/>
          <w:lang w:val="en-AU"/>
        </w:rPr>
      </w:pPr>
    </w:p>
    <w:p w14:paraId="1179BE03" w14:textId="709AA683" w:rsidR="003D0460" w:rsidRPr="003D0460" w:rsidRDefault="003D0460" w:rsidP="00E652FF">
      <w:pPr>
        <w:pStyle w:val="Heading3"/>
        <w:rPr>
          <w:rFonts w:ascii="Rubik" w:hAnsi="Rubik" w:cs="Rubik"/>
        </w:rPr>
      </w:pPr>
      <w:r w:rsidRPr="003D0460">
        <w:rPr>
          <w:rFonts w:ascii="Rubik" w:hAnsi="Rubik" w:cs="Rubik"/>
        </w:rPr>
        <w:t xml:space="preserve">Why </w:t>
      </w:r>
      <w:r w:rsidR="00E2555F">
        <w:rPr>
          <w:rFonts w:ascii="Rubik" w:hAnsi="Rubik" w:cs="Rubik"/>
        </w:rPr>
        <w:t>invest in Official Development Assistance</w:t>
      </w:r>
    </w:p>
    <w:p w14:paraId="067B230E" w14:textId="5AF2A753" w:rsidR="003D0460" w:rsidRDefault="00AA5AED" w:rsidP="003D0460">
      <w:pPr>
        <w:rPr>
          <w:sz w:val="22"/>
          <w:szCs w:val="22"/>
          <w:lang w:val="en-AU"/>
        </w:rPr>
      </w:pPr>
      <w:r w:rsidRPr="2F147516">
        <w:rPr>
          <w:sz w:val="22"/>
          <w:szCs w:val="22"/>
          <w:lang w:val="en-AU"/>
        </w:rPr>
        <w:t xml:space="preserve">Australia </w:t>
      </w:r>
      <w:r w:rsidR="00783065" w:rsidRPr="2F147516">
        <w:rPr>
          <w:sz w:val="22"/>
          <w:szCs w:val="22"/>
          <w:lang w:val="en-AU"/>
        </w:rPr>
        <w:t xml:space="preserve">plays a key role in upholding the Right to Development and </w:t>
      </w:r>
      <w:r w:rsidR="009C79A8" w:rsidRPr="2F147516">
        <w:rPr>
          <w:sz w:val="22"/>
          <w:szCs w:val="22"/>
          <w:lang w:val="en-AU"/>
        </w:rPr>
        <w:t>advancing gender and health equity globally.</w:t>
      </w:r>
      <w:r w:rsidR="006F5BDC">
        <w:rPr>
          <w:rStyle w:val="EndnoteReference"/>
          <w:sz w:val="22"/>
          <w:szCs w:val="22"/>
          <w:lang w:val="en-AU"/>
        </w:rPr>
        <w:endnoteReference w:id="1"/>
      </w:r>
      <w:r w:rsidR="009C79A8" w:rsidRPr="2F147516">
        <w:rPr>
          <w:sz w:val="22"/>
          <w:szCs w:val="22"/>
          <w:lang w:val="en-AU"/>
        </w:rPr>
        <w:t xml:space="preserve"> </w:t>
      </w:r>
      <w:r w:rsidR="003D0460" w:rsidRPr="4BDBC06B">
        <w:rPr>
          <w:sz w:val="22"/>
          <w:szCs w:val="22"/>
          <w:lang w:val="en-AU"/>
        </w:rPr>
        <w:t xml:space="preserve">Investing in Official Development Assistance is crucial </w:t>
      </w:r>
      <w:r w:rsidR="006F5BDC">
        <w:rPr>
          <w:sz w:val="22"/>
          <w:szCs w:val="22"/>
          <w:lang w:val="en-AU"/>
        </w:rPr>
        <w:t>for</w:t>
      </w:r>
      <w:r w:rsidR="0057111B" w:rsidRPr="2F147516">
        <w:rPr>
          <w:sz w:val="22"/>
          <w:szCs w:val="22"/>
          <w:lang w:val="en-AU"/>
        </w:rPr>
        <w:t xml:space="preserve"> achieving this</w:t>
      </w:r>
      <w:r w:rsidR="006F5BDC">
        <w:rPr>
          <w:sz w:val="22"/>
          <w:szCs w:val="22"/>
          <w:lang w:val="en-AU"/>
        </w:rPr>
        <w:t>,</w:t>
      </w:r>
      <w:r w:rsidR="0057111B" w:rsidRPr="2F147516">
        <w:rPr>
          <w:sz w:val="22"/>
          <w:szCs w:val="22"/>
          <w:lang w:val="en-AU"/>
        </w:rPr>
        <w:t xml:space="preserve"> </w:t>
      </w:r>
      <w:r w:rsidR="003D0460" w:rsidRPr="4BDBC06B">
        <w:rPr>
          <w:sz w:val="22"/>
          <w:szCs w:val="22"/>
          <w:lang w:val="en-AU"/>
        </w:rPr>
        <w:t>both global</w:t>
      </w:r>
      <w:r w:rsidR="0057111B" w:rsidRPr="2F147516">
        <w:rPr>
          <w:sz w:val="22"/>
          <w:szCs w:val="22"/>
          <w:lang w:val="en-AU"/>
        </w:rPr>
        <w:t>ly</w:t>
      </w:r>
      <w:r w:rsidR="003D0460" w:rsidRPr="4BDBC06B">
        <w:rPr>
          <w:sz w:val="22"/>
          <w:szCs w:val="22"/>
          <w:lang w:val="en-AU"/>
        </w:rPr>
        <w:t xml:space="preserve"> and domestic</w:t>
      </w:r>
      <w:r w:rsidR="0057111B" w:rsidRPr="2F147516">
        <w:rPr>
          <w:sz w:val="22"/>
          <w:szCs w:val="22"/>
          <w:lang w:val="en-AU"/>
        </w:rPr>
        <w:t>ally</w:t>
      </w:r>
      <w:r w:rsidR="003D0460" w:rsidRPr="4BDBC06B">
        <w:rPr>
          <w:sz w:val="22"/>
          <w:szCs w:val="22"/>
          <w:lang w:val="en-AU"/>
        </w:rPr>
        <w:t xml:space="preserve">. Global health crises, such as pandemics, can have far-reaching impacts that transcend borders, affecting health systems and economies worldwide. By supporting global health initiatives through Official Development Assistance, Australia can help mitigate these risks and ensure a more resilient global health ecosystem, </w:t>
      </w:r>
      <w:r w:rsidR="7C515EC3" w:rsidRPr="4BDBC06B">
        <w:rPr>
          <w:sz w:val="22"/>
          <w:szCs w:val="22"/>
          <w:lang w:val="en-AU"/>
        </w:rPr>
        <w:t xml:space="preserve">also </w:t>
      </w:r>
      <w:r w:rsidR="003D0460" w:rsidRPr="4BDBC06B">
        <w:rPr>
          <w:sz w:val="22"/>
          <w:szCs w:val="22"/>
          <w:lang w:val="en-AU"/>
        </w:rPr>
        <w:t>reducing the likelihood of health emergencies that could strain Australia's healthcare system and resources.</w:t>
      </w:r>
    </w:p>
    <w:p w14:paraId="2D1878FF" w14:textId="77777777" w:rsidR="00E652FF" w:rsidRPr="003D0460" w:rsidRDefault="00E652FF" w:rsidP="003D0460">
      <w:pPr>
        <w:rPr>
          <w:sz w:val="22"/>
          <w:szCs w:val="22"/>
          <w:lang w:val="en-AU"/>
        </w:rPr>
      </w:pPr>
    </w:p>
    <w:p w14:paraId="07D27011" w14:textId="2A0A11C4" w:rsidR="003D0460" w:rsidRPr="00E652FF" w:rsidRDefault="003D0460" w:rsidP="007773FD">
      <w:pPr>
        <w:rPr>
          <w:sz w:val="22"/>
          <w:szCs w:val="22"/>
          <w:lang w:val="en-AU"/>
        </w:rPr>
      </w:pPr>
      <w:r w:rsidRPr="2D62F11E">
        <w:rPr>
          <w:sz w:val="22"/>
          <w:szCs w:val="22"/>
          <w:lang w:val="en-AU"/>
        </w:rPr>
        <w:t>Promoting gender equity globally contributes to a more stable and prosperous world, benefi</w:t>
      </w:r>
      <w:r w:rsidR="0C1B2115" w:rsidRPr="2D62F11E">
        <w:rPr>
          <w:sz w:val="22"/>
          <w:szCs w:val="22"/>
          <w:lang w:val="en-AU"/>
        </w:rPr>
        <w:t>t</w:t>
      </w:r>
      <w:r w:rsidRPr="2D62F11E">
        <w:rPr>
          <w:sz w:val="22"/>
          <w:szCs w:val="22"/>
          <w:lang w:val="en-AU"/>
        </w:rPr>
        <w:t xml:space="preserve">ting Australia economically and socially. Gender equality initiatives funded through Official Development Assistance can reduce gender-based violence, improve educational and economic opportunities for women and foster inclusive societies. </w:t>
      </w:r>
      <w:r w:rsidR="00E652FF" w:rsidRPr="2D62F11E">
        <w:rPr>
          <w:sz w:val="22"/>
          <w:szCs w:val="22"/>
          <w:lang w:val="en-AU"/>
        </w:rPr>
        <w:t>I</w:t>
      </w:r>
      <w:r w:rsidRPr="2D62F11E">
        <w:rPr>
          <w:sz w:val="22"/>
          <w:szCs w:val="22"/>
          <w:lang w:val="en-AU"/>
        </w:rPr>
        <w:t xml:space="preserve">nvesting in global Indigenous self-determination empowers Indigenous communities to lead, ensuring aid programs are culturally </w:t>
      </w:r>
      <w:r w:rsidR="00E652FF" w:rsidRPr="2D62F11E">
        <w:rPr>
          <w:sz w:val="22"/>
          <w:szCs w:val="22"/>
          <w:lang w:val="en-AU"/>
        </w:rPr>
        <w:t>safe, relevant</w:t>
      </w:r>
      <w:r w:rsidRPr="2D62F11E">
        <w:rPr>
          <w:sz w:val="22"/>
          <w:szCs w:val="22"/>
          <w:lang w:val="en-AU"/>
        </w:rPr>
        <w:t xml:space="preserve"> and effective. By investing in Official Development Assistance, Australia supports global development and strengthens its commitment to health equity and gender equity </w:t>
      </w:r>
      <w:r w:rsidR="16B953AC" w:rsidRPr="2D62F11E">
        <w:rPr>
          <w:sz w:val="22"/>
          <w:szCs w:val="22"/>
          <w:lang w:val="en-AU"/>
        </w:rPr>
        <w:t>domestically</w:t>
      </w:r>
      <w:r w:rsidRPr="2D62F11E">
        <w:rPr>
          <w:sz w:val="22"/>
          <w:szCs w:val="22"/>
          <w:lang w:val="en-AU"/>
        </w:rPr>
        <w:t>.</w:t>
      </w:r>
    </w:p>
    <w:p w14:paraId="4476C9CC" w14:textId="3690075A" w:rsidR="007773FD" w:rsidRPr="003D0460" w:rsidRDefault="007773FD" w:rsidP="000C5C8B">
      <w:pPr>
        <w:rPr>
          <w:sz w:val="22"/>
          <w:szCs w:val="22"/>
        </w:rPr>
      </w:pPr>
    </w:p>
    <w:p w14:paraId="5FB3F4B8" w14:textId="72DE8D53" w:rsidR="00E2555F" w:rsidRPr="005603A1" w:rsidRDefault="003D0460" w:rsidP="34A983F7">
      <w:pPr>
        <w:pStyle w:val="Heading3"/>
        <w:rPr>
          <w:rFonts w:ascii="Rubik" w:hAnsi="Rubik" w:cs="Rubik"/>
        </w:rPr>
      </w:pPr>
      <w:r w:rsidRPr="2F147516">
        <w:rPr>
          <w:rFonts w:ascii="Rubik" w:hAnsi="Rubik" w:cs="Rubik"/>
        </w:rPr>
        <w:t>How do current policies put a</w:t>
      </w:r>
      <w:r w:rsidR="007773FD" w:rsidRPr="2F147516">
        <w:rPr>
          <w:rFonts w:ascii="Rubik" w:hAnsi="Rubik" w:cs="Rubik"/>
        </w:rPr>
        <w:t xml:space="preserve"> gender</w:t>
      </w:r>
      <w:r w:rsidR="00C218C1" w:rsidRPr="2F147516">
        <w:rPr>
          <w:rFonts w:ascii="Rubik" w:hAnsi="Rubik" w:cs="Rubik"/>
        </w:rPr>
        <w:t>ed</w:t>
      </w:r>
      <w:r w:rsidR="007773FD" w:rsidRPr="2F147516">
        <w:rPr>
          <w:rFonts w:ascii="Rubik" w:hAnsi="Rubik" w:cs="Rubik"/>
        </w:rPr>
        <w:t xml:space="preserve"> lens on </w:t>
      </w:r>
      <w:r w:rsidRPr="2F147516">
        <w:rPr>
          <w:rFonts w:ascii="Rubik" w:hAnsi="Rubik" w:cs="Rubik"/>
        </w:rPr>
        <w:t>global health</w:t>
      </w:r>
      <w:r w:rsidR="007773FD" w:rsidRPr="2F147516">
        <w:rPr>
          <w:rFonts w:ascii="Rubik" w:hAnsi="Rubik" w:cs="Rubik"/>
        </w:rPr>
        <w:t>?</w:t>
      </w:r>
    </w:p>
    <w:p w14:paraId="2A48F0C2" w14:textId="09C02FE5" w:rsidR="00E2555F" w:rsidRDefault="00E2555F">
      <w:pPr>
        <w:rPr>
          <w:sz w:val="22"/>
          <w:szCs w:val="22"/>
          <w:lang w:val="en-AU"/>
        </w:rPr>
      </w:pPr>
      <w:hyperlink r:id="rId12" w:history="1">
        <w:r w:rsidRPr="2F147516">
          <w:rPr>
            <w:rStyle w:val="Hyperlink"/>
            <w:b/>
            <w:bCs/>
            <w:sz w:val="22"/>
            <w:szCs w:val="22"/>
            <w:lang w:val="en-AU"/>
          </w:rPr>
          <w:t>Australia</w:t>
        </w:r>
        <w:r w:rsidR="00B86B3D" w:rsidRPr="2F147516">
          <w:rPr>
            <w:rStyle w:val="Hyperlink"/>
            <w:b/>
            <w:bCs/>
            <w:sz w:val="22"/>
            <w:szCs w:val="22"/>
            <w:lang w:val="en-AU"/>
          </w:rPr>
          <w:t>’</w:t>
        </w:r>
        <w:r w:rsidRPr="2F147516">
          <w:rPr>
            <w:rStyle w:val="Hyperlink"/>
            <w:b/>
            <w:bCs/>
            <w:sz w:val="22"/>
            <w:szCs w:val="22"/>
            <w:lang w:val="en-AU"/>
          </w:rPr>
          <w:t>s International Development Policy</w:t>
        </w:r>
      </w:hyperlink>
      <w:r w:rsidRPr="2F147516">
        <w:rPr>
          <w:sz w:val="22"/>
          <w:szCs w:val="22"/>
          <w:lang w:val="en-AU"/>
        </w:rPr>
        <w:t xml:space="preserve"> released in August 2023, sets the direction for Australia's development program. It includes targets on climate change, gender equality, disability and LGBTQIA+ rights. The policy emphasises listening, respect and partnership to support a peaceful and prosperous future. It is underpinned by a framework to improve transparency and accountability.</w:t>
      </w:r>
      <w:r w:rsidR="005134C5">
        <w:rPr>
          <w:rStyle w:val="EndnoteReference"/>
          <w:sz w:val="22"/>
          <w:szCs w:val="22"/>
          <w:lang w:val="en-AU"/>
        </w:rPr>
        <w:endnoteReference w:id="2"/>
      </w:r>
    </w:p>
    <w:p w14:paraId="6A9D2783" w14:textId="77777777" w:rsidR="00E2555F" w:rsidRPr="00E2555F" w:rsidRDefault="00E2555F" w:rsidP="00E2555F">
      <w:pPr>
        <w:rPr>
          <w:sz w:val="22"/>
          <w:szCs w:val="22"/>
          <w:lang w:val="en-AU"/>
        </w:rPr>
      </w:pPr>
    </w:p>
    <w:p w14:paraId="4B491738" w14:textId="155D1873" w:rsidR="00E2555F" w:rsidRDefault="005134C5" w:rsidP="00E2555F">
      <w:pPr>
        <w:rPr>
          <w:sz w:val="22"/>
          <w:szCs w:val="22"/>
          <w:lang w:val="en-AU"/>
        </w:rPr>
      </w:pPr>
      <w:hyperlink r:id="rId13" w:history="1">
        <w:r w:rsidRPr="005134C5">
          <w:rPr>
            <w:rStyle w:val="Hyperlink"/>
            <w:b/>
            <w:bCs/>
            <w:sz w:val="22"/>
            <w:szCs w:val="22"/>
            <w:lang w:val="en-AU"/>
          </w:rPr>
          <w:t>Australia’s International Gender Equality Strategy</w:t>
        </w:r>
      </w:hyperlink>
      <w:r w:rsidR="00E2555F" w:rsidRPr="2F147516">
        <w:rPr>
          <w:sz w:val="22"/>
          <w:szCs w:val="22"/>
          <w:lang w:val="en-AU"/>
        </w:rPr>
        <w:t xml:space="preserve"> reaffirms the commitment to gender equality and advancing the human rights of women and girls. It outlines how foreign policy tools can drive gender equality. This strategy emphasises bilateral and regional programs, multilateral engagements and partnerships to promote gender equality globally.</w:t>
      </w:r>
      <w:r>
        <w:rPr>
          <w:rStyle w:val="EndnoteReference"/>
          <w:sz w:val="22"/>
          <w:szCs w:val="22"/>
          <w:lang w:val="en-AU"/>
        </w:rPr>
        <w:endnoteReference w:id="3"/>
      </w:r>
    </w:p>
    <w:p w14:paraId="1F8DD6C7" w14:textId="77777777" w:rsidR="00E2555F" w:rsidRPr="00E2555F" w:rsidRDefault="00E2555F" w:rsidP="00E2555F">
      <w:pPr>
        <w:rPr>
          <w:sz w:val="22"/>
          <w:szCs w:val="22"/>
          <w:lang w:val="en-AU"/>
        </w:rPr>
      </w:pPr>
    </w:p>
    <w:p w14:paraId="4E0CA9E4" w14:textId="2DA14CC1" w:rsidR="00E2555F" w:rsidRDefault="00E2555F" w:rsidP="00E2555F">
      <w:pPr>
        <w:rPr>
          <w:sz w:val="22"/>
          <w:szCs w:val="22"/>
          <w:lang w:val="en-AU"/>
        </w:rPr>
      </w:pPr>
      <w:hyperlink r:id="rId14" w:history="1">
        <w:r w:rsidRPr="005134C5">
          <w:rPr>
            <w:rStyle w:val="Hyperlink"/>
            <w:b/>
            <w:bCs/>
            <w:sz w:val="22"/>
            <w:szCs w:val="22"/>
            <w:lang w:val="en-AU"/>
          </w:rPr>
          <w:t>Australia</w:t>
        </w:r>
        <w:r w:rsidR="00A56A5F" w:rsidRPr="005134C5">
          <w:rPr>
            <w:rStyle w:val="Hyperlink"/>
            <w:b/>
            <w:bCs/>
            <w:sz w:val="22"/>
            <w:szCs w:val="22"/>
            <w:lang w:val="en-AU"/>
          </w:rPr>
          <w:t>’</w:t>
        </w:r>
        <w:r w:rsidRPr="005134C5">
          <w:rPr>
            <w:rStyle w:val="Hyperlink"/>
            <w:b/>
            <w:bCs/>
            <w:sz w:val="22"/>
            <w:szCs w:val="22"/>
            <w:lang w:val="en-AU"/>
          </w:rPr>
          <w:t>s International Disability Equity and Rights Strategy</w:t>
        </w:r>
      </w:hyperlink>
      <w:r w:rsidRPr="2F147516">
        <w:rPr>
          <w:sz w:val="22"/>
          <w:szCs w:val="22"/>
          <w:lang w:val="en-AU"/>
        </w:rPr>
        <w:t xml:space="preserve"> aims to advance equity and transform lives by removing barriers for people with disabilit</w:t>
      </w:r>
      <w:r w:rsidR="00A56A5F" w:rsidRPr="2F147516">
        <w:rPr>
          <w:sz w:val="22"/>
          <w:szCs w:val="22"/>
          <w:lang w:val="en-AU"/>
        </w:rPr>
        <w:t>y</w:t>
      </w:r>
      <w:r w:rsidRPr="2F147516">
        <w:rPr>
          <w:sz w:val="22"/>
          <w:szCs w:val="22"/>
          <w:lang w:val="en-AU"/>
        </w:rPr>
        <w:t>. It integrates disability equity across Australia's international engagement, including foreign policy, development, trade, humanitarian assistance and climate action. It ensures disability considerations are central to development efforts.</w:t>
      </w:r>
      <w:r w:rsidR="005134C5">
        <w:rPr>
          <w:rStyle w:val="EndnoteReference"/>
          <w:sz w:val="22"/>
          <w:szCs w:val="22"/>
          <w:lang w:val="en-AU"/>
        </w:rPr>
        <w:endnoteReference w:id="4"/>
      </w:r>
    </w:p>
    <w:p w14:paraId="72DAB589" w14:textId="77777777" w:rsidR="00E2555F" w:rsidRPr="00E2555F" w:rsidRDefault="00E2555F" w:rsidP="00E2555F">
      <w:pPr>
        <w:rPr>
          <w:sz w:val="22"/>
          <w:szCs w:val="22"/>
          <w:lang w:val="en-AU"/>
        </w:rPr>
      </w:pPr>
    </w:p>
    <w:p w14:paraId="56DE74E8" w14:textId="47EF8FBD" w:rsidR="00E2555F" w:rsidRPr="00E2555F" w:rsidRDefault="2F147516" w:rsidP="00E2555F">
      <w:pPr>
        <w:rPr>
          <w:sz w:val="22"/>
          <w:szCs w:val="22"/>
          <w:lang w:val="en-AU"/>
        </w:rPr>
      </w:pPr>
      <w:hyperlink r:id="rId15">
        <w:r w:rsidRPr="2F147516">
          <w:rPr>
            <w:rStyle w:val="Hyperlink"/>
            <w:b/>
            <w:bCs/>
            <w:sz w:val="22"/>
            <w:szCs w:val="22"/>
            <w:lang w:val="en-AU"/>
          </w:rPr>
          <w:t>Australia’s Humanitarian Strategy</w:t>
        </w:r>
      </w:hyperlink>
      <w:r w:rsidR="19DE3639" w:rsidRPr="2F147516">
        <w:rPr>
          <w:sz w:val="22"/>
          <w:szCs w:val="22"/>
          <w:lang w:val="en-AU"/>
        </w:rPr>
        <w:t xml:space="preserve"> </w:t>
      </w:r>
      <w:r w:rsidRPr="2F147516">
        <w:rPr>
          <w:sz w:val="22"/>
          <w:szCs w:val="22"/>
          <w:lang w:val="en-AU"/>
        </w:rPr>
        <w:t>links gender equity with disaster preparedness and response. It ensures humanitarian responses are inclusive and address the needs of women and marginalised groups. By integrating gender equality and sexual and reproductive health and rights, Australia provides more effective and equitable support in crises.</w:t>
      </w:r>
      <w:r w:rsidR="005134C5">
        <w:rPr>
          <w:rStyle w:val="EndnoteReference"/>
          <w:sz w:val="22"/>
          <w:szCs w:val="22"/>
          <w:lang w:val="en-AU"/>
        </w:rPr>
        <w:endnoteReference w:id="5"/>
      </w:r>
    </w:p>
    <w:p w14:paraId="2FB00221" w14:textId="4B7334AA" w:rsidR="00E2555F" w:rsidRPr="00E2555F" w:rsidRDefault="003D0460" w:rsidP="00E2555F">
      <w:pPr>
        <w:rPr>
          <w:sz w:val="22"/>
          <w:szCs w:val="22"/>
          <w:lang w:val="en-AU"/>
        </w:rPr>
      </w:pPr>
      <w:r w:rsidRPr="003D0460">
        <w:rPr>
          <w:sz w:val="22"/>
          <w:szCs w:val="22"/>
          <w:lang w:val="en-AU"/>
        </w:rPr>
        <w:t xml:space="preserve"> </w:t>
      </w:r>
    </w:p>
    <w:p w14:paraId="084788DE" w14:textId="775D044F" w:rsidR="007773FD" w:rsidRPr="005603A1" w:rsidRDefault="007773FD" w:rsidP="2D62F11E">
      <w:pPr>
        <w:pStyle w:val="Heading3"/>
        <w:rPr>
          <w:rFonts w:ascii="Rubik" w:hAnsi="Rubik" w:cs="Rubik"/>
          <w:szCs w:val="24"/>
        </w:rPr>
      </w:pPr>
      <w:r w:rsidRPr="005603A1">
        <w:rPr>
          <w:rFonts w:ascii="Rubik" w:hAnsi="Rubik" w:cs="Rubik"/>
          <w:szCs w:val="24"/>
        </w:rPr>
        <w:lastRenderedPageBreak/>
        <w:t xml:space="preserve">What </w:t>
      </w:r>
      <w:r w:rsidR="003D0460" w:rsidRPr="005603A1">
        <w:rPr>
          <w:rFonts w:ascii="Rubik" w:hAnsi="Rubik" w:cs="Rubik"/>
          <w:szCs w:val="24"/>
        </w:rPr>
        <w:t>does this mean for</w:t>
      </w:r>
      <w:r w:rsidR="00E652FF" w:rsidRPr="005603A1">
        <w:rPr>
          <w:rFonts w:ascii="Rubik" w:hAnsi="Rubik" w:cs="Rubik"/>
          <w:szCs w:val="24"/>
        </w:rPr>
        <w:t xml:space="preserve"> Australia’s</w:t>
      </w:r>
      <w:r w:rsidR="003D0460" w:rsidRPr="005603A1">
        <w:rPr>
          <w:rFonts w:ascii="Rubik" w:hAnsi="Rubik" w:cs="Rubik"/>
          <w:szCs w:val="24"/>
        </w:rPr>
        <w:t xml:space="preserve"> Official Development Assistance</w:t>
      </w:r>
    </w:p>
    <w:p w14:paraId="4ABC1599" w14:textId="2CF0905D" w:rsidR="00A037A4" w:rsidRDefault="00A037A4" w:rsidP="00A037A4">
      <w:pPr>
        <w:rPr>
          <w:sz w:val="22"/>
          <w:szCs w:val="22"/>
          <w:lang w:val="en-AU"/>
        </w:rPr>
      </w:pPr>
      <w:r w:rsidRPr="2F147516">
        <w:rPr>
          <w:sz w:val="22"/>
          <w:szCs w:val="22"/>
          <w:lang w:val="en-AU"/>
        </w:rPr>
        <w:t xml:space="preserve">To effectively address gender, health and disability inequities, Australia must increase funding for programs specifically targeting these </w:t>
      </w:r>
      <w:r w:rsidR="00E2555F" w:rsidRPr="2F147516">
        <w:rPr>
          <w:sz w:val="22"/>
          <w:szCs w:val="22"/>
          <w:lang w:val="en-AU"/>
        </w:rPr>
        <w:t xml:space="preserve">gendered policy </w:t>
      </w:r>
      <w:r w:rsidRPr="2F147516">
        <w:rPr>
          <w:sz w:val="22"/>
          <w:szCs w:val="22"/>
          <w:lang w:val="en-AU"/>
        </w:rPr>
        <w:t>areas</w:t>
      </w:r>
      <w:r w:rsidR="00E2555F" w:rsidRPr="2F147516">
        <w:rPr>
          <w:sz w:val="22"/>
          <w:szCs w:val="22"/>
          <w:lang w:val="en-AU"/>
        </w:rPr>
        <w:t>.</w:t>
      </w:r>
      <w:r w:rsidRPr="2F147516">
        <w:rPr>
          <w:sz w:val="22"/>
          <w:szCs w:val="22"/>
          <w:lang w:val="en-AU"/>
        </w:rPr>
        <w:t xml:space="preserve"> By prioritising these critical areas, Australia can ensure its aid efforts are both impactful and aligned with global development goals.</w:t>
      </w:r>
    </w:p>
    <w:p w14:paraId="51299C50" w14:textId="77777777" w:rsidR="00A037A4" w:rsidRPr="00A037A4" w:rsidRDefault="00A037A4" w:rsidP="00A037A4">
      <w:pPr>
        <w:rPr>
          <w:sz w:val="22"/>
          <w:szCs w:val="22"/>
          <w:lang w:val="en-AU"/>
        </w:rPr>
      </w:pPr>
    </w:p>
    <w:p w14:paraId="2C957589" w14:textId="4BACD10F" w:rsidR="00A037A4" w:rsidRDefault="00A037A4" w:rsidP="00A037A4">
      <w:pPr>
        <w:rPr>
          <w:sz w:val="22"/>
          <w:szCs w:val="22"/>
          <w:lang w:val="en-AU"/>
        </w:rPr>
      </w:pPr>
      <w:r w:rsidRPr="00A037A4">
        <w:rPr>
          <w:sz w:val="22"/>
          <w:szCs w:val="22"/>
          <w:lang w:val="en-AU"/>
        </w:rPr>
        <w:t xml:space="preserve">Enhancing collaboration and partnerships is essential for the success of these initiatives. Australia should foster partnerships that empower local organisations and governments, ensuring culturally safe and sustainable interventions. Collaborating with multilateral organisations can help leverage resources and expertise, amplifying the reach and effectiveness of aid programs. Such partnerships are crucial for creating long-term, resilient solutions that are tailored </w:t>
      </w:r>
      <w:r>
        <w:rPr>
          <w:sz w:val="22"/>
          <w:szCs w:val="22"/>
          <w:lang w:val="en-AU"/>
        </w:rPr>
        <w:t>by and for</w:t>
      </w:r>
      <w:r w:rsidRPr="00A037A4">
        <w:rPr>
          <w:sz w:val="22"/>
          <w:szCs w:val="22"/>
          <w:lang w:val="en-AU"/>
        </w:rPr>
        <w:t xml:space="preserve"> the unique needs of each community.</w:t>
      </w:r>
    </w:p>
    <w:p w14:paraId="7AE191CA" w14:textId="77777777" w:rsidR="00A037A4" w:rsidRPr="00A037A4" w:rsidRDefault="00A037A4" w:rsidP="00A037A4">
      <w:pPr>
        <w:rPr>
          <w:sz w:val="22"/>
          <w:szCs w:val="22"/>
          <w:lang w:val="en-AU"/>
        </w:rPr>
      </w:pPr>
    </w:p>
    <w:p w14:paraId="17A8BB39" w14:textId="577E1D2B" w:rsidR="00A037A4" w:rsidRDefault="00A037A4" w:rsidP="00A037A4">
      <w:pPr>
        <w:rPr>
          <w:sz w:val="22"/>
          <w:szCs w:val="22"/>
          <w:lang w:val="en-AU"/>
        </w:rPr>
      </w:pPr>
      <w:r w:rsidRPr="00A037A4">
        <w:rPr>
          <w:sz w:val="22"/>
          <w:szCs w:val="22"/>
          <w:lang w:val="en-AU"/>
        </w:rPr>
        <w:t xml:space="preserve">Strengthening alliances between feminist movements, LGBTIQ+ movements and universal healthcare movements can create a unified front against global agendas that drive polarisation and challenge human rights. By working together, these movements can advocate more effectively for inclusive and equitable policies. Prioritising Indigenous self-determination and leadership in these processes will further enhance the effectiveness, reach and impact of aid and development programs. Empowering Indigenous communities to lead their own development ensures that aid efforts are culturally </w:t>
      </w:r>
      <w:r>
        <w:rPr>
          <w:sz w:val="22"/>
          <w:szCs w:val="22"/>
          <w:lang w:val="en-AU"/>
        </w:rPr>
        <w:t>safe</w:t>
      </w:r>
      <w:r w:rsidRPr="00A037A4">
        <w:rPr>
          <w:sz w:val="22"/>
          <w:szCs w:val="22"/>
          <w:lang w:val="en-AU"/>
        </w:rPr>
        <w:t xml:space="preserve"> and sustainable, fostering true equity and </w:t>
      </w:r>
      <w:r>
        <w:rPr>
          <w:sz w:val="22"/>
          <w:szCs w:val="22"/>
          <w:lang w:val="en-AU"/>
        </w:rPr>
        <w:t xml:space="preserve">genuine </w:t>
      </w:r>
      <w:r w:rsidRPr="00A037A4">
        <w:rPr>
          <w:sz w:val="22"/>
          <w:szCs w:val="22"/>
          <w:lang w:val="en-AU"/>
        </w:rPr>
        <w:t>resilience.</w:t>
      </w:r>
    </w:p>
    <w:p w14:paraId="615130CA" w14:textId="77777777" w:rsidR="00E652FF" w:rsidRDefault="00E652FF" w:rsidP="003D0460">
      <w:pPr>
        <w:rPr>
          <w:sz w:val="22"/>
          <w:szCs w:val="22"/>
          <w:lang w:val="en-AU"/>
        </w:rPr>
      </w:pPr>
    </w:p>
    <w:p w14:paraId="2E00EB4F" w14:textId="07BDAD8E" w:rsidR="00A037A4" w:rsidRDefault="00A037A4" w:rsidP="00A037A4">
      <w:pPr>
        <w:pStyle w:val="Heading3"/>
        <w:rPr>
          <w:sz w:val="22"/>
          <w:szCs w:val="22"/>
          <w:lang w:val="en-AU"/>
        </w:rPr>
      </w:pPr>
      <w:r>
        <w:rPr>
          <w:rFonts w:ascii="Rubik" w:hAnsi="Rubik" w:cs="Rubik"/>
        </w:rPr>
        <w:t xml:space="preserve">The importance of </w:t>
      </w:r>
      <w:r w:rsidR="0013736E">
        <w:rPr>
          <w:rFonts w:ascii="Rubik" w:hAnsi="Rubik" w:cs="Rubik"/>
        </w:rPr>
        <w:t>a global presence</w:t>
      </w:r>
    </w:p>
    <w:p w14:paraId="567C4DC8" w14:textId="40DD93BE" w:rsidR="005B2619" w:rsidRPr="00A037A4" w:rsidRDefault="00A037A4" w:rsidP="4BDBC06B">
      <w:pPr>
        <w:rPr>
          <w:sz w:val="22"/>
          <w:szCs w:val="22"/>
        </w:rPr>
      </w:pPr>
      <w:r w:rsidRPr="4BDBC06B">
        <w:rPr>
          <w:sz w:val="22"/>
          <w:szCs w:val="22"/>
        </w:rPr>
        <w:t xml:space="preserve">Platforming Australian parliamentarians and diplomats to lead global conversations on gender equity can significantly advance health policies and practices, both globally and domestically. By leveraging their positions, these leaders can advocate for inclusive and gender-responsive policies in international forums, such as the United Nations, the World Health Organization, and the G20. Their active participation helps shape global health agendas, ensuring gender equity is central in health policy discussions. </w:t>
      </w:r>
    </w:p>
    <w:p w14:paraId="767CC6E6" w14:textId="7829555F" w:rsidR="005B2619" w:rsidRPr="00A037A4" w:rsidRDefault="005B2619" w:rsidP="4BDBC06B">
      <w:pPr>
        <w:rPr>
          <w:sz w:val="22"/>
          <w:szCs w:val="22"/>
        </w:rPr>
      </w:pPr>
    </w:p>
    <w:p w14:paraId="6D7D9676" w14:textId="4BC4595B" w:rsidR="005B2619" w:rsidRPr="00A037A4" w:rsidRDefault="00A037A4" w:rsidP="003D0460">
      <w:pPr>
        <w:rPr>
          <w:sz w:val="22"/>
          <w:szCs w:val="22"/>
        </w:rPr>
      </w:pPr>
      <w:r w:rsidRPr="34A983F7">
        <w:rPr>
          <w:sz w:val="22"/>
          <w:szCs w:val="22"/>
        </w:rPr>
        <w:t xml:space="preserve">Australia’s leadership </w:t>
      </w:r>
      <w:r w:rsidR="266C0DBC" w:rsidRPr="34A983F7">
        <w:rPr>
          <w:sz w:val="22"/>
          <w:szCs w:val="22"/>
        </w:rPr>
        <w:t xml:space="preserve">in multilateralism </w:t>
      </w:r>
      <w:r w:rsidRPr="34A983F7">
        <w:rPr>
          <w:sz w:val="22"/>
          <w:szCs w:val="22"/>
        </w:rPr>
        <w:t>can also secure international funding and partnerships for gender equity initiatives, leading to innovative solutions for gender-specific health challenges. Domestically, global engagement provides valuable insights to improve health equity and gender equity within Australia, reinforcing the country's commitment to creating a more inclusive and equitable society for all.</w:t>
      </w:r>
    </w:p>
    <w:p w14:paraId="37BB2776" w14:textId="7000EAFE" w:rsidR="34A983F7" w:rsidRDefault="34A983F7" w:rsidP="34A983F7">
      <w:pPr>
        <w:rPr>
          <w:sz w:val="22"/>
          <w:szCs w:val="22"/>
        </w:rPr>
      </w:pPr>
    </w:p>
    <w:p w14:paraId="2568BF11" w14:textId="2042D3E8" w:rsidR="005B2619" w:rsidRPr="009B5DB5" w:rsidRDefault="03899BF4" w:rsidP="5CC59366">
      <w:r w:rsidRPr="2F147516">
        <w:rPr>
          <w:sz w:val="22"/>
          <w:szCs w:val="22"/>
        </w:rPr>
        <w:t>Domestically, international engagement provides valuable insights and partnerships that inform more effective, equitable health systems. This leadership reinforces Australia’s commitment to a values-based foreign policy and strengthens its capacity to deliver gender equity outcomes here and abroad. Australia’s platforming of political and diplomatic leadership in these spaces is essential to securing global progress on health equity and realising the transformative potential of gender-responsive policy.</w:t>
      </w:r>
    </w:p>
    <w:p w14:paraId="31A7B3F6" w14:textId="73FEAE1D" w:rsidR="2F147516" w:rsidRDefault="2F147516" w:rsidP="2F147516">
      <w:pPr>
        <w:pStyle w:val="Heading3"/>
        <w:rPr>
          <w:rFonts w:ascii="Rubik" w:hAnsi="Rubik" w:cs="Rubik"/>
        </w:rPr>
      </w:pPr>
    </w:p>
    <w:p w14:paraId="539D89AD" w14:textId="48EF63C5" w:rsidR="00086393" w:rsidRPr="00CB1039" w:rsidRDefault="00235D8B" w:rsidP="007773FD">
      <w:pPr>
        <w:pStyle w:val="Heading3"/>
        <w:rPr>
          <w:rFonts w:ascii="Rubik" w:hAnsi="Rubik" w:cs="Rubik"/>
        </w:rPr>
      </w:pPr>
      <w:r w:rsidRPr="00CB1039">
        <w:rPr>
          <w:rFonts w:ascii="Rubik" w:hAnsi="Rubik" w:cs="Rubik"/>
        </w:rPr>
        <w:t>About us</w:t>
      </w:r>
    </w:p>
    <w:p w14:paraId="5DB79FC4" w14:textId="23DF0AB7" w:rsidR="00086393" w:rsidRDefault="00235D8B" w:rsidP="007773FD">
      <w:pPr>
        <w:rPr>
          <w:sz w:val="22"/>
          <w:szCs w:val="22"/>
        </w:rPr>
      </w:pPr>
      <w:r w:rsidRPr="2F147516">
        <w:rPr>
          <w:sz w:val="22"/>
          <w:szCs w:val="22"/>
        </w:rPr>
        <w:t xml:space="preserve">Australian Women’s Health Alliance </w:t>
      </w:r>
      <w:r w:rsidR="00A42960" w:rsidRPr="2F147516">
        <w:rPr>
          <w:sz w:val="22"/>
          <w:szCs w:val="22"/>
        </w:rPr>
        <w:t>is the</w:t>
      </w:r>
      <w:r w:rsidRPr="2F147516">
        <w:rPr>
          <w:sz w:val="22"/>
          <w:szCs w:val="22"/>
        </w:rPr>
        <w:t xml:space="preserve"> national voice </w:t>
      </w:r>
      <w:r w:rsidR="5334EDF1" w:rsidRPr="2F147516">
        <w:rPr>
          <w:sz w:val="22"/>
          <w:szCs w:val="22"/>
        </w:rPr>
        <w:t>for</w:t>
      </w:r>
      <w:r w:rsidRPr="2F147516">
        <w:rPr>
          <w:sz w:val="22"/>
          <w:szCs w:val="22"/>
        </w:rPr>
        <w:t xml:space="preserve"> women’s health. We highlight how gender shapes experiences of health and health care, recognising that women’s health is determined by social, cultural, environmental, and political factors.</w:t>
      </w:r>
    </w:p>
    <w:p w14:paraId="68790DF3" w14:textId="77777777" w:rsidR="00086393" w:rsidRPr="009B5DB5" w:rsidRDefault="00086393" w:rsidP="009B5DB5">
      <w:pPr>
        <w:spacing w:line="240" w:lineRule="auto"/>
      </w:pPr>
    </w:p>
    <w:p w14:paraId="071904C3" w14:textId="77777777" w:rsidR="00086393" w:rsidRPr="00CB1039" w:rsidRDefault="00235D8B" w:rsidP="007773FD">
      <w:pPr>
        <w:pStyle w:val="Heading3"/>
        <w:rPr>
          <w:rFonts w:ascii="Rubik" w:hAnsi="Rubik" w:cs="Rubik"/>
        </w:rPr>
      </w:pPr>
      <w:bookmarkStart w:id="3" w:name="_heading=h.3dy6vkm" w:colFirst="0" w:colLast="0"/>
      <w:bookmarkEnd w:id="3"/>
      <w:r w:rsidRPr="00CB1039">
        <w:rPr>
          <w:rFonts w:ascii="Rubik" w:hAnsi="Rubik" w:cs="Rubik"/>
        </w:rPr>
        <w:t>Contact us</w:t>
      </w:r>
    </w:p>
    <w:p w14:paraId="65D86C61" w14:textId="77777777" w:rsidR="00086393" w:rsidRDefault="00235D8B" w:rsidP="007773FD">
      <w:pPr>
        <w:rPr>
          <w:sz w:val="22"/>
          <w:szCs w:val="22"/>
        </w:rPr>
      </w:pPr>
      <w:r>
        <w:rPr>
          <w:sz w:val="22"/>
          <w:szCs w:val="22"/>
        </w:rPr>
        <w:t>Enquiries:</w:t>
      </w:r>
      <w:r>
        <w:rPr>
          <w:sz w:val="22"/>
          <w:szCs w:val="22"/>
        </w:rPr>
        <w:tab/>
      </w:r>
      <w:hyperlink r:id="rId16">
        <w:r>
          <w:rPr>
            <w:color w:val="0000FF"/>
            <w:sz w:val="22"/>
            <w:szCs w:val="22"/>
            <w:u w:val="single"/>
          </w:rPr>
          <w:t>Info@AustralianWomensHealth.org</w:t>
        </w:r>
      </w:hyperlink>
      <w:r>
        <w:rPr>
          <w:sz w:val="22"/>
          <w:szCs w:val="22"/>
        </w:rPr>
        <w:t xml:space="preserve">    </w:t>
      </w:r>
    </w:p>
    <w:p w14:paraId="3AC2A047" w14:textId="77777777" w:rsidR="00086393" w:rsidRDefault="00235D8B" w:rsidP="007773FD">
      <w:pPr>
        <w:rPr>
          <w:sz w:val="22"/>
          <w:szCs w:val="22"/>
        </w:rPr>
      </w:pPr>
      <w:r>
        <w:rPr>
          <w:sz w:val="22"/>
          <w:szCs w:val="22"/>
        </w:rPr>
        <w:t>Web:</w:t>
      </w:r>
      <w:r>
        <w:rPr>
          <w:sz w:val="22"/>
          <w:szCs w:val="22"/>
        </w:rPr>
        <w:tab/>
      </w:r>
      <w:r>
        <w:rPr>
          <w:sz w:val="22"/>
          <w:szCs w:val="22"/>
        </w:rPr>
        <w:tab/>
      </w:r>
      <w:hyperlink r:id="rId17">
        <w:r>
          <w:rPr>
            <w:color w:val="0000FF"/>
            <w:sz w:val="22"/>
            <w:szCs w:val="22"/>
            <w:u w:val="single"/>
          </w:rPr>
          <w:t>www.AustralianWomensHealth.org</w:t>
        </w:r>
      </w:hyperlink>
      <w:r>
        <w:rPr>
          <w:sz w:val="22"/>
          <w:szCs w:val="22"/>
        </w:rPr>
        <w:t xml:space="preserve">   </w:t>
      </w:r>
    </w:p>
    <w:p w14:paraId="578B91DE" w14:textId="77777777" w:rsidR="00086393" w:rsidRPr="009B5DB5" w:rsidRDefault="00086393" w:rsidP="007773FD"/>
    <w:p w14:paraId="2067D5D4" w14:textId="77777777" w:rsidR="00086393" w:rsidRPr="00CB1039" w:rsidRDefault="00235D8B" w:rsidP="007773FD">
      <w:pPr>
        <w:pStyle w:val="Heading3"/>
        <w:rPr>
          <w:rFonts w:ascii="Rubik" w:hAnsi="Rubik" w:cs="Rubik"/>
        </w:rPr>
      </w:pPr>
      <w:bookmarkStart w:id="4" w:name="_heading=h.1t3h5sf" w:colFirst="0" w:colLast="0"/>
      <w:bookmarkEnd w:id="4"/>
      <w:r w:rsidRPr="00CB1039">
        <w:rPr>
          <w:rFonts w:ascii="Rubik" w:hAnsi="Rubik" w:cs="Rubik"/>
        </w:rPr>
        <w:t>Suggested citation</w:t>
      </w:r>
    </w:p>
    <w:p w14:paraId="4A82FA3C" w14:textId="12FD17BD" w:rsidR="00086393" w:rsidRPr="00AB07BE" w:rsidRDefault="00235D8B" w:rsidP="00AB07BE">
      <w:pPr>
        <w:rPr>
          <w:sz w:val="22"/>
          <w:szCs w:val="22"/>
        </w:rPr>
      </w:pPr>
      <w:r w:rsidRPr="4BDBC06B">
        <w:rPr>
          <w:sz w:val="22"/>
          <w:szCs w:val="22"/>
        </w:rPr>
        <w:t xml:space="preserve">Australian Women’s Health Alliance, </w:t>
      </w:r>
      <w:r w:rsidRPr="4BDBC06B">
        <w:rPr>
          <w:i/>
          <w:iCs/>
          <w:sz w:val="22"/>
          <w:szCs w:val="22"/>
        </w:rPr>
        <w:t xml:space="preserve">Policy </w:t>
      </w:r>
      <w:r w:rsidR="00912D03" w:rsidRPr="4BDBC06B">
        <w:rPr>
          <w:i/>
          <w:iCs/>
          <w:sz w:val="22"/>
          <w:szCs w:val="22"/>
        </w:rPr>
        <w:t>B</w:t>
      </w:r>
      <w:r w:rsidRPr="4BDBC06B">
        <w:rPr>
          <w:i/>
          <w:iCs/>
          <w:sz w:val="22"/>
          <w:szCs w:val="22"/>
        </w:rPr>
        <w:t xml:space="preserve">rief – </w:t>
      </w:r>
      <w:r w:rsidR="003D0460" w:rsidRPr="4BDBC06B">
        <w:rPr>
          <w:i/>
          <w:iCs/>
          <w:sz w:val="22"/>
          <w:szCs w:val="22"/>
        </w:rPr>
        <w:t>Investing in Official Development</w:t>
      </w:r>
      <w:r w:rsidR="336F20B2" w:rsidRPr="4BDBC06B">
        <w:rPr>
          <w:i/>
          <w:iCs/>
          <w:sz w:val="22"/>
          <w:szCs w:val="22"/>
        </w:rPr>
        <w:t xml:space="preserve"> Assistance</w:t>
      </w:r>
      <w:r w:rsidRPr="4BDBC06B">
        <w:rPr>
          <w:sz w:val="22"/>
          <w:szCs w:val="22"/>
        </w:rPr>
        <w:t>, Australian Women’s Health Alliance</w:t>
      </w:r>
      <w:r w:rsidR="001101B8">
        <w:rPr>
          <w:sz w:val="22"/>
          <w:szCs w:val="22"/>
        </w:rPr>
        <w:t>,</w:t>
      </w:r>
      <w:r w:rsidRPr="4BDBC06B">
        <w:rPr>
          <w:sz w:val="22"/>
          <w:szCs w:val="22"/>
        </w:rPr>
        <w:t xml:space="preserve"> 202</w:t>
      </w:r>
      <w:r w:rsidR="003D0460" w:rsidRPr="4BDBC06B">
        <w:rPr>
          <w:sz w:val="22"/>
          <w:szCs w:val="22"/>
        </w:rPr>
        <w:t>5</w:t>
      </w:r>
      <w:r w:rsidRPr="4BDBC06B">
        <w:rPr>
          <w:sz w:val="22"/>
          <w:szCs w:val="22"/>
        </w:rPr>
        <w:t>.</w:t>
      </w:r>
    </w:p>
    <w:p w14:paraId="1DC6AFEF" w14:textId="77777777" w:rsidR="00086393" w:rsidRDefault="00086393" w:rsidP="009B5DB5">
      <w:pPr>
        <w:spacing w:line="240" w:lineRule="auto"/>
      </w:pPr>
    </w:p>
    <w:p w14:paraId="50C4D3AB" w14:textId="77777777" w:rsidR="00086393" w:rsidRDefault="00235D8B" w:rsidP="007773FD">
      <w:pPr>
        <w:rPr>
          <w:i/>
          <w:sz w:val="22"/>
          <w:szCs w:val="22"/>
        </w:rPr>
      </w:pPr>
      <w:r>
        <w:rPr>
          <w:i/>
          <w:sz w:val="22"/>
          <w:szCs w:val="22"/>
        </w:rPr>
        <w:t>We acknowledge the Traditional Custodians of the lands and waters on which we live and work.</w:t>
      </w:r>
    </w:p>
    <w:p w14:paraId="749C084A" w14:textId="6531C8D4" w:rsidR="00BE6648" w:rsidRPr="009B5DB5" w:rsidRDefault="00235D8B" w:rsidP="009B5DB5">
      <w:pPr>
        <w:rPr>
          <w:i/>
          <w:sz w:val="22"/>
          <w:szCs w:val="22"/>
        </w:rPr>
      </w:pPr>
      <w:r>
        <w:rPr>
          <w:i/>
          <w:sz w:val="22"/>
          <w:szCs w:val="22"/>
        </w:rPr>
        <w:t>We pay our respect to Elders past and present. Sovereignty has never been ceded.</w:t>
      </w:r>
    </w:p>
    <w:p w14:paraId="02E01856" w14:textId="77777777" w:rsidR="009B5DB5" w:rsidRPr="009B5DB5" w:rsidRDefault="009B5DB5" w:rsidP="009B5DB5">
      <w:pPr>
        <w:spacing w:line="240" w:lineRule="auto"/>
      </w:pPr>
    </w:p>
    <w:p w14:paraId="43F89985" w14:textId="3610F8C4" w:rsidR="00CB68A9" w:rsidRDefault="00C863D4" w:rsidP="009B5DB5">
      <w:pPr>
        <w:spacing w:line="240" w:lineRule="auto"/>
      </w:pPr>
      <w:r w:rsidRPr="009B5DB5">
        <w:t xml:space="preserve">Last updated: </w:t>
      </w:r>
      <w:r w:rsidR="0005761E">
        <w:t>June</w:t>
      </w:r>
      <w:r w:rsidRPr="00C11DD8">
        <w:t xml:space="preserve"> 202</w:t>
      </w:r>
      <w:r w:rsidR="003D0460" w:rsidRPr="00C11DD8">
        <w:t>5</w:t>
      </w:r>
    </w:p>
    <w:p w14:paraId="2CD6CA66" w14:textId="77777777" w:rsidR="006F5BDC" w:rsidRDefault="006F5BDC" w:rsidP="009B5DB5">
      <w:pPr>
        <w:spacing w:line="240" w:lineRule="auto"/>
      </w:pPr>
    </w:p>
    <w:p w14:paraId="25052AB8" w14:textId="2F769711" w:rsidR="006F5BDC" w:rsidRPr="005134C5" w:rsidRDefault="006F5BDC" w:rsidP="006F5BDC">
      <w:pPr>
        <w:spacing w:line="240" w:lineRule="auto"/>
        <w:rPr>
          <w:rFonts w:ascii="Rubik" w:hAnsi="Rubik" w:cs="Rubik"/>
          <w:color w:val="6F1A82"/>
          <w:sz w:val="24"/>
          <w:szCs w:val="24"/>
        </w:rPr>
      </w:pPr>
      <w:r w:rsidRPr="005134C5">
        <w:rPr>
          <w:rFonts w:ascii="Rubik" w:hAnsi="Rubik" w:cs="Rubik"/>
          <w:color w:val="6F1A82"/>
          <w:sz w:val="24"/>
          <w:szCs w:val="24"/>
        </w:rPr>
        <w:t>References</w:t>
      </w:r>
    </w:p>
    <w:sectPr w:rsidR="006F5BDC" w:rsidRPr="005134C5">
      <w:headerReference w:type="default" r:id="rId18"/>
      <w:footerReference w:type="default" r:id="rId19"/>
      <w:headerReference w:type="first" r:id="rId20"/>
      <w:footerReference w:type="first" r:id="rId21"/>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C11C" w14:textId="77777777" w:rsidR="00214957" w:rsidRDefault="00214957">
      <w:pPr>
        <w:spacing w:line="240" w:lineRule="auto"/>
      </w:pPr>
      <w:r>
        <w:separator/>
      </w:r>
    </w:p>
  </w:endnote>
  <w:endnote w:type="continuationSeparator" w:id="0">
    <w:p w14:paraId="77E8744F" w14:textId="77777777" w:rsidR="00214957" w:rsidRDefault="00214957">
      <w:pPr>
        <w:spacing w:line="240" w:lineRule="auto"/>
      </w:pPr>
      <w:r>
        <w:continuationSeparator/>
      </w:r>
    </w:p>
  </w:endnote>
  <w:endnote w:id="1">
    <w:p w14:paraId="1B071E64" w14:textId="2F44A666" w:rsidR="006F5BDC" w:rsidRPr="00FE4626" w:rsidRDefault="006F5BDC">
      <w:pPr>
        <w:pStyle w:val="EndnoteText"/>
        <w:rPr>
          <w:rFonts w:asciiTheme="majorHAnsi" w:hAnsiTheme="majorHAnsi" w:cstheme="majorHAnsi"/>
          <w:sz w:val="18"/>
          <w:szCs w:val="18"/>
        </w:rPr>
      </w:pPr>
      <w:r w:rsidRPr="00FE4626">
        <w:rPr>
          <w:rStyle w:val="EndnoteReference"/>
          <w:rFonts w:asciiTheme="majorHAnsi" w:hAnsiTheme="majorHAnsi" w:cstheme="majorHAnsi"/>
          <w:sz w:val="18"/>
          <w:szCs w:val="18"/>
        </w:rPr>
        <w:endnoteRef/>
      </w:r>
      <w:r w:rsidRPr="00FE4626">
        <w:rPr>
          <w:rFonts w:asciiTheme="majorHAnsi" w:hAnsiTheme="majorHAnsi" w:cstheme="majorHAnsi"/>
          <w:sz w:val="18"/>
          <w:szCs w:val="18"/>
        </w:rPr>
        <w:t xml:space="preserve"> United Nations, </w:t>
      </w:r>
      <w:hyperlink r:id="rId1" w:history="1">
        <w:r w:rsidRPr="00FE4626">
          <w:rPr>
            <w:rStyle w:val="Hyperlink"/>
            <w:rFonts w:asciiTheme="majorHAnsi" w:hAnsiTheme="majorHAnsi" w:cstheme="majorHAnsi"/>
            <w:i/>
            <w:iCs/>
            <w:sz w:val="18"/>
            <w:szCs w:val="18"/>
          </w:rPr>
          <w:t>Declaration on the Right to Development,</w:t>
        </w:r>
      </w:hyperlink>
      <w:r w:rsidRPr="00FE4626">
        <w:rPr>
          <w:rFonts w:asciiTheme="majorHAnsi" w:hAnsiTheme="majorHAnsi" w:cstheme="majorHAnsi"/>
          <w:i/>
          <w:iCs/>
          <w:sz w:val="18"/>
          <w:szCs w:val="18"/>
        </w:rPr>
        <w:t xml:space="preserve"> </w:t>
      </w:r>
      <w:r w:rsidRPr="00FE4626">
        <w:rPr>
          <w:rFonts w:asciiTheme="majorHAnsi" w:hAnsiTheme="majorHAnsi" w:cstheme="majorHAnsi"/>
          <w:sz w:val="18"/>
          <w:szCs w:val="18"/>
        </w:rPr>
        <w:t xml:space="preserve">United Nations Human Rights Office of the High Commissioner, 1986. </w:t>
      </w:r>
    </w:p>
  </w:endnote>
  <w:endnote w:id="2">
    <w:p w14:paraId="2CFA2BC0" w14:textId="1CC8653A" w:rsidR="005134C5" w:rsidRPr="00FE4626" w:rsidRDefault="005134C5">
      <w:pPr>
        <w:pStyle w:val="EndnoteText"/>
        <w:rPr>
          <w:rFonts w:asciiTheme="majorHAnsi" w:hAnsiTheme="majorHAnsi" w:cstheme="majorHAnsi"/>
          <w:sz w:val="18"/>
          <w:szCs w:val="18"/>
        </w:rPr>
      </w:pPr>
      <w:r w:rsidRPr="00FE4626">
        <w:rPr>
          <w:rStyle w:val="EndnoteReference"/>
          <w:rFonts w:asciiTheme="majorHAnsi" w:hAnsiTheme="majorHAnsi" w:cstheme="majorHAnsi"/>
          <w:sz w:val="18"/>
          <w:szCs w:val="18"/>
        </w:rPr>
        <w:endnoteRef/>
      </w:r>
      <w:r w:rsidRPr="00FE4626">
        <w:rPr>
          <w:rFonts w:asciiTheme="majorHAnsi" w:hAnsiTheme="majorHAnsi" w:cstheme="majorHAnsi"/>
          <w:sz w:val="18"/>
          <w:szCs w:val="18"/>
        </w:rPr>
        <w:t xml:space="preserve"> Department of Foreign Affairs and Trade, </w:t>
      </w:r>
      <w:hyperlink r:id="rId2" w:history="1">
        <w:r w:rsidRPr="00FE4626">
          <w:rPr>
            <w:rStyle w:val="Hyperlink"/>
            <w:rFonts w:asciiTheme="majorHAnsi" w:hAnsiTheme="majorHAnsi" w:cstheme="majorHAnsi"/>
            <w:i/>
            <w:iCs/>
            <w:sz w:val="18"/>
            <w:szCs w:val="18"/>
          </w:rPr>
          <w:t>Australia’s International Development Policy</w:t>
        </w:r>
      </w:hyperlink>
      <w:r w:rsidRPr="00FE4626">
        <w:rPr>
          <w:rFonts w:asciiTheme="majorHAnsi" w:hAnsiTheme="majorHAnsi" w:cstheme="majorHAnsi"/>
          <w:i/>
          <w:iCs/>
          <w:sz w:val="18"/>
          <w:szCs w:val="18"/>
        </w:rPr>
        <w:t xml:space="preserve">, </w:t>
      </w:r>
      <w:r w:rsidRPr="00FE4626">
        <w:rPr>
          <w:rFonts w:asciiTheme="majorHAnsi" w:hAnsiTheme="majorHAnsi" w:cstheme="majorHAnsi"/>
          <w:sz w:val="18"/>
          <w:szCs w:val="18"/>
        </w:rPr>
        <w:t>Australian Government, 2023.</w:t>
      </w:r>
    </w:p>
  </w:endnote>
  <w:endnote w:id="3">
    <w:p w14:paraId="2F7FBF88" w14:textId="59CAA832" w:rsidR="005134C5" w:rsidRPr="00FE4626" w:rsidRDefault="005134C5">
      <w:pPr>
        <w:pStyle w:val="EndnoteText"/>
        <w:rPr>
          <w:rFonts w:asciiTheme="majorHAnsi" w:hAnsiTheme="majorHAnsi" w:cstheme="majorHAnsi"/>
          <w:sz w:val="18"/>
          <w:szCs w:val="18"/>
        </w:rPr>
      </w:pPr>
      <w:r w:rsidRPr="00FE4626">
        <w:rPr>
          <w:rStyle w:val="EndnoteReference"/>
          <w:rFonts w:asciiTheme="majorHAnsi" w:hAnsiTheme="majorHAnsi" w:cstheme="majorHAnsi"/>
          <w:sz w:val="18"/>
          <w:szCs w:val="18"/>
        </w:rPr>
        <w:endnoteRef/>
      </w:r>
      <w:r w:rsidRPr="00FE4626">
        <w:rPr>
          <w:rFonts w:asciiTheme="majorHAnsi" w:hAnsiTheme="majorHAnsi" w:cstheme="majorHAnsi"/>
          <w:sz w:val="18"/>
          <w:szCs w:val="18"/>
        </w:rPr>
        <w:t xml:space="preserve"> Department of Foreign Affairs and Trade, </w:t>
      </w:r>
      <w:hyperlink r:id="rId3" w:history="1">
        <w:r w:rsidRPr="00FE4626">
          <w:rPr>
            <w:rStyle w:val="Hyperlink"/>
            <w:rFonts w:asciiTheme="majorHAnsi" w:hAnsiTheme="majorHAnsi" w:cstheme="majorHAnsi"/>
            <w:i/>
            <w:iCs/>
            <w:sz w:val="18"/>
            <w:szCs w:val="18"/>
          </w:rPr>
          <w:t>Australia’s International Gender Equality Strategy</w:t>
        </w:r>
      </w:hyperlink>
      <w:r w:rsidRPr="00FE4626">
        <w:rPr>
          <w:rFonts w:asciiTheme="majorHAnsi" w:hAnsiTheme="majorHAnsi" w:cstheme="majorHAnsi"/>
          <w:sz w:val="18"/>
          <w:szCs w:val="18"/>
        </w:rPr>
        <w:t>, Australian Government, 2025.</w:t>
      </w:r>
    </w:p>
  </w:endnote>
  <w:endnote w:id="4">
    <w:p w14:paraId="1D7C310C" w14:textId="5DE2B762" w:rsidR="005134C5" w:rsidRPr="00FE4626" w:rsidRDefault="005134C5">
      <w:pPr>
        <w:pStyle w:val="EndnoteText"/>
        <w:rPr>
          <w:rFonts w:asciiTheme="majorHAnsi" w:hAnsiTheme="majorHAnsi" w:cstheme="majorHAnsi"/>
          <w:sz w:val="18"/>
          <w:szCs w:val="18"/>
        </w:rPr>
      </w:pPr>
      <w:r w:rsidRPr="00FE4626">
        <w:rPr>
          <w:rStyle w:val="EndnoteReference"/>
          <w:rFonts w:asciiTheme="majorHAnsi" w:hAnsiTheme="majorHAnsi" w:cstheme="majorHAnsi"/>
          <w:sz w:val="18"/>
          <w:szCs w:val="18"/>
        </w:rPr>
        <w:endnoteRef/>
      </w:r>
      <w:r w:rsidRPr="00FE4626">
        <w:rPr>
          <w:rFonts w:asciiTheme="majorHAnsi" w:hAnsiTheme="majorHAnsi" w:cstheme="majorHAnsi"/>
          <w:sz w:val="18"/>
          <w:szCs w:val="18"/>
        </w:rPr>
        <w:t xml:space="preserve"> Department of Foreign Affairs and Trade, </w:t>
      </w:r>
      <w:hyperlink r:id="rId4" w:history="1">
        <w:r w:rsidRPr="00FE4626">
          <w:rPr>
            <w:rStyle w:val="Hyperlink"/>
            <w:rFonts w:asciiTheme="majorHAnsi" w:hAnsiTheme="majorHAnsi" w:cstheme="majorHAnsi"/>
            <w:i/>
            <w:iCs/>
            <w:sz w:val="18"/>
            <w:szCs w:val="18"/>
          </w:rPr>
          <w:t>Australia’s International Disability Equity and Rights Strategy</w:t>
        </w:r>
      </w:hyperlink>
      <w:r w:rsidRPr="00FE4626">
        <w:rPr>
          <w:rFonts w:asciiTheme="majorHAnsi" w:hAnsiTheme="majorHAnsi" w:cstheme="majorHAnsi"/>
          <w:sz w:val="18"/>
          <w:szCs w:val="18"/>
        </w:rPr>
        <w:t>, Australian Government, 2024.</w:t>
      </w:r>
    </w:p>
  </w:endnote>
  <w:endnote w:id="5">
    <w:p w14:paraId="4C6A1156" w14:textId="0FB3C4C7" w:rsidR="005134C5" w:rsidRPr="00FE4626" w:rsidRDefault="005134C5">
      <w:pPr>
        <w:pStyle w:val="EndnoteText"/>
        <w:rPr>
          <w:i/>
          <w:iCs/>
        </w:rPr>
      </w:pPr>
      <w:r w:rsidRPr="00FE4626">
        <w:rPr>
          <w:rStyle w:val="EndnoteReference"/>
          <w:rFonts w:asciiTheme="majorHAnsi" w:hAnsiTheme="majorHAnsi" w:cstheme="majorHAnsi"/>
          <w:sz w:val="18"/>
          <w:szCs w:val="18"/>
        </w:rPr>
        <w:endnoteRef/>
      </w:r>
      <w:r w:rsidRPr="00FE4626">
        <w:rPr>
          <w:rFonts w:asciiTheme="majorHAnsi" w:hAnsiTheme="majorHAnsi" w:cstheme="majorHAnsi"/>
          <w:sz w:val="18"/>
          <w:szCs w:val="18"/>
        </w:rPr>
        <w:t xml:space="preserve"> </w:t>
      </w:r>
      <w:r w:rsidR="00FE4626" w:rsidRPr="00FE4626">
        <w:rPr>
          <w:rFonts w:asciiTheme="majorHAnsi" w:hAnsiTheme="majorHAnsi" w:cstheme="majorHAnsi"/>
          <w:sz w:val="18"/>
          <w:szCs w:val="18"/>
        </w:rPr>
        <w:t xml:space="preserve">Department of Foreign Affairs and Trade, </w:t>
      </w:r>
      <w:hyperlink r:id="rId5" w:history="1">
        <w:r w:rsidR="00FE4626" w:rsidRPr="00FE4626">
          <w:rPr>
            <w:rStyle w:val="Hyperlink"/>
            <w:rFonts w:asciiTheme="majorHAnsi" w:hAnsiTheme="majorHAnsi" w:cstheme="majorHAnsi"/>
            <w:i/>
            <w:iCs/>
            <w:sz w:val="18"/>
            <w:szCs w:val="18"/>
          </w:rPr>
          <w:t>Australia’s Humanitarian Policy,</w:t>
        </w:r>
      </w:hyperlink>
      <w:r w:rsidR="00FE4626" w:rsidRPr="00FE4626">
        <w:rPr>
          <w:rFonts w:asciiTheme="majorHAnsi" w:hAnsiTheme="majorHAnsi" w:cstheme="majorHAnsi"/>
          <w:i/>
          <w:iCs/>
          <w:sz w:val="18"/>
          <w:szCs w:val="18"/>
        </w:rPr>
        <w:t xml:space="preserve"> </w:t>
      </w:r>
      <w:r w:rsidR="00FE4626" w:rsidRPr="00FE4626">
        <w:rPr>
          <w:rFonts w:asciiTheme="majorHAnsi" w:hAnsiTheme="majorHAnsi" w:cstheme="majorHAnsi"/>
          <w:sz w:val="18"/>
          <w:szCs w:val="18"/>
        </w:rPr>
        <w:t>Australian Government, 2024</w:t>
      </w:r>
      <w:r w:rsidR="00FE4626" w:rsidRPr="00FE4626">
        <w:rPr>
          <w:rFonts w:asciiTheme="majorHAnsi" w:hAnsiTheme="majorHAnsi" w:cstheme="majorHAnsi"/>
          <w:i/>
          <w:iCs/>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regular">
    <w:altName w:val="Cambria"/>
    <w:panose1 w:val="00000000000000000000"/>
    <w:charset w:val="00"/>
    <w:family w:val="roman"/>
    <w:notTrueType/>
    <w:pitch w:val="default"/>
  </w:font>
  <w:font w:name="Rubik">
    <w:altName w:val="Calibri"/>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C48F" w14:textId="77777777" w:rsidR="00086393" w:rsidRDefault="00235D8B">
    <w:pPr>
      <w:jc w:val="right"/>
      <w:rPr>
        <w:color w:val="000000"/>
      </w:rPr>
    </w:pPr>
    <w:r>
      <w:rPr>
        <w:color w:val="000000"/>
      </w:rPr>
      <w:fldChar w:fldCharType="begin"/>
    </w:r>
    <w:r>
      <w:rPr>
        <w:color w:val="000000"/>
      </w:rPr>
      <w:instrText>PAGE</w:instrText>
    </w:r>
    <w:r>
      <w:rPr>
        <w:color w:val="000000"/>
      </w:rPr>
      <w:fldChar w:fldCharType="separate"/>
    </w:r>
    <w:r w:rsidR="005E562F">
      <w:rPr>
        <w:noProof/>
        <w:color w:val="000000"/>
      </w:rPr>
      <w:t>2</w:t>
    </w:r>
    <w:r>
      <w:rPr>
        <w:color w:val="000000"/>
      </w:rPr>
      <w:fldChar w:fldCharType="end"/>
    </w:r>
    <w:r>
      <w:rPr>
        <w:noProof/>
      </w:rPr>
      <w:drawing>
        <wp:anchor distT="114300" distB="114300" distL="114300" distR="114300" simplePos="0" relativeHeight="251659264" behindDoc="0" locked="0" layoutInCell="1" hidden="0" allowOverlap="1" wp14:anchorId="25B18083" wp14:editId="259BDAB0">
          <wp:simplePos x="0" y="0"/>
          <wp:positionH relativeFrom="column">
            <wp:posOffset>-964564</wp:posOffset>
          </wp:positionH>
          <wp:positionV relativeFrom="paragraph">
            <wp:posOffset>523875</wp:posOffset>
          </wp:positionV>
          <wp:extent cx="7631430" cy="125730"/>
          <wp:effectExtent l="0" t="0" r="0" b="0"/>
          <wp:wrapNone/>
          <wp:docPr id="18771793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1430" cy="1257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1566" w14:textId="77777777" w:rsidR="00086393" w:rsidRDefault="00235D8B">
    <w:pPr>
      <w:jc w:val="right"/>
      <w:rPr>
        <w:color w:val="000000"/>
      </w:rPr>
    </w:pPr>
    <w:r>
      <w:rPr>
        <w:color w:val="000000"/>
      </w:rPr>
      <w:fldChar w:fldCharType="begin"/>
    </w:r>
    <w:r>
      <w:rPr>
        <w:color w:val="000000"/>
      </w:rPr>
      <w:instrText>PAGE</w:instrText>
    </w:r>
    <w:r>
      <w:rPr>
        <w:color w:val="000000"/>
      </w:rPr>
      <w:fldChar w:fldCharType="separate"/>
    </w:r>
    <w:r w:rsidR="005E562F">
      <w:rPr>
        <w:noProof/>
        <w:color w:val="000000"/>
      </w:rPr>
      <w:t>1</w:t>
    </w:r>
    <w:r>
      <w:rPr>
        <w:color w:val="000000"/>
      </w:rPr>
      <w:fldChar w:fldCharType="end"/>
    </w:r>
    <w:r>
      <w:rPr>
        <w:noProof/>
      </w:rPr>
      <w:drawing>
        <wp:anchor distT="114300" distB="114300" distL="114300" distR="114300" simplePos="0" relativeHeight="251660288" behindDoc="0" locked="0" layoutInCell="1" hidden="0" allowOverlap="1" wp14:anchorId="779C4BB9" wp14:editId="4211F27D">
          <wp:simplePos x="0" y="0"/>
          <wp:positionH relativeFrom="column">
            <wp:posOffset>-896619</wp:posOffset>
          </wp:positionH>
          <wp:positionV relativeFrom="paragraph">
            <wp:posOffset>521969</wp:posOffset>
          </wp:positionV>
          <wp:extent cx="7632000" cy="133200"/>
          <wp:effectExtent l="0" t="0" r="0" b="0"/>
          <wp:wrapNone/>
          <wp:docPr id="18771793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2000" cy="133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3043" w14:textId="77777777" w:rsidR="00214957" w:rsidRDefault="00214957">
      <w:pPr>
        <w:spacing w:line="240" w:lineRule="auto"/>
      </w:pPr>
      <w:r>
        <w:separator/>
      </w:r>
    </w:p>
  </w:footnote>
  <w:footnote w:type="continuationSeparator" w:id="0">
    <w:p w14:paraId="39C8D9FF" w14:textId="77777777" w:rsidR="00214957" w:rsidRDefault="00214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8191" w14:textId="77777777" w:rsidR="00086393" w:rsidRDefault="00235D8B">
    <w:r>
      <w:rPr>
        <w:noProof/>
      </w:rPr>
      <w:drawing>
        <wp:inline distT="0" distB="0" distL="0" distR="0" wp14:anchorId="05ED97CD" wp14:editId="06E54C6C">
          <wp:extent cx="533400" cy="466725"/>
          <wp:effectExtent l="0" t="0" r="0" b="0"/>
          <wp:docPr id="1877179322" name="image3.png" descr="The Australian Women's Health Alliance logo with four graphic icons only, the first and second shapes are stacked on top of the third and fourth shapes."/>
          <wp:cNvGraphicFramePr/>
          <a:graphic xmlns:a="http://schemas.openxmlformats.org/drawingml/2006/main">
            <a:graphicData uri="http://schemas.openxmlformats.org/drawingml/2006/picture">
              <pic:pic xmlns:pic="http://schemas.openxmlformats.org/drawingml/2006/picture">
                <pic:nvPicPr>
                  <pic:cNvPr id="0" name="image3.png" descr="The Australian Women's Health Alliance logo with four graphic icons only, the first and second shapes are stacked on top of the third and fourth shapes."/>
                  <pic:cNvPicPr preferRelativeResize="0"/>
                </pic:nvPicPr>
                <pic:blipFill>
                  <a:blip r:embed="rId1"/>
                  <a:srcRect r="67058"/>
                  <a:stretch>
                    <a:fillRect/>
                  </a:stretch>
                </pic:blipFill>
                <pic:spPr>
                  <a:xfrm>
                    <a:off x="0" y="0"/>
                    <a:ext cx="533400" cy="466725"/>
                  </a:xfrm>
                  <a:prstGeom prst="rect">
                    <a:avLst/>
                  </a:prstGeom>
                  <a:ln/>
                </pic:spPr>
              </pic:pic>
            </a:graphicData>
          </a:graphic>
        </wp:inline>
      </w:drawing>
    </w:r>
  </w:p>
  <w:p w14:paraId="3902490E" w14:textId="77777777" w:rsidR="00086393" w:rsidRDefault="00086393"/>
  <w:p w14:paraId="7F781DE2" w14:textId="77777777" w:rsidR="00CB68A9" w:rsidRDefault="00CB68A9" w:rsidP="001141A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CC34" w14:textId="77777777" w:rsidR="00086393" w:rsidRDefault="00235D8B">
    <w:pPr>
      <w:rPr>
        <w:color w:val="7030A0"/>
      </w:rPr>
    </w:pPr>
    <w:r>
      <w:rPr>
        <w:noProof/>
      </w:rPr>
      <w:drawing>
        <wp:anchor distT="114300" distB="114300" distL="114300" distR="114300" simplePos="0" relativeHeight="251658240" behindDoc="0" locked="0" layoutInCell="1" hidden="0" allowOverlap="1" wp14:anchorId="67215525" wp14:editId="04CC6A06">
          <wp:simplePos x="0" y="0"/>
          <wp:positionH relativeFrom="page">
            <wp:posOffset>-1423</wp:posOffset>
          </wp:positionH>
          <wp:positionV relativeFrom="page">
            <wp:posOffset>-6984</wp:posOffset>
          </wp:positionV>
          <wp:extent cx="7938000" cy="46800"/>
          <wp:effectExtent l="0" t="0" r="0" b="0"/>
          <wp:wrapNone/>
          <wp:docPr id="1877179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38000" cy="46800"/>
                  </a:xfrm>
                  <a:prstGeom prst="rect">
                    <a:avLst/>
                  </a:prstGeom>
                  <a:ln/>
                </pic:spPr>
              </pic:pic>
            </a:graphicData>
          </a:graphic>
        </wp:anchor>
      </w:drawing>
    </w:r>
    <w:r>
      <w:rPr>
        <w:color w:val="7030A0"/>
      </w:rPr>
      <w:t xml:space="preserve">             </w:t>
    </w:r>
  </w:p>
  <w:tbl>
    <w:tblPr>
      <w:tblStyle w:val="1"/>
      <w:tblW w:w="4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4538"/>
    </w:tblGrid>
    <w:tr w:rsidR="00086393" w14:paraId="59203680" w14:textId="77777777" w:rsidTr="00E071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Borders>
            <w:top w:val="nil"/>
            <w:left w:val="nil"/>
            <w:bottom w:val="nil"/>
            <w:right w:val="nil"/>
          </w:tcBorders>
        </w:tcPr>
        <w:p w14:paraId="431A0AE1" w14:textId="39038FCC" w:rsidR="00086393" w:rsidRPr="00702CDB" w:rsidRDefault="00235D8B">
          <w:pPr>
            <w:rPr>
              <w:color w:val="7030A0"/>
            </w:rPr>
          </w:pPr>
          <w:r>
            <w:rPr>
              <w:noProof/>
            </w:rPr>
            <w:drawing>
              <wp:inline distT="0" distB="0" distL="0" distR="0" wp14:anchorId="310C2C24" wp14:editId="3B063141">
                <wp:extent cx="2151426" cy="733425"/>
                <wp:effectExtent l="0" t="0" r="0" b="0"/>
                <wp:docPr id="1877179323" name="image4.png"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 xmlns:a="http://schemas.openxmlformats.org/drawingml/2006/main">
                  <a:graphicData uri="http://schemas.openxmlformats.org/drawingml/2006/picture">
                    <pic:pic xmlns:pic="http://schemas.openxmlformats.org/drawingml/2006/picture">
                      <pic:nvPicPr>
                        <pic:cNvPr id="0" name="image4.png"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referRelativeResize="0"/>
                      </pic:nvPicPr>
                      <pic:blipFill>
                        <a:blip r:embed="rId2"/>
                        <a:srcRect r="54005"/>
                        <a:stretch>
                          <a:fillRect/>
                        </a:stretch>
                      </pic:blipFill>
                      <pic:spPr>
                        <a:xfrm>
                          <a:off x="0" y="0"/>
                          <a:ext cx="2151426" cy="733425"/>
                        </a:xfrm>
                        <a:prstGeom prst="rect">
                          <a:avLst/>
                        </a:prstGeom>
                        <a:ln/>
                      </pic:spPr>
                    </pic:pic>
                  </a:graphicData>
                </a:graphic>
              </wp:inline>
            </w:drawing>
          </w:r>
        </w:p>
      </w:tc>
    </w:tr>
  </w:tbl>
  <w:p w14:paraId="43D7A165" w14:textId="77777777" w:rsidR="00086393" w:rsidRDefault="00086393">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84A"/>
    <w:multiLevelType w:val="multilevel"/>
    <w:tmpl w:val="F09C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537CB"/>
    <w:multiLevelType w:val="hybridMultilevel"/>
    <w:tmpl w:val="6AF4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E54D0"/>
    <w:multiLevelType w:val="multilevel"/>
    <w:tmpl w:val="D07E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93FEB"/>
    <w:multiLevelType w:val="multilevel"/>
    <w:tmpl w:val="AC2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20671"/>
    <w:multiLevelType w:val="hybridMultilevel"/>
    <w:tmpl w:val="7D36E4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26855265">
    <w:abstractNumId w:val="0"/>
  </w:num>
  <w:num w:numId="2" w16cid:durableId="1941529205">
    <w:abstractNumId w:val="4"/>
  </w:num>
  <w:num w:numId="3" w16cid:durableId="701517608">
    <w:abstractNumId w:val="1"/>
  </w:num>
  <w:num w:numId="4" w16cid:durableId="238836062">
    <w:abstractNumId w:val="3"/>
  </w:num>
  <w:num w:numId="5" w16cid:durableId="190193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393"/>
    <w:rsid w:val="000033A9"/>
    <w:rsid w:val="000316C9"/>
    <w:rsid w:val="000428A3"/>
    <w:rsid w:val="0005761E"/>
    <w:rsid w:val="00086393"/>
    <w:rsid w:val="000A52AF"/>
    <w:rsid w:val="000C5C8B"/>
    <w:rsid w:val="000D13D8"/>
    <w:rsid w:val="001101B8"/>
    <w:rsid w:val="001141AC"/>
    <w:rsid w:val="00123262"/>
    <w:rsid w:val="00130558"/>
    <w:rsid w:val="001361C0"/>
    <w:rsid w:val="001361EC"/>
    <w:rsid w:val="0013736E"/>
    <w:rsid w:val="001379CB"/>
    <w:rsid w:val="00137B55"/>
    <w:rsid w:val="00137EB4"/>
    <w:rsid w:val="001428B5"/>
    <w:rsid w:val="0014698F"/>
    <w:rsid w:val="00154786"/>
    <w:rsid w:val="00180121"/>
    <w:rsid w:val="00186A38"/>
    <w:rsid w:val="001A47D9"/>
    <w:rsid w:val="001C07D6"/>
    <w:rsid w:val="001C2FCE"/>
    <w:rsid w:val="001F3CA0"/>
    <w:rsid w:val="00200355"/>
    <w:rsid w:val="00214957"/>
    <w:rsid w:val="00235D8B"/>
    <w:rsid w:val="00244878"/>
    <w:rsid w:val="00267249"/>
    <w:rsid w:val="002A2BFC"/>
    <w:rsid w:val="00307B3C"/>
    <w:rsid w:val="00311360"/>
    <w:rsid w:val="0032639E"/>
    <w:rsid w:val="003464BE"/>
    <w:rsid w:val="0039702E"/>
    <w:rsid w:val="003A78E7"/>
    <w:rsid w:val="003D0460"/>
    <w:rsid w:val="003E2EEE"/>
    <w:rsid w:val="003F6ED6"/>
    <w:rsid w:val="00421090"/>
    <w:rsid w:val="0045085C"/>
    <w:rsid w:val="0045297D"/>
    <w:rsid w:val="00462083"/>
    <w:rsid w:val="004644E2"/>
    <w:rsid w:val="004A5636"/>
    <w:rsid w:val="004C60D6"/>
    <w:rsid w:val="004D669C"/>
    <w:rsid w:val="005040C8"/>
    <w:rsid w:val="005134C5"/>
    <w:rsid w:val="005153F0"/>
    <w:rsid w:val="005162C9"/>
    <w:rsid w:val="005215D3"/>
    <w:rsid w:val="005603A1"/>
    <w:rsid w:val="0057111B"/>
    <w:rsid w:val="005B2619"/>
    <w:rsid w:val="005C31DF"/>
    <w:rsid w:val="005E562F"/>
    <w:rsid w:val="00601A59"/>
    <w:rsid w:val="00603D46"/>
    <w:rsid w:val="00605ADD"/>
    <w:rsid w:val="0061671F"/>
    <w:rsid w:val="0064089A"/>
    <w:rsid w:val="00695143"/>
    <w:rsid w:val="006964B0"/>
    <w:rsid w:val="006C47B4"/>
    <w:rsid w:val="006C4F2B"/>
    <w:rsid w:val="006D6BF9"/>
    <w:rsid w:val="006F043E"/>
    <w:rsid w:val="006F4E5C"/>
    <w:rsid w:val="006F5BDC"/>
    <w:rsid w:val="00702CDB"/>
    <w:rsid w:val="00740704"/>
    <w:rsid w:val="0074518F"/>
    <w:rsid w:val="00774864"/>
    <w:rsid w:val="007773FD"/>
    <w:rsid w:val="00783065"/>
    <w:rsid w:val="007A300D"/>
    <w:rsid w:val="007D3F8B"/>
    <w:rsid w:val="008016D5"/>
    <w:rsid w:val="00802893"/>
    <w:rsid w:val="00814FF4"/>
    <w:rsid w:val="008468D1"/>
    <w:rsid w:val="00846D84"/>
    <w:rsid w:val="008D0155"/>
    <w:rsid w:val="008F411C"/>
    <w:rsid w:val="008F635D"/>
    <w:rsid w:val="00912D03"/>
    <w:rsid w:val="00965D0C"/>
    <w:rsid w:val="00976684"/>
    <w:rsid w:val="00986AAE"/>
    <w:rsid w:val="00998288"/>
    <w:rsid w:val="009A0E6B"/>
    <w:rsid w:val="009A3A8D"/>
    <w:rsid w:val="009B5DB5"/>
    <w:rsid w:val="009C288E"/>
    <w:rsid w:val="009C79A8"/>
    <w:rsid w:val="009E7337"/>
    <w:rsid w:val="00A0133C"/>
    <w:rsid w:val="00A037A4"/>
    <w:rsid w:val="00A14FC7"/>
    <w:rsid w:val="00A163E3"/>
    <w:rsid w:val="00A42960"/>
    <w:rsid w:val="00A56A5F"/>
    <w:rsid w:val="00AA3784"/>
    <w:rsid w:val="00AA5AED"/>
    <w:rsid w:val="00AA6984"/>
    <w:rsid w:val="00AB07BE"/>
    <w:rsid w:val="00AD1709"/>
    <w:rsid w:val="00AF0723"/>
    <w:rsid w:val="00B061C7"/>
    <w:rsid w:val="00B161AF"/>
    <w:rsid w:val="00B2288C"/>
    <w:rsid w:val="00B54024"/>
    <w:rsid w:val="00B57F94"/>
    <w:rsid w:val="00B7300B"/>
    <w:rsid w:val="00B86B3D"/>
    <w:rsid w:val="00BA619F"/>
    <w:rsid w:val="00BD63EE"/>
    <w:rsid w:val="00BE6648"/>
    <w:rsid w:val="00BF5E98"/>
    <w:rsid w:val="00C11DD8"/>
    <w:rsid w:val="00C218C1"/>
    <w:rsid w:val="00C407C8"/>
    <w:rsid w:val="00C666B0"/>
    <w:rsid w:val="00C80C67"/>
    <w:rsid w:val="00C863D4"/>
    <w:rsid w:val="00CB1039"/>
    <w:rsid w:val="00CB68A9"/>
    <w:rsid w:val="00CC3DE7"/>
    <w:rsid w:val="00CD500A"/>
    <w:rsid w:val="00CE128F"/>
    <w:rsid w:val="00D06CCB"/>
    <w:rsid w:val="00D11775"/>
    <w:rsid w:val="00D40DD0"/>
    <w:rsid w:val="00D71EDF"/>
    <w:rsid w:val="00D907BC"/>
    <w:rsid w:val="00D97189"/>
    <w:rsid w:val="00DD195F"/>
    <w:rsid w:val="00DE0D67"/>
    <w:rsid w:val="00E04777"/>
    <w:rsid w:val="00E0714D"/>
    <w:rsid w:val="00E24653"/>
    <w:rsid w:val="00E2555F"/>
    <w:rsid w:val="00E51505"/>
    <w:rsid w:val="00E652FF"/>
    <w:rsid w:val="00EA2403"/>
    <w:rsid w:val="00EC7237"/>
    <w:rsid w:val="00ED727E"/>
    <w:rsid w:val="00EE07F3"/>
    <w:rsid w:val="00F0183A"/>
    <w:rsid w:val="00F45374"/>
    <w:rsid w:val="00F75333"/>
    <w:rsid w:val="00F91117"/>
    <w:rsid w:val="00F9781F"/>
    <w:rsid w:val="00FA1DCE"/>
    <w:rsid w:val="00FD3D4F"/>
    <w:rsid w:val="00FE4626"/>
    <w:rsid w:val="00FF0774"/>
    <w:rsid w:val="023D2708"/>
    <w:rsid w:val="03899BF4"/>
    <w:rsid w:val="045F7125"/>
    <w:rsid w:val="0AA33D13"/>
    <w:rsid w:val="0AB44104"/>
    <w:rsid w:val="0C1B2115"/>
    <w:rsid w:val="0C9A0CD9"/>
    <w:rsid w:val="0D8C33FB"/>
    <w:rsid w:val="0EBC4CEF"/>
    <w:rsid w:val="0F14DFF0"/>
    <w:rsid w:val="102BBAC2"/>
    <w:rsid w:val="103B0C15"/>
    <w:rsid w:val="126DA50D"/>
    <w:rsid w:val="14488425"/>
    <w:rsid w:val="16B953AC"/>
    <w:rsid w:val="177DF95F"/>
    <w:rsid w:val="1789F3F6"/>
    <w:rsid w:val="17CFC468"/>
    <w:rsid w:val="198E2910"/>
    <w:rsid w:val="1995D386"/>
    <w:rsid w:val="19DE3639"/>
    <w:rsid w:val="1A18DE4F"/>
    <w:rsid w:val="1A69BC9C"/>
    <w:rsid w:val="1AAD1817"/>
    <w:rsid w:val="1BC17AAA"/>
    <w:rsid w:val="1BCE04E3"/>
    <w:rsid w:val="1ED8DBE6"/>
    <w:rsid w:val="1FD644C3"/>
    <w:rsid w:val="2115B0ED"/>
    <w:rsid w:val="22111370"/>
    <w:rsid w:val="2235A414"/>
    <w:rsid w:val="229AC443"/>
    <w:rsid w:val="24C7DA52"/>
    <w:rsid w:val="24EAD86C"/>
    <w:rsid w:val="25B7638A"/>
    <w:rsid w:val="25E41065"/>
    <w:rsid w:val="26051A63"/>
    <w:rsid w:val="266C0DBC"/>
    <w:rsid w:val="2753B0B1"/>
    <w:rsid w:val="287E6D69"/>
    <w:rsid w:val="29B3641D"/>
    <w:rsid w:val="2C6040A0"/>
    <w:rsid w:val="2D62F11E"/>
    <w:rsid w:val="2E971561"/>
    <w:rsid w:val="2F147516"/>
    <w:rsid w:val="336F20B2"/>
    <w:rsid w:val="33C1D0AF"/>
    <w:rsid w:val="34A983F7"/>
    <w:rsid w:val="35C36DEE"/>
    <w:rsid w:val="35CAD5E3"/>
    <w:rsid w:val="36AC926A"/>
    <w:rsid w:val="376B8A1E"/>
    <w:rsid w:val="3888872E"/>
    <w:rsid w:val="39548C11"/>
    <w:rsid w:val="3B71E353"/>
    <w:rsid w:val="3B7376D1"/>
    <w:rsid w:val="3BE66360"/>
    <w:rsid w:val="3C362365"/>
    <w:rsid w:val="3E15B46A"/>
    <w:rsid w:val="3EA837BB"/>
    <w:rsid w:val="44F0F898"/>
    <w:rsid w:val="4719F655"/>
    <w:rsid w:val="475629E5"/>
    <w:rsid w:val="494DAE86"/>
    <w:rsid w:val="4BDBC06B"/>
    <w:rsid w:val="4E61CF1F"/>
    <w:rsid w:val="4FC13AB1"/>
    <w:rsid w:val="51105F6E"/>
    <w:rsid w:val="51C05A62"/>
    <w:rsid w:val="520AAD7A"/>
    <w:rsid w:val="526C0C22"/>
    <w:rsid w:val="5334EDF1"/>
    <w:rsid w:val="537C7A63"/>
    <w:rsid w:val="559B91B1"/>
    <w:rsid w:val="55E7BD7C"/>
    <w:rsid w:val="56A07975"/>
    <w:rsid w:val="5953FFBA"/>
    <w:rsid w:val="596876B7"/>
    <w:rsid w:val="5B24331A"/>
    <w:rsid w:val="5C0DA7B2"/>
    <w:rsid w:val="5CC59366"/>
    <w:rsid w:val="5F38E0A9"/>
    <w:rsid w:val="60400786"/>
    <w:rsid w:val="612E70BE"/>
    <w:rsid w:val="628FBCE8"/>
    <w:rsid w:val="652581B9"/>
    <w:rsid w:val="658CFB2B"/>
    <w:rsid w:val="65C78B19"/>
    <w:rsid w:val="66A071B0"/>
    <w:rsid w:val="66E4BCF9"/>
    <w:rsid w:val="6ABA4D9C"/>
    <w:rsid w:val="6AE218E5"/>
    <w:rsid w:val="6BD67874"/>
    <w:rsid w:val="6EABB284"/>
    <w:rsid w:val="6FB4F7B2"/>
    <w:rsid w:val="7018EEDF"/>
    <w:rsid w:val="70E3DF50"/>
    <w:rsid w:val="71335144"/>
    <w:rsid w:val="71800453"/>
    <w:rsid w:val="72246402"/>
    <w:rsid w:val="722E99B4"/>
    <w:rsid w:val="74DF3B2A"/>
    <w:rsid w:val="76722E40"/>
    <w:rsid w:val="78FE226A"/>
    <w:rsid w:val="7A2639ED"/>
    <w:rsid w:val="7AC500A4"/>
    <w:rsid w:val="7C515EC3"/>
    <w:rsid w:val="7D1D6B72"/>
    <w:rsid w:val="7D61E1C5"/>
    <w:rsid w:val="7FB9D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2F8D"/>
  <w15:docId w15:val="{92AC3898-10F7-434B-B830-C0AE1233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paragraph" w:styleId="NormalWeb">
    <w:name w:val="Normal (Web)"/>
    <w:basedOn w:val="Normal"/>
    <w:uiPriority w:val="99"/>
    <w:semiHidden/>
    <w:unhideWhenUsed/>
    <w:rsid w:val="00CE21EF"/>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FootnoteText">
    <w:name w:val="footnote text"/>
    <w:basedOn w:val="Normal"/>
    <w:link w:val="FootnoteTextChar"/>
    <w:uiPriority w:val="99"/>
    <w:semiHidden/>
    <w:unhideWhenUsed/>
    <w:rsid w:val="00835E8A"/>
    <w:pPr>
      <w:spacing w:line="240" w:lineRule="auto"/>
    </w:pPr>
  </w:style>
  <w:style w:type="character" w:customStyle="1" w:styleId="FootnoteTextChar">
    <w:name w:val="Footnote Text Char"/>
    <w:basedOn w:val="DefaultParagraphFont"/>
    <w:link w:val="FootnoteText"/>
    <w:uiPriority w:val="99"/>
    <w:semiHidden/>
    <w:rsid w:val="00835E8A"/>
  </w:style>
  <w:style w:type="character" w:styleId="FootnoteReference">
    <w:name w:val="footnote reference"/>
    <w:basedOn w:val="DefaultParagraphFont"/>
    <w:uiPriority w:val="99"/>
    <w:semiHidden/>
    <w:unhideWhenUsed/>
    <w:rsid w:val="00835E8A"/>
    <w:rPr>
      <w:vertAlign w:val="superscript"/>
    </w:rPr>
  </w:style>
  <w:style w:type="table" w:customStyle="1" w:styleId="1">
    <w:name w:val="1"/>
    <w:basedOn w:val="TableNormal"/>
    <w:pPr>
      <w:spacing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235D8B"/>
    <w:rPr>
      <w:sz w:val="16"/>
      <w:szCs w:val="16"/>
    </w:rPr>
  </w:style>
  <w:style w:type="paragraph" w:styleId="CommentText">
    <w:name w:val="annotation text"/>
    <w:basedOn w:val="Normal"/>
    <w:link w:val="CommentTextChar"/>
    <w:uiPriority w:val="99"/>
    <w:unhideWhenUsed/>
    <w:rsid w:val="00235D8B"/>
    <w:pPr>
      <w:spacing w:line="240" w:lineRule="auto"/>
    </w:pPr>
  </w:style>
  <w:style w:type="character" w:customStyle="1" w:styleId="CommentTextChar">
    <w:name w:val="Comment Text Char"/>
    <w:basedOn w:val="DefaultParagraphFont"/>
    <w:link w:val="CommentText"/>
    <w:uiPriority w:val="99"/>
    <w:rsid w:val="00235D8B"/>
  </w:style>
  <w:style w:type="paragraph" w:styleId="CommentSubject">
    <w:name w:val="annotation subject"/>
    <w:basedOn w:val="CommentText"/>
    <w:next w:val="CommentText"/>
    <w:link w:val="CommentSubjectChar"/>
    <w:uiPriority w:val="99"/>
    <w:semiHidden/>
    <w:unhideWhenUsed/>
    <w:rsid w:val="00235D8B"/>
    <w:rPr>
      <w:b/>
      <w:bCs/>
    </w:rPr>
  </w:style>
  <w:style w:type="character" w:customStyle="1" w:styleId="CommentSubjectChar">
    <w:name w:val="Comment Subject Char"/>
    <w:basedOn w:val="CommentTextChar"/>
    <w:link w:val="CommentSubject"/>
    <w:uiPriority w:val="99"/>
    <w:semiHidden/>
    <w:rsid w:val="00235D8B"/>
    <w:rPr>
      <w:b/>
      <w:bCs/>
    </w:rPr>
  </w:style>
  <w:style w:type="paragraph" w:styleId="Revision">
    <w:name w:val="Revision"/>
    <w:hidden/>
    <w:uiPriority w:val="99"/>
    <w:semiHidden/>
    <w:rsid w:val="00BF5E98"/>
    <w:pPr>
      <w:spacing w:line="240" w:lineRule="auto"/>
    </w:pPr>
  </w:style>
  <w:style w:type="character" w:styleId="Mention">
    <w:name w:val="Mention"/>
    <w:basedOn w:val="DefaultParagraphFont"/>
    <w:uiPriority w:val="99"/>
    <w:unhideWhenUsed/>
    <w:rsid w:val="00965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5016">
      <w:bodyDiv w:val="1"/>
      <w:marLeft w:val="0"/>
      <w:marRight w:val="0"/>
      <w:marTop w:val="0"/>
      <w:marBottom w:val="0"/>
      <w:divBdr>
        <w:top w:val="none" w:sz="0" w:space="0" w:color="auto"/>
        <w:left w:val="none" w:sz="0" w:space="0" w:color="auto"/>
        <w:bottom w:val="none" w:sz="0" w:space="0" w:color="auto"/>
        <w:right w:val="none" w:sz="0" w:space="0" w:color="auto"/>
      </w:divBdr>
      <w:divsChild>
        <w:div w:id="204634527">
          <w:marLeft w:val="0"/>
          <w:marRight w:val="0"/>
          <w:marTop w:val="0"/>
          <w:marBottom w:val="0"/>
          <w:divBdr>
            <w:top w:val="none" w:sz="0" w:space="0" w:color="auto"/>
            <w:left w:val="none" w:sz="0" w:space="0" w:color="auto"/>
            <w:bottom w:val="none" w:sz="0" w:space="0" w:color="auto"/>
            <w:right w:val="none" w:sz="0" w:space="0" w:color="auto"/>
          </w:divBdr>
          <w:divsChild>
            <w:div w:id="334000129">
              <w:marLeft w:val="0"/>
              <w:marRight w:val="0"/>
              <w:marTop w:val="0"/>
              <w:marBottom w:val="0"/>
              <w:divBdr>
                <w:top w:val="none" w:sz="0" w:space="0" w:color="auto"/>
                <w:left w:val="none" w:sz="0" w:space="0" w:color="auto"/>
                <w:bottom w:val="none" w:sz="0" w:space="0" w:color="auto"/>
                <w:right w:val="none" w:sz="0" w:space="0" w:color="auto"/>
              </w:divBdr>
              <w:divsChild>
                <w:div w:id="562763121">
                  <w:marLeft w:val="0"/>
                  <w:marRight w:val="0"/>
                  <w:marTop w:val="0"/>
                  <w:marBottom w:val="0"/>
                  <w:divBdr>
                    <w:top w:val="none" w:sz="0" w:space="0" w:color="auto"/>
                    <w:left w:val="none" w:sz="0" w:space="0" w:color="auto"/>
                    <w:bottom w:val="none" w:sz="0" w:space="0" w:color="auto"/>
                    <w:right w:val="none" w:sz="0" w:space="0" w:color="auto"/>
                  </w:divBdr>
                  <w:divsChild>
                    <w:div w:id="19242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3943">
      <w:bodyDiv w:val="1"/>
      <w:marLeft w:val="0"/>
      <w:marRight w:val="0"/>
      <w:marTop w:val="0"/>
      <w:marBottom w:val="0"/>
      <w:divBdr>
        <w:top w:val="none" w:sz="0" w:space="0" w:color="auto"/>
        <w:left w:val="none" w:sz="0" w:space="0" w:color="auto"/>
        <w:bottom w:val="none" w:sz="0" w:space="0" w:color="auto"/>
        <w:right w:val="none" w:sz="0" w:space="0" w:color="auto"/>
      </w:divBdr>
      <w:divsChild>
        <w:div w:id="1582831317">
          <w:marLeft w:val="0"/>
          <w:marRight w:val="0"/>
          <w:marTop w:val="0"/>
          <w:marBottom w:val="0"/>
          <w:divBdr>
            <w:top w:val="none" w:sz="0" w:space="0" w:color="auto"/>
            <w:left w:val="none" w:sz="0" w:space="0" w:color="auto"/>
            <w:bottom w:val="none" w:sz="0" w:space="0" w:color="auto"/>
            <w:right w:val="none" w:sz="0" w:space="0" w:color="auto"/>
          </w:divBdr>
          <w:divsChild>
            <w:div w:id="32968684">
              <w:marLeft w:val="0"/>
              <w:marRight w:val="0"/>
              <w:marTop w:val="0"/>
              <w:marBottom w:val="0"/>
              <w:divBdr>
                <w:top w:val="none" w:sz="0" w:space="0" w:color="auto"/>
                <w:left w:val="none" w:sz="0" w:space="0" w:color="auto"/>
                <w:bottom w:val="none" w:sz="0" w:space="0" w:color="auto"/>
                <w:right w:val="none" w:sz="0" w:space="0" w:color="auto"/>
              </w:divBdr>
            </w:div>
          </w:divsChild>
        </w:div>
        <w:div w:id="251671576">
          <w:marLeft w:val="0"/>
          <w:marRight w:val="0"/>
          <w:marTop w:val="0"/>
          <w:marBottom w:val="0"/>
          <w:divBdr>
            <w:top w:val="none" w:sz="0" w:space="0" w:color="auto"/>
            <w:left w:val="none" w:sz="0" w:space="0" w:color="auto"/>
            <w:bottom w:val="none" w:sz="0" w:space="0" w:color="auto"/>
            <w:right w:val="none" w:sz="0" w:space="0" w:color="auto"/>
          </w:divBdr>
          <w:divsChild>
            <w:div w:id="1427656700">
              <w:marLeft w:val="0"/>
              <w:marRight w:val="0"/>
              <w:marTop w:val="0"/>
              <w:marBottom w:val="0"/>
              <w:divBdr>
                <w:top w:val="none" w:sz="0" w:space="0" w:color="auto"/>
                <w:left w:val="none" w:sz="0" w:space="0" w:color="auto"/>
                <w:bottom w:val="none" w:sz="0" w:space="0" w:color="auto"/>
                <w:right w:val="none" w:sz="0" w:space="0" w:color="auto"/>
              </w:divBdr>
              <w:divsChild>
                <w:div w:id="978924390">
                  <w:marLeft w:val="0"/>
                  <w:marRight w:val="0"/>
                  <w:marTop w:val="0"/>
                  <w:marBottom w:val="0"/>
                  <w:divBdr>
                    <w:top w:val="none" w:sz="0" w:space="0" w:color="auto"/>
                    <w:left w:val="none" w:sz="0" w:space="0" w:color="auto"/>
                    <w:bottom w:val="none" w:sz="0" w:space="0" w:color="auto"/>
                    <w:right w:val="none" w:sz="0" w:space="0" w:color="auto"/>
                  </w:divBdr>
                  <w:divsChild>
                    <w:div w:id="20778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340">
      <w:bodyDiv w:val="1"/>
      <w:marLeft w:val="0"/>
      <w:marRight w:val="0"/>
      <w:marTop w:val="0"/>
      <w:marBottom w:val="0"/>
      <w:divBdr>
        <w:top w:val="none" w:sz="0" w:space="0" w:color="auto"/>
        <w:left w:val="none" w:sz="0" w:space="0" w:color="auto"/>
        <w:bottom w:val="none" w:sz="0" w:space="0" w:color="auto"/>
        <w:right w:val="none" w:sz="0" w:space="0" w:color="auto"/>
      </w:divBdr>
      <w:divsChild>
        <w:div w:id="1448961348">
          <w:marLeft w:val="0"/>
          <w:marRight w:val="0"/>
          <w:marTop w:val="0"/>
          <w:marBottom w:val="0"/>
          <w:divBdr>
            <w:top w:val="none" w:sz="0" w:space="0" w:color="auto"/>
            <w:left w:val="none" w:sz="0" w:space="0" w:color="auto"/>
            <w:bottom w:val="none" w:sz="0" w:space="0" w:color="auto"/>
            <w:right w:val="none" w:sz="0" w:space="0" w:color="auto"/>
          </w:divBdr>
        </w:div>
        <w:div w:id="306516950">
          <w:marLeft w:val="0"/>
          <w:marRight w:val="0"/>
          <w:marTop w:val="0"/>
          <w:marBottom w:val="0"/>
          <w:divBdr>
            <w:top w:val="none" w:sz="0" w:space="0" w:color="auto"/>
            <w:left w:val="none" w:sz="0" w:space="0" w:color="auto"/>
            <w:bottom w:val="none" w:sz="0" w:space="0" w:color="auto"/>
            <w:right w:val="none" w:sz="0" w:space="0" w:color="auto"/>
          </w:divBdr>
          <w:divsChild>
            <w:div w:id="1504472115">
              <w:marLeft w:val="0"/>
              <w:marRight w:val="0"/>
              <w:marTop w:val="0"/>
              <w:marBottom w:val="0"/>
              <w:divBdr>
                <w:top w:val="none" w:sz="0" w:space="0" w:color="auto"/>
                <w:left w:val="none" w:sz="0" w:space="0" w:color="auto"/>
                <w:bottom w:val="none" w:sz="0" w:space="0" w:color="auto"/>
                <w:right w:val="none" w:sz="0" w:space="0" w:color="auto"/>
              </w:divBdr>
              <w:divsChild>
                <w:div w:id="3475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7082">
      <w:bodyDiv w:val="1"/>
      <w:marLeft w:val="0"/>
      <w:marRight w:val="0"/>
      <w:marTop w:val="0"/>
      <w:marBottom w:val="0"/>
      <w:divBdr>
        <w:top w:val="none" w:sz="0" w:space="0" w:color="auto"/>
        <w:left w:val="none" w:sz="0" w:space="0" w:color="auto"/>
        <w:bottom w:val="none" w:sz="0" w:space="0" w:color="auto"/>
        <w:right w:val="none" w:sz="0" w:space="0" w:color="auto"/>
      </w:divBdr>
      <w:divsChild>
        <w:div w:id="1300960076">
          <w:marLeft w:val="0"/>
          <w:marRight w:val="0"/>
          <w:marTop w:val="0"/>
          <w:marBottom w:val="0"/>
          <w:divBdr>
            <w:top w:val="none" w:sz="0" w:space="0" w:color="auto"/>
            <w:left w:val="none" w:sz="0" w:space="0" w:color="auto"/>
            <w:bottom w:val="none" w:sz="0" w:space="0" w:color="auto"/>
            <w:right w:val="none" w:sz="0" w:space="0" w:color="auto"/>
          </w:divBdr>
          <w:divsChild>
            <w:div w:id="1239679655">
              <w:marLeft w:val="0"/>
              <w:marRight w:val="0"/>
              <w:marTop w:val="0"/>
              <w:marBottom w:val="0"/>
              <w:divBdr>
                <w:top w:val="none" w:sz="0" w:space="0" w:color="auto"/>
                <w:left w:val="none" w:sz="0" w:space="0" w:color="auto"/>
                <w:bottom w:val="none" w:sz="0" w:space="0" w:color="auto"/>
                <w:right w:val="none" w:sz="0" w:space="0" w:color="auto"/>
              </w:divBdr>
            </w:div>
          </w:divsChild>
        </w:div>
        <w:div w:id="2075270490">
          <w:marLeft w:val="0"/>
          <w:marRight w:val="0"/>
          <w:marTop w:val="0"/>
          <w:marBottom w:val="0"/>
          <w:divBdr>
            <w:top w:val="none" w:sz="0" w:space="0" w:color="auto"/>
            <w:left w:val="none" w:sz="0" w:space="0" w:color="auto"/>
            <w:bottom w:val="none" w:sz="0" w:space="0" w:color="auto"/>
            <w:right w:val="none" w:sz="0" w:space="0" w:color="auto"/>
          </w:divBdr>
          <w:divsChild>
            <w:div w:id="330718581">
              <w:marLeft w:val="0"/>
              <w:marRight w:val="0"/>
              <w:marTop w:val="0"/>
              <w:marBottom w:val="0"/>
              <w:divBdr>
                <w:top w:val="none" w:sz="0" w:space="0" w:color="auto"/>
                <w:left w:val="none" w:sz="0" w:space="0" w:color="auto"/>
                <w:bottom w:val="none" w:sz="0" w:space="0" w:color="auto"/>
                <w:right w:val="none" w:sz="0" w:space="0" w:color="auto"/>
              </w:divBdr>
              <w:divsChild>
                <w:div w:id="610286727">
                  <w:marLeft w:val="0"/>
                  <w:marRight w:val="0"/>
                  <w:marTop w:val="0"/>
                  <w:marBottom w:val="0"/>
                  <w:divBdr>
                    <w:top w:val="none" w:sz="0" w:space="0" w:color="auto"/>
                    <w:left w:val="none" w:sz="0" w:space="0" w:color="auto"/>
                    <w:bottom w:val="none" w:sz="0" w:space="0" w:color="auto"/>
                    <w:right w:val="none" w:sz="0" w:space="0" w:color="auto"/>
                  </w:divBdr>
                  <w:divsChild>
                    <w:div w:id="17547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028">
      <w:bodyDiv w:val="1"/>
      <w:marLeft w:val="0"/>
      <w:marRight w:val="0"/>
      <w:marTop w:val="0"/>
      <w:marBottom w:val="0"/>
      <w:divBdr>
        <w:top w:val="none" w:sz="0" w:space="0" w:color="auto"/>
        <w:left w:val="none" w:sz="0" w:space="0" w:color="auto"/>
        <w:bottom w:val="none" w:sz="0" w:space="0" w:color="auto"/>
        <w:right w:val="none" w:sz="0" w:space="0" w:color="auto"/>
      </w:divBdr>
      <w:divsChild>
        <w:div w:id="1677537500">
          <w:marLeft w:val="0"/>
          <w:marRight w:val="0"/>
          <w:marTop w:val="0"/>
          <w:marBottom w:val="0"/>
          <w:divBdr>
            <w:top w:val="none" w:sz="0" w:space="0" w:color="auto"/>
            <w:left w:val="none" w:sz="0" w:space="0" w:color="auto"/>
            <w:bottom w:val="none" w:sz="0" w:space="0" w:color="auto"/>
            <w:right w:val="none" w:sz="0" w:space="0" w:color="auto"/>
          </w:divBdr>
          <w:divsChild>
            <w:div w:id="363751457">
              <w:marLeft w:val="0"/>
              <w:marRight w:val="0"/>
              <w:marTop w:val="0"/>
              <w:marBottom w:val="0"/>
              <w:divBdr>
                <w:top w:val="none" w:sz="0" w:space="0" w:color="auto"/>
                <w:left w:val="none" w:sz="0" w:space="0" w:color="auto"/>
                <w:bottom w:val="none" w:sz="0" w:space="0" w:color="auto"/>
                <w:right w:val="none" w:sz="0" w:space="0" w:color="auto"/>
              </w:divBdr>
              <w:divsChild>
                <w:div w:id="749473430">
                  <w:marLeft w:val="0"/>
                  <w:marRight w:val="0"/>
                  <w:marTop w:val="0"/>
                  <w:marBottom w:val="0"/>
                  <w:divBdr>
                    <w:top w:val="none" w:sz="0" w:space="0" w:color="auto"/>
                    <w:left w:val="none" w:sz="0" w:space="0" w:color="auto"/>
                    <w:bottom w:val="none" w:sz="0" w:space="0" w:color="auto"/>
                    <w:right w:val="none" w:sz="0" w:space="0" w:color="auto"/>
                  </w:divBdr>
                  <w:divsChild>
                    <w:div w:id="1195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5512">
      <w:bodyDiv w:val="1"/>
      <w:marLeft w:val="0"/>
      <w:marRight w:val="0"/>
      <w:marTop w:val="0"/>
      <w:marBottom w:val="0"/>
      <w:divBdr>
        <w:top w:val="none" w:sz="0" w:space="0" w:color="auto"/>
        <w:left w:val="none" w:sz="0" w:space="0" w:color="auto"/>
        <w:bottom w:val="none" w:sz="0" w:space="0" w:color="auto"/>
        <w:right w:val="none" w:sz="0" w:space="0" w:color="auto"/>
      </w:divBdr>
      <w:divsChild>
        <w:div w:id="816144947">
          <w:marLeft w:val="0"/>
          <w:marRight w:val="0"/>
          <w:marTop w:val="0"/>
          <w:marBottom w:val="0"/>
          <w:divBdr>
            <w:top w:val="none" w:sz="0" w:space="0" w:color="auto"/>
            <w:left w:val="none" w:sz="0" w:space="0" w:color="auto"/>
            <w:bottom w:val="none" w:sz="0" w:space="0" w:color="auto"/>
            <w:right w:val="none" w:sz="0" w:space="0" w:color="auto"/>
          </w:divBdr>
          <w:divsChild>
            <w:div w:id="1578780792">
              <w:marLeft w:val="0"/>
              <w:marRight w:val="0"/>
              <w:marTop w:val="0"/>
              <w:marBottom w:val="0"/>
              <w:divBdr>
                <w:top w:val="none" w:sz="0" w:space="0" w:color="auto"/>
                <w:left w:val="none" w:sz="0" w:space="0" w:color="auto"/>
                <w:bottom w:val="none" w:sz="0" w:space="0" w:color="auto"/>
                <w:right w:val="none" w:sz="0" w:space="0" w:color="auto"/>
              </w:divBdr>
            </w:div>
          </w:divsChild>
        </w:div>
        <w:div w:id="53047364">
          <w:marLeft w:val="0"/>
          <w:marRight w:val="0"/>
          <w:marTop w:val="0"/>
          <w:marBottom w:val="0"/>
          <w:divBdr>
            <w:top w:val="none" w:sz="0" w:space="0" w:color="auto"/>
            <w:left w:val="none" w:sz="0" w:space="0" w:color="auto"/>
            <w:bottom w:val="none" w:sz="0" w:space="0" w:color="auto"/>
            <w:right w:val="none" w:sz="0" w:space="0" w:color="auto"/>
          </w:divBdr>
          <w:divsChild>
            <w:div w:id="1434322614">
              <w:marLeft w:val="0"/>
              <w:marRight w:val="0"/>
              <w:marTop w:val="0"/>
              <w:marBottom w:val="0"/>
              <w:divBdr>
                <w:top w:val="none" w:sz="0" w:space="0" w:color="auto"/>
                <w:left w:val="none" w:sz="0" w:space="0" w:color="auto"/>
                <w:bottom w:val="none" w:sz="0" w:space="0" w:color="auto"/>
                <w:right w:val="none" w:sz="0" w:space="0" w:color="auto"/>
              </w:divBdr>
              <w:divsChild>
                <w:div w:id="299308853">
                  <w:marLeft w:val="0"/>
                  <w:marRight w:val="0"/>
                  <w:marTop w:val="0"/>
                  <w:marBottom w:val="0"/>
                  <w:divBdr>
                    <w:top w:val="none" w:sz="0" w:space="0" w:color="auto"/>
                    <w:left w:val="none" w:sz="0" w:space="0" w:color="auto"/>
                    <w:bottom w:val="none" w:sz="0" w:space="0" w:color="auto"/>
                    <w:right w:val="none" w:sz="0" w:space="0" w:color="auto"/>
                  </w:divBdr>
                  <w:divsChild>
                    <w:div w:id="1754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97642">
      <w:bodyDiv w:val="1"/>
      <w:marLeft w:val="0"/>
      <w:marRight w:val="0"/>
      <w:marTop w:val="0"/>
      <w:marBottom w:val="0"/>
      <w:divBdr>
        <w:top w:val="none" w:sz="0" w:space="0" w:color="auto"/>
        <w:left w:val="none" w:sz="0" w:space="0" w:color="auto"/>
        <w:bottom w:val="none" w:sz="0" w:space="0" w:color="auto"/>
        <w:right w:val="none" w:sz="0" w:space="0" w:color="auto"/>
      </w:divBdr>
    </w:div>
    <w:div w:id="351149374">
      <w:bodyDiv w:val="1"/>
      <w:marLeft w:val="0"/>
      <w:marRight w:val="0"/>
      <w:marTop w:val="0"/>
      <w:marBottom w:val="0"/>
      <w:divBdr>
        <w:top w:val="none" w:sz="0" w:space="0" w:color="auto"/>
        <w:left w:val="none" w:sz="0" w:space="0" w:color="auto"/>
        <w:bottom w:val="none" w:sz="0" w:space="0" w:color="auto"/>
        <w:right w:val="none" w:sz="0" w:space="0" w:color="auto"/>
      </w:divBdr>
      <w:divsChild>
        <w:div w:id="777913371">
          <w:marLeft w:val="0"/>
          <w:marRight w:val="0"/>
          <w:marTop w:val="0"/>
          <w:marBottom w:val="0"/>
          <w:divBdr>
            <w:top w:val="none" w:sz="0" w:space="0" w:color="auto"/>
            <w:left w:val="none" w:sz="0" w:space="0" w:color="auto"/>
            <w:bottom w:val="none" w:sz="0" w:space="0" w:color="auto"/>
            <w:right w:val="none" w:sz="0" w:space="0" w:color="auto"/>
          </w:divBdr>
          <w:divsChild>
            <w:div w:id="278804321">
              <w:marLeft w:val="0"/>
              <w:marRight w:val="0"/>
              <w:marTop w:val="0"/>
              <w:marBottom w:val="0"/>
              <w:divBdr>
                <w:top w:val="none" w:sz="0" w:space="0" w:color="auto"/>
                <w:left w:val="none" w:sz="0" w:space="0" w:color="auto"/>
                <w:bottom w:val="none" w:sz="0" w:space="0" w:color="auto"/>
                <w:right w:val="none" w:sz="0" w:space="0" w:color="auto"/>
              </w:divBdr>
              <w:divsChild>
                <w:div w:id="1394037232">
                  <w:marLeft w:val="0"/>
                  <w:marRight w:val="0"/>
                  <w:marTop w:val="0"/>
                  <w:marBottom w:val="0"/>
                  <w:divBdr>
                    <w:top w:val="none" w:sz="0" w:space="0" w:color="auto"/>
                    <w:left w:val="none" w:sz="0" w:space="0" w:color="auto"/>
                    <w:bottom w:val="none" w:sz="0" w:space="0" w:color="auto"/>
                    <w:right w:val="none" w:sz="0" w:space="0" w:color="auto"/>
                  </w:divBdr>
                  <w:divsChild>
                    <w:div w:id="6286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15">
      <w:bodyDiv w:val="1"/>
      <w:marLeft w:val="0"/>
      <w:marRight w:val="0"/>
      <w:marTop w:val="0"/>
      <w:marBottom w:val="0"/>
      <w:divBdr>
        <w:top w:val="none" w:sz="0" w:space="0" w:color="auto"/>
        <w:left w:val="none" w:sz="0" w:space="0" w:color="auto"/>
        <w:bottom w:val="none" w:sz="0" w:space="0" w:color="auto"/>
        <w:right w:val="none" w:sz="0" w:space="0" w:color="auto"/>
      </w:divBdr>
      <w:divsChild>
        <w:div w:id="1006254191">
          <w:marLeft w:val="0"/>
          <w:marRight w:val="0"/>
          <w:marTop w:val="0"/>
          <w:marBottom w:val="0"/>
          <w:divBdr>
            <w:top w:val="none" w:sz="0" w:space="0" w:color="auto"/>
            <w:left w:val="none" w:sz="0" w:space="0" w:color="auto"/>
            <w:bottom w:val="none" w:sz="0" w:space="0" w:color="auto"/>
            <w:right w:val="none" w:sz="0" w:space="0" w:color="auto"/>
          </w:divBdr>
        </w:div>
        <w:div w:id="216210094">
          <w:marLeft w:val="0"/>
          <w:marRight w:val="0"/>
          <w:marTop w:val="0"/>
          <w:marBottom w:val="0"/>
          <w:divBdr>
            <w:top w:val="none" w:sz="0" w:space="0" w:color="auto"/>
            <w:left w:val="none" w:sz="0" w:space="0" w:color="auto"/>
            <w:bottom w:val="none" w:sz="0" w:space="0" w:color="auto"/>
            <w:right w:val="none" w:sz="0" w:space="0" w:color="auto"/>
          </w:divBdr>
        </w:div>
        <w:div w:id="89863129">
          <w:marLeft w:val="0"/>
          <w:marRight w:val="0"/>
          <w:marTop w:val="0"/>
          <w:marBottom w:val="0"/>
          <w:divBdr>
            <w:top w:val="none" w:sz="0" w:space="0" w:color="auto"/>
            <w:left w:val="none" w:sz="0" w:space="0" w:color="auto"/>
            <w:bottom w:val="none" w:sz="0" w:space="0" w:color="auto"/>
            <w:right w:val="none" w:sz="0" w:space="0" w:color="auto"/>
          </w:divBdr>
        </w:div>
        <w:div w:id="565918241">
          <w:marLeft w:val="0"/>
          <w:marRight w:val="0"/>
          <w:marTop w:val="0"/>
          <w:marBottom w:val="0"/>
          <w:divBdr>
            <w:top w:val="none" w:sz="0" w:space="0" w:color="auto"/>
            <w:left w:val="none" w:sz="0" w:space="0" w:color="auto"/>
            <w:bottom w:val="none" w:sz="0" w:space="0" w:color="auto"/>
            <w:right w:val="none" w:sz="0" w:space="0" w:color="auto"/>
          </w:divBdr>
        </w:div>
        <w:div w:id="478572803">
          <w:marLeft w:val="0"/>
          <w:marRight w:val="0"/>
          <w:marTop w:val="0"/>
          <w:marBottom w:val="0"/>
          <w:divBdr>
            <w:top w:val="none" w:sz="0" w:space="0" w:color="auto"/>
            <w:left w:val="none" w:sz="0" w:space="0" w:color="auto"/>
            <w:bottom w:val="none" w:sz="0" w:space="0" w:color="auto"/>
            <w:right w:val="none" w:sz="0" w:space="0" w:color="auto"/>
          </w:divBdr>
        </w:div>
      </w:divsChild>
    </w:div>
    <w:div w:id="439841131">
      <w:bodyDiv w:val="1"/>
      <w:marLeft w:val="0"/>
      <w:marRight w:val="0"/>
      <w:marTop w:val="0"/>
      <w:marBottom w:val="0"/>
      <w:divBdr>
        <w:top w:val="none" w:sz="0" w:space="0" w:color="auto"/>
        <w:left w:val="none" w:sz="0" w:space="0" w:color="auto"/>
        <w:bottom w:val="none" w:sz="0" w:space="0" w:color="auto"/>
        <w:right w:val="none" w:sz="0" w:space="0" w:color="auto"/>
      </w:divBdr>
      <w:divsChild>
        <w:div w:id="1842970030">
          <w:marLeft w:val="0"/>
          <w:marRight w:val="0"/>
          <w:marTop w:val="0"/>
          <w:marBottom w:val="0"/>
          <w:divBdr>
            <w:top w:val="none" w:sz="0" w:space="0" w:color="auto"/>
            <w:left w:val="none" w:sz="0" w:space="0" w:color="auto"/>
            <w:bottom w:val="none" w:sz="0" w:space="0" w:color="auto"/>
            <w:right w:val="none" w:sz="0" w:space="0" w:color="auto"/>
          </w:divBdr>
          <w:divsChild>
            <w:div w:id="607351589">
              <w:marLeft w:val="0"/>
              <w:marRight w:val="0"/>
              <w:marTop w:val="0"/>
              <w:marBottom w:val="0"/>
              <w:divBdr>
                <w:top w:val="none" w:sz="0" w:space="0" w:color="auto"/>
                <w:left w:val="none" w:sz="0" w:space="0" w:color="auto"/>
                <w:bottom w:val="none" w:sz="0" w:space="0" w:color="auto"/>
                <w:right w:val="none" w:sz="0" w:space="0" w:color="auto"/>
              </w:divBdr>
              <w:divsChild>
                <w:div w:id="1925841437">
                  <w:marLeft w:val="0"/>
                  <w:marRight w:val="0"/>
                  <w:marTop w:val="0"/>
                  <w:marBottom w:val="0"/>
                  <w:divBdr>
                    <w:top w:val="none" w:sz="0" w:space="0" w:color="auto"/>
                    <w:left w:val="none" w:sz="0" w:space="0" w:color="auto"/>
                    <w:bottom w:val="none" w:sz="0" w:space="0" w:color="auto"/>
                    <w:right w:val="none" w:sz="0" w:space="0" w:color="auto"/>
                  </w:divBdr>
                  <w:divsChild>
                    <w:div w:id="20725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6816">
      <w:bodyDiv w:val="1"/>
      <w:marLeft w:val="0"/>
      <w:marRight w:val="0"/>
      <w:marTop w:val="0"/>
      <w:marBottom w:val="0"/>
      <w:divBdr>
        <w:top w:val="none" w:sz="0" w:space="0" w:color="auto"/>
        <w:left w:val="none" w:sz="0" w:space="0" w:color="auto"/>
        <w:bottom w:val="none" w:sz="0" w:space="0" w:color="auto"/>
        <w:right w:val="none" w:sz="0" w:space="0" w:color="auto"/>
      </w:divBdr>
      <w:divsChild>
        <w:div w:id="749693686">
          <w:marLeft w:val="0"/>
          <w:marRight w:val="0"/>
          <w:marTop w:val="0"/>
          <w:marBottom w:val="0"/>
          <w:divBdr>
            <w:top w:val="none" w:sz="0" w:space="0" w:color="auto"/>
            <w:left w:val="none" w:sz="0" w:space="0" w:color="auto"/>
            <w:bottom w:val="none" w:sz="0" w:space="0" w:color="auto"/>
            <w:right w:val="none" w:sz="0" w:space="0" w:color="auto"/>
          </w:divBdr>
          <w:divsChild>
            <w:div w:id="905259275">
              <w:marLeft w:val="0"/>
              <w:marRight w:val="0"/>
              <w:marTop w:val="0"/>
              <w:marBottom w:val="0"/>
              <w:divBdr>
                <w:top w:val="none" w:sz="0" w:space="0" w:color="auto"/>
                <w:left w:val="none" w:sz="0" w:space="0" w:color="auto"/>
                <w:bottom w:val="none" w:sz="0" w:space="0" w:color="auto"/>
                <w:right w:val="none" w:sz="0" w:space="0" w:color="auto"/>
              </w:divBdr>
            </w:div>
          </w:divsChild>
        </w:div>
        <w:div w:id="196042673">
          <w:marLeft w:val="0"/>
          <w:marRight w:val="0"/>
          <w:marTop w:val="0"/>
          <w:marBottom w:val="0"/>
          <w:divBdr>
            <w:top w:val="none" w:sz="0" w:space="0" w:color="auto"/>
            <w:left w:val="none" w:sz="0" w:space="0" w:color="auto"/>
            <w:bottom w:val="none" w:sz="0" w:space="0" w:color="auto"/>
            <w:right w:val="none" w:sz="0" w:space="0" w:color="auto"/>
          </w:divBdr>
          <w:divsChild>
            <w:div w:id="223950138">
              <w:marLeft w:val="0"/>
              <w:marRight w:val="0"/>
              <w:marTop w:val="0"/>
              <w:marBottom w:val="0"/>
              <w:divBdr>
                <w:top w:val="none" w:sz="0" w:space="0" w:color="auto"/>
                <w:left w:val="none" w:sz="0" w:space="0" w:color="auto"/>
                <w:bottom w:val="none" w:sz="0" w:space="0" w:color="auto"/>
                <w:right w:val="none" w:sz="0" w:space="0" w:color="auto"/>
              </w:divBdr>
              <w:divsChild>
                <w:div w:id="762263469">
                  <w:marLeft w:val="0"/>
                  <w:marRight w:val="0"/>
                  <w:marTop w:val="0"/>
                  <w:marBottom w:val="0"/>
                  <w:divBdr>
                    <w:top w:val="none" w:sz="0" w:space="0" w:color="auto"/>
                    <w:left w:val="none" w:sz="0" w:space="0" w:color="auto"/>
                    <w:bottom w:val="none" w:sz="0" w:space="0" w:color="auto"/>
                    <w:right w:val="none" w:sz="0" w:space="0" w:color="auto"/>
                  </w:divBdr>
                  <w:divsChild>
                    <w:div w:id="284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098">
      <w:bodyDiv w:val="1"/>
      <w:marLeft w:val="0"/>
      <w:marRight w:val="0"/>
      <w:marTop w:val="0"/>
      <w:marBottom w:val="0"/>
      <w:divBdr>
        <w:top w:val="none" w:sz="0" w:space="0" w:color="auto"/>
        <w:left w:val="none" w:sz="0" w:space="0" w:color="auto"/>
        <w:bottom w:val="none" w:sz="0" w:space="0" w:color="auto"/>
        <w:right w:val="none" w:sz="0" w:space="0" w:color="auto"/>
      </w:divBdr>
    </w:div>
    <w:div w:id="681322839">
      <w:bodyDiv w:val="1"/>
      <w:marLeft w:val="0"/>
      <w:marRight w:val="0"/>
      <w:marTop w:val="0"/>
      <w:marBottom w:val="0"/>
      <w:divBdr>
        <w:top w:val="none" w:sz="0" w:space="0" w:color="auto"/>
        <w:left w:val="none" w:sz="0" w:space="0" w:color="auto"/>
        <w:bottom w:val="none" w:sz="0" w:space="0" w:color="auto"/>
        <w:right w:val="none" w:sz="0" w:space="0" w:color="auto"/>
      </w:divBdr>
    </w:div>
    <w:div w:id="693313744">
      <w:bodyDiv w:val="1"/>
      <w:marLeft w:val="0"/>
      <w:marRight w:val="0"/>
      <w:marTop w:val="0"/>
      <w:marBottom w:val="0"/>
      <w:divBdr>
        <w:top w:val="none" w:sz="0" w:space="0" w:color="auto"/>
        <w:left w:val="none" w:sz="0" w:space="0" w:color="auto"/>
        <w:bottom w:val="none" w:sz="0" w:space="0" w:color="auto"/>
        <w:right w:val="none" w:sz="0" w:space="0" w:color="auto"/>
      </w:divBdr>
    </w:div>
    <w:div w:id="814176873">
      <w:bodyDiv w:val="1"/>
      <w:marLeft w:val="0"/>
      <w:marRight w:val="0"/>
      <w:marTop w:val="0"/>
      <w:marBottom w:val="0"/>
      <w:divBdr>
        <w:top w:val="none" w:sz="0" w:space="0" w:color="auto"/>
        <w:left w:val="none" w:sz="0" w:space="0" w:color="auto"/>
        <w:bottom w:val="none" w:sz="0" w:space="0" w:color="auto"/>
        <w:right w:val="none" w:sz="0" w:space="0" w:color="auto"/>
      </w:divBdr>
    </w:div>
    <w:div w:id="844710104">
      <w:bodyDiv w:val="1"/>
      <w:marLeft w:val="0"/>
      <w:marRight w:val="0"/>
      <w:marTop w:val="0"/>
      <w:marBottom w:val="0"/>
      <w:divBdr>
        <w:top w:val="none" w:sz="0" w:space="0" w:color="auto"/>
        <w:left w:val="none" w:sz="0" w:space="0" w:color="auto"/>
        <w:bottom w:val="none" w:sz="0" w:space="0" w:color="auto"/>
        <w:right w:val="none" w:sz="0" w:space="0" w:color="auto"/>
      </w:divBdr>
      <w:divsChild>
        <w:div w:id="188221913">
          <w:marLeft w:val="0"/>
          <w:marRight w:val="0"/>
          <w:marTop w:val="0"/>
          <w:marBottom w:val="0"/>
          <w:divBdr>
            <w:top w:val="none" w:sz="0" w:space="0" w:color="auto"/>
            <w:left w:val="none" w:sz="0" w:space="0" w:color="auto"/>
            <w:bottom w:val="none" w:sz="0" w:space="0" w:color="auto"/>
            <w:right w:val="none" w:sz="0" w:space="0" w:color="auto"/>
          </w:divBdr>
        </w:div>
        <w:div w:id="1660886703">
          <w:marLeft w:val="0"/>
          <w:marRight w:val="0"/>
          <w:marTop w:val="0"/>
          <w:marBottom w:val="0"/>
          <w:divBdr>
            <w:top w:val="none" w:sz="0" w:space="0" w:color="auto"/>
            <w:left w:val="none" w:sz="0" w:space="0" w:color="auto"/>
            <w:bottom w:val="none" w:sz="0" w:space="0" w:color="auto"/>
            <w:right w:val="none" w:sz="0" w:space="0" w:color="auto"/>
          </w:divBdr>
        </w:div>
        <w:div w:id="886529453">
          <w:marLeft w:val="0"/>
          <w:marRight w:val="0"/>
          <w:marTop w:val="0"/>
          <w:marBottom w:val="0"/>
          <w:divBdr>
            <w:top w:val="none" w:sz="0" w:space="0" w:color="auto"/>
            <w:left w:val="none" w:sz="0" w:space="0" w:color="auto"/>
            <w:bottom w:val="none" w:sz="0" w:space="0" w:color="auto"/>
            <w:right w:val="none" w:sz="0" w:space="0" w:color="auto"/>
          </w:divBdr>
        </w:div>
        <w:div w:id="1810200002">
          <w:marLeft w:val="0"/>
          <w:marRight w:val="0"/>
          <w:marTop w:val="0"/>
          <w:marBottom w:val="0"/>
          <w:divBdr>
            <w:top w:val="none" w:sz="0" w:space="0" w:color="auto"/>
            <w:left w:val="none" w:sz="0" w:space="0" w:color="auto"/>
            <w:bottom w:val="none" w:sz="0" w:space="0" w:color="auto"/>
            <w:right w:val="none" w:sz="0" w:space="0" w:color="auto"/>
          </w:divBdr>
        </w:div>
        <w:div w:id="1244800708">
          <w:marLeft w:val="0"/>
          <w:marRight w:val="0"/>
          <w:marTop w:val="0"/>
          <w:marBottom w:val="0"/>
          <w:divBdr>
            <w:top w:val="none" w:sz="0" w:space="0" w:color="auto"/>
            <w:left w:val="none" w:sz="0" w:space="0" w:color="auto"/>
            <w:bottom w:val="none" w:sz="0" w:space="0" w:color="auto"/>
            <w:right w:val="none" w:sz="0" w:space="0" w:color="auto"/>
          </w:divBdr>
        </w:div>
      </w:divsChild>
    </w:div>
    <w:div w:id="941259157">
      <w:bodyDiv w:val="1"/>
      <w:marLeft w:val="0"/>
      <w:marRight w:val="0"/>
      <w:marTop w:val="0"/>
      <w:marBottom w:val="0"/>
      <w:divBdr>
        <w:top w:val="none" w:sz="0" w:space="0" w:color="auto"/>
        <w:left w:val="none" w:sz="0" w:space="0" w:color="auto"/>
        <w:bottom w:val="none" w:sz="0" w:space="0" w:color="auto"/>
        <w:right w:val="none" w:sz="0" w:space="0" w:color="auto"/>
      </w:divBdr>
      <w:divsChild>
        <w:div w:id="262687546">
          <w:marLeft w:val="0"/>
          <w:marRight w:val="0"/>
          <w:marTop w:val="0"/>
          <w:marBottom w:val="0"/>
          <w:divBdr>
            <w:top w:val="none" w:sz="0" w:space="0" w:color="auto"/>
            <w:left w:val="none" w:sz="0" w:space="0" w:color="auto"/>
            <w:bottom w:val="none" w:sz="0" w:space="0" w:color="auto"/>
            <w:right w:val="none" w:sz="0" w:space="0" w:color="auto"/>
          </w:divBdr>
        </w:div>
        <w:div w:id="78215208">
          <w:marLeft w:val="0"/>
          <w:marRight w:val="0"/>
          <w:marTop w:val="0"/>
          <w:marBottom w:val="0"/>
          <w:divBdr>
            <w:top w:val="none" w:sz="0" w:space="0" w:color="auto"/>
            <w:left w:val="none" w:sz="0" w:space="0" w:color="auto"/>
            <w:bottom w:val="none" w:sz="0" w:space="0" w:color="auto"/>
            <w:right w:val="none" w:sz="0" w:space="0" w:color="auto"/>
          </w:divBdr>
          <w:divsChild>
            <w:div w:id="1811744345">
              <w:marLeft w:val="0"/>
              <w:marRight w:val="0"/>
              <w:marTop w:val="0"/>
              <w:marBottom w:val="0"/>
              <w:divBdr>
                <w:top w:val="none" w:sz="0" w:space="0" w:color="auto"/>
                <w:left w:val="none" w:sz="0" w:space="0" w:color="auto"/>
                <w:bottom w:val="none" w:sz="0" w:space="0" w:color="auto"/>
                <w:right w:val="none" w:sz="0" w:space="0" w:color="auto"/>
              </w:divBdr>
              <w:divsChild>
                <w:div w:id="76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7634">
      <w:bodyDiv w:val="1"/>
      <w:marLeft w:val="0"/>
      <w:marRight w:val="0"/>
      <w:marTop w:val="0"/>
      <w:marBottom w:val="0"/>
      <w:divBdr>
        <w:top w:val="none" w:sz="0" w:space="0" w:color="auto"/>
        <w:left w:val="none" w:sz="0" w:space="0" w:color="auto"/>
        <w:bottom w:val="none" w:sz="0" w:space="0" w:color="auto"/>
        <w:right w:val="none" w:sz="0" w:space="0" w:color="auto"/>
      </w:divBdr>
    </w:div>
    <w:div w:id="1112280907">
      <w:bodyDiv w:val="1"/>
      <w:marLeft w:val="0"/>
      <w:marRight w:val="0"/>
      <w:marTop w:val="0"/>
      <w:marBottom w:val="0"/>
      <w:divBdr>
        <w:top w:val="none" w:sz="0" w:space="0" w:color="auto"/>
        <w:left w:val="none" w:sz="0" w:space="0" w:color="auto"/>
        <w:bottom w:val="none" w:sz="0" w:space="0" w:color="auto"/>
        <w:right w:val="none" w:sz="0" w:space="0" w:color="auto"/>
      </w:divBdr>
      <w:divsChild>
        <w:div w:id="1288120134">
          <w:marLeft w:val="0"/>
          <w:marRight w:val="0"/>
          <w:marTop w:val="0"/>
          <w:marBottom w:val="0"/>
          <w:divBdr>
            <w:top w:val="none" w:sz="0" w:space="0" w:color="auto"/>
            <w:left w:val="none" w:sz="0" w:space="0" w:color="auto"/>
            <w:bottom w:val="none" w:sz="0" w:space="0" w:color="auto"/>
            <w:right w:val="none" w:sz="0" w:space="0" w:color="auto"/>
          </w:divBdr>
          <w:divsChild>
            <w:div w:id="131798723">
              <w:marLeft w:val="0"/>
              <w:marRight w:val="0"/>
              <w:marTop w:val="0"/>
              <w:marBottom w:val="0"/>
              <w:divBdr>
                <w:top w:val="none" w:sz="0" w:space="0" w:color="auto"/>
                <w:left w:val="none" w:sz="0" w:space="0" w:color="auto"/>
                <w:bottom w:val="none" w:sz="0" w:space="0" w:color="auto"/>
                <w:right w:val="none" w:sz="0" w:space="0" w:color="auto"/>
              </w:divBdr>
              <w:divsChild>
                <w:div w:id="1677995902">
                  <w:marLeft w:val="0"/>
                  <w:marRight w:val="0"/>
                  <w:marTop w:val="0"/>
                  <w:marBottom w:val="0"/>
                  <w:divBdr>
                    <w:top w:val="none" w:sz="0" w:space="0" w:color="auto"/>
                    <w:left w:val="none" w:sz="0" w:space="0" w:color="auto"/>
                    <w:bottom w:val="none" w:sz="0" w:space="0" w:color="auto"/>
                    <w:right w:val="none" w:sz="0" w:space="0" w:color="auto"/>
                  </w:divBdr>
                  <w:divsChild>
                    <w:div w:id="216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2499">
      <w:bodyDiv w:val="1"/>
      <w:marLeft w:val="0"/>
      <w:marRight w:val="0"/>
      <w:marTop w:val="0"/>
      <w:marBottom w:val="0"/>
      <w:divBdr>
        <w:top w:val="none" w:sz="0" w:space="0" w:color="auto"/>
        <w:left w:val="none" w:sz="0" w:space="0" w:color="auto"/>
        <w:bottom w:val="none" w:sz="0" w:space="0" w:color="auto"/>
        <w:right w:val="none" w:sz="0" w:space="0" w:color="auto"/>
      </w:divBdr>
    </w:div>
    <w:div w:id="1299456732">
      <w:bodyDiv w:val="1"/>
      <w:marLeft w:val="0"/>
      <w:marRight w:val="0"/>
      <w:marTop w:val="0"/>
      <w:marBottom w:val="0"/>
      <w:divBdr>
        <w:top w:val="none" w:sz="0" w:space="0" w:color="auto"/>
        <w:left w:val="none" w:sz="0" w:space="0" w:color="auto"/>
        <w:bottom w:val="none" w:sz="0" w:space="0" w:color="auto"/>
        <w:right w:val="none" w:sz="0" w:space="0" w:color="auto"/>
      </w:divBdr>
    </w:div>
    <w:div w:id="1301033647">
      <w:bodyDiv w:val="1"/>
      <w:marLeft w:val="0"/>
      <w:marRight w:val="0"/>
      <w:marTop w:val="0"/>
      <w:marBottom w:val="0"/>
      <w:divBdr>
        <w:top w:val="none" w:sz="0" w:space="0" w:color="auto"/>
        <w:left w:val="none" w:sz="0" w:space="0" w:color="auto"/>
        <w:bottom w:val="none" w:sz="0" w:space="0" w:color="auto"/>
        <w:right w:val="none" w:sz="0" w:space="0" w:color="auto"/>
      </w:divBdr>
    </w:div>
    <w:div w:id="1305551421">
      <w:bodyDiv w:val="1"/>
      <w:marLeft w:val="0"/>
      <w:marRight w:val="0"/>
      <w:marTop w:val="0"/>
      <w:marBottom w:val="0"/>
      <w:divBdr>
        <w:top w:val="none" w:sz="0" w:space="0" w:color="auto"/>
        <w:left w:val="none" w:sz="0" w:space="0" w:color="auto"/>
        <w:bottom w:val="none" w:sz="0" w:space="0" w:color="auto"/>
        <w:right w:val="none" w:sz="0" w:space="0" w:color="auto"/>
      </w:divBdr>
    </w:div>
    <w:div w:id="1644458915">
      <w:bodyDiv w:val="1"/>
      <w:marLeft w:val="0"/>
      <w:marRight w:val="0"/>
      <w:marTop w:val="0"/>
      <w:marBottom w:val="0"/>
      <w:divBdr>
        <w:top w:val="none" w:sz="0" w:space="0" w:color="auto"/>
        <w:left w:val="none" w:sz="0" w:space="0" w:color="auto"/>
        <w:bottom w:val="none" w:sz="0" w:space="0" w:color="auto"/>
        <w:right w:val="none" w:sz="0" w:space="0" w:color="auto"/>
      </w:divBdr>
    </w:div>
    <w:div w:id="1670794357">
      <w:bodyDiv w:val="1"/>
      <w:marLeft w:val="0"/>
      <w:marRight w:val="0"/>
      <w:marTop w:val="0"/>
      <w:marBottom w:val="0"/>
      <w:divBdr>
        <w:top w:val="none" w:sz="0" w:space="0" w:color="auto"/>
        <w:left w:val="none" w:sz="0" w:space="0" w:color="auto"/>
        <w:bottom w:val="none" w:sz="0" w:space="0" w:color="auto"/>
        <w:right w:val="none" w:sz="0" w:space="0" w:color="auto"/>
      </w:divBdr>
    </w:div>
    <w:div w:id="1705711370">
      <w:bodyDiv w:val="1"/>
      <w:marLeft w:val="0"/>
      <w:marRight w:val="0"/>
      <w:marTop w:val="0"/>
      <w:marBottom w:val="0"/>
      <w:divBdr>
        <w:top w:val="none" w:sz="0" w:space="0" w:color="auto"/>
        <w:left w:val="none" w:sz="0" w:space="0" w:color="auto"/>
        <w:bottom w:val="none" w:sz="0" w:space="0" w:color="auto"/>
        <w:right w:val="none" w:sz="0" w:space="0" w:color="auto"/>
      </w:divBdr>
    </w:div>
    <w:div w:id="1771705205">
      <w:bodyDiv w:val="1"/>
      <w:marLeft w:val="0"/>
      <w:marRight w:val="0"/>
      <w:marTop w:val="0"/>
      <w:marBottom w:val="0"/>
      <w:divBdr>
        <w:top w:val="none" w:sz="0" w:space="0" w:color="auto"/>
        <w:left w:val="none" w:sz="0" w:space="0" w:color="auto"/>
        <w:bottom w:val="none" w:sz="0" w:space="0" w:color="auto"/>
        <w:right w:val="none" w:sz="0" w:space="0" w:color="auto"/>
      </w:divBdr>
    </w:div>
    <w:div w:id="1883707138">
      <w:bodyDiv w:val="1"/>
      <w:marLeft w:val="0"/>
      <w:marRight w:val="0"/>
      <w:marTop w:val="0"/>
      <w:marBottom w:val="0"/>
      <w:divBdr>
        <w:top w:val="none" w:sz="0" w:space="0" w:color="auto"/>
        <w:left w:val="none" w:sz="0" w:space="0" w:color="auto"/>
        <w:bottom w:val="none" w:sz="0" w:space="0" w:color="auto"/>
        <w:right w:val="none" w:sz="0" w:space="0" w:color="auto"/>
      </w:divBdr>
    </w:div>
    <w:div w:id="1963993976">
      <w:bodyDiv w:val="1"/>
      <w:marLeft w:val="0"/>
      <w:marRight w:val="0"/>
      <w:marTop w:val="0"/>
      <w:marBottom w:val="0"/>
      <w:divBdr>
        <w:top w:val="none" w:sz="0" w:space="0" w:color="auto"/>
        <w:left w:val="none" w:sz="0" w:space="0" w:color="auto"/>
        <w:bottom w:val="none" w:sz="0" w:space="0" w:color="auto"/>
        <w:right w:val="none" w:sz="0" w:space="0" w:color="auto"/>
      </w:divBdr>
    </w:div>
    <w:div w:id="2039309862">
      <w:bodyDiv w:val="1"/>
      <w:marLeft w:val="0"/>
      <w:marRight w:val="0"/>
      <w:marTop w:val="0"/>
      <w:marBottom w:val="0"/>
      <w:divBdr>
        <w:top w:val="none" w:sz="0" w:space="0" w:color="auto"/>
        <w:left w:val="none" w:sz="0" w:space="0" w:color="auto"/>
        <w:bottom w:val="none" w:sz="0" w:space="0" w:color="auto"/>
        <w:right w:val="none" w:sz="0" w:space="0" w:color="auto"/>
      </w:divBdr>
    </w:div>
    <w:div w:id="204520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tralianwomenshealth.org/resource/australias-international-gender-equality-strateg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fat.gov.au/publications/development/australias-international-development-policy" TargetMode="External"/><Relationship Id="rId17" Type="http://schemas.openxmlformats.org/officeDocument/2006/relationships/hyperlink" Target="http://www.australianwomenshealth.org" TargetMode="External"/><Relationship Id="rId2" Type="http://schemas.openxmlformats.org/officeDocument/2006/relationships/customXml" Target="../customXml/item2.xml"/><Relationship Id="rId16" Type="http://schemas.openxmlformats.org/officeDocument/2006/relationships/hyperlink" Target="mailto:Info@AustralianWomensHealth.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fat.gov.au/publications/publications/australias-humanitarian-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at.gov.au/sites/default/files/australias-international-disability-equity-and-rights-strategy.pdf"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ustralianwomenshealth.org/resource/australias-international-gender-equality-strategy/" TargetMode="External"/><Relationship Id="rId2" Type="http://schemas.openxmlformats.org/officeDocument/2006/relationships/hyperlink" Target="https://www.dfat.gov.au/publications/development/australias-international-development-policy" TargetMode="External"/><Relationship Id="rId1" Type="http://schemas.openxmlformats.org/officeDocument/2006/relationships/hyperlink" Target="https://www.ohchr.org/en/instruments-mechanisms/instruments/declaration-right-development" TargetMode="External"/><Relationship Id="rId5" Type="http://schemas.openxmlformats.org/officeDocument/2006/relationships/hyperlink" Target="https://www.dfat.gov.au/publications/publications/australias-humanitarian-policy" TargetMode="External"/><Relationship Id="rId4" Type="http://schemas.openxmlformats.org/officeDocument/2006/relationships/hyperlink" Target="https://www.dfat.gov.au/sites/default/files/australias-international-disability-equity-and-rights-strateg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Chair</DisplayName>
        <AccountId>10</AccountId>
        <AccountType/>
      </UserInfo>
      <UserInfo>
        <DisplayName>Sienna Aguilar</DisplayName>
        <AccountId>48</AccountId>
        <AccountType/>
      </UserInfo>
      <UserInfo>
        <DisplayName>Secretary</DisplayName>
        <AccountId>70</AccountId>
        <AccountType/>
      </UserInfo>
      <UserInfo>
        <DisplayName>Treasurer</DisplayName>
        <AccountId>47</AccountId>
        <AccountType/>
      </UserInfo>
      <UserInfo>
        <DisplayName>South Australia</DisplayName>
        <AccountId>302</AccountId>
        <AccountType/>
      </UserInfo>
      <UserInfo>
        <DisplayName>Tasmania</DisplayName>
        <AccountId>163</AccountId>
        <AccountType/>
      </UserInfo>
      <UserInfo>
        <DisplayName>Queensland</DisplayName>
        <AccountId>109</AccountId>
        <AccountType/>
      </UserInfo>
      <UserInfo>
        <DisplayName>SA</DisplayName>
        <AccountId>73</AccountId>
        <AccountType/>
      </UserInfo>
      <UserInfo>
        <DisplayName>TAS</DisplayName>
        <AccountId>85</AccountId>
        <AccountType/>
      </UserInfo>
      <UserInfo>
        <DisplayName>NSW</DisplayName>
        <AccountId>312</AccountId>
        <AccountType/>
      </UserInfo>
      <UserInfo>
        <DisplayName>QLD</DisplayName>
        <AccountId>78</AccountId>
        <AccountType/>
      </UserInfo>
      <UserInfo>
        <DisplayName>NT</DisplayName>
        <AccountId>301</AccountId>
        <AccountType/>
      </UserInfo>
      <UserInfo>
        <DisplayName>WA</DisplayName>
        <AccountId>98</AccountId>
        <AccountType/>
      </UserInfo>
      <UserInfo>
        <DisplayName>ACT</DisplayName>
        <AccountId>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Ed6C3kvkpIwKgY7nTbGbY8uKg==">CgMxLjAyCGguZ2pkZ3hzMgloLjMwajB6bGwyCWguMWZvYjl0ZTIJaC4zem55c2g3MgloLjJldDkycDAyCWguM2R5NnZrbTIJaC4xdDNoNXNmOAByITFjSE9ITE9jVWRSbDRLTmZqLWp2cGRVS3NkclNIX1djWg==</go:docsCustomData>
</go:gDocsCustomXmlDataStorage>
</file>

<file path=customXml/itemProps1.xml><?xml version="1.0" encoding="utf-8"?>
<ds:datastoreItem xmlns:ds="http://schemas.openxmlformats.org/officeDocument/2006/customXml" ds:itemID="{9C3C4154-8B95-4642-AED5-5140DC8F342C}">
  <ds:schemaRefs>
    <ds:schemaRef ds:uri="http://schemas.microsoft.com/sharepoint/v3/contenttype/forms"/>
  </ds:schemaRefs>
</ds:datastoreItem>
</file>

<file path=customXml/itemProps2.xml><?xml version="1.0" encoding="utf-8"?>
<ds:datastoreItem xmlns:ds="http://schemas.openxmlformats.org/officeDocument/2006/customXml" ds:itemID="{BEDE8DDE-F40E-47ED-A47F-B5A5DDE7A6BA}">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3.xml><?xml version="1.0" encoding="utf-8"?>
<ds:datastoreItem xmlns:ds="http://schemas.openxmlformats.org/officeDocument/2006/customXml" ds:itemID="{29B6D3B7-5707-4BC3-818E-95B13371C1D8}">
  <ds:schemaRefs>
    <ds:schemaRef ds:uri="http://schemas.openxmlformats.org/officeDocument/2006/bibliography"/>
  </ds:schemaRefs>
</ds:datastoreItem>
</file>

<file path=customXml/itemProps4.xml><?xml version="1.0" encoding="utf-8"?>
<ds:datastoreItem xmlns:ds="http://schemas.openxmlformats.org/officeDocument/2006/customXml" ds:itemID="{F2F67D81-3C7D-4123-A961-ACFFF6D3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1332</Words>
  <Characters>8901</Characters>
  <Application>Microsoft Office Word</Application>
  <DocSecurity>0</DocSecurity>
  <Lines>153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Women's Health Alliance</dc:creator>
  <cp:lastModifiedBy>Bonnie Laxton-Blinkhorn</cp:lastModifiedBy>
  <cp:revision>4</cp:revision>
  <dcterms:created xsi:type="dcterms:W3CDTF">2025-06-23T09:35:00Z</dcterms:created>
  <dcterms:modified xsi:type="dcterms:W3CDTF">2025-06-23T09:37:00Z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