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A5898" w14:textId="743E5671" w:rsidR="001A0EDE" w:rsidRPr="00F9514C" w:rsidRDefault="008B2FF0" w:rsidP="4F1B3A1F">
      <w:pPr>
        <w:pStyle w:val="Style1"/>
        <w:rPr>
          <w:rFonts w:ascii="Rubik" w:eastAsia="Rubik regular" w:hAnsi="Rubik" w:cs="Rubik regular"/>
        </w:rPr>
      </w:pPr>
      <w:r w:rsidRPr="00F9514C">
        <w:rPr>
          <w:rFonts w:ascii="Rubik" w:eastAsia="Rubik regular" w:hAnsi="Rubik" w:cs="Rubik regular"/>
        </w:rPr>
        <w:t>Thought Leadership Series</w:t>
      </w:r>
    </w:p>
    <w:p w14:paraId="717C80A3" w14:textId="168733ED" w:rsidR="002A7500" w:rsidRPr="00F9514C" w:rsidRDefault="008B2FF0" w:rsidP="000377AE">
      <w:pPr>
        <w:pStyle w:val="Heading2"/>
        <w:spacing w:after="0"/>
        <w:rPr>
          <w:rFonts w:ascii="Rubik" w:hAnsi="Rubik"/>
        </w:rPr>
      </w:pPr>
      <w:bookmarkStart w:id="0" w:name="_usdc0nj6twdp" w:colFirst="0" w:colLast="0"/>
      <w:bookmarkEnd w:id="0"/>
      <w:r w:rsidRPr="00F9514C">
        <w:rPr>
          <w:rFonts w:ascii="Rubik" w:hAnsi="Rubik"/>
        </w:rPr>
        <w:t>The Impact of NDIS Reforms on Women and Gender Diverse People</w:t>
      </w:r>
    </w:p>
    <w:p w14:paraId="6A7491D1" w14:textId="5D63FAC7" w:rsidR="000377AE" w:rsidRPr="000377AE" w:rsidRDefault="000377AE" w:rsidP="000377AE"/>
    <w:p w14:paraId="14CF2864" w14:textId="6F036D14" w:rsidR="001A0EDE" w:rsidRPr="00F9514C" w:rsidRDefault="001A0EDE" w:rsidP="000377AE">
      <w:pPr>
        <w:pStyle w:val="Heading3"/>
        <w:rPr>
          <w:rFonts w:ascii="Rubik" w:hAnsi="Rubik"/>
        </w:rPr>
      </w:pPr>
      <w:r w:rsidRPr="00F9514C">
        <w:rPr>
          <w:rFonts w:ascii="Rubik" w:hAnsi="Rubik"/>
        </w:rPr>
        <w:t>Key messages</w:t>
      </w:r>
    </w:p>
    <w:p w14:paraId="2C144528" w14:textId="72FB8303" w:rsidR="00E52680" w:rsidRPr="00E52680" w:rsidRDefault="00E52680" w:rsidP="00E52680">
      <w:pPr>
        <w:pStyle w:val="ListParagraph"/>
        <w:numPr>
          <w:ilvl w:val="0"/>
          <w:numId w:val="1"/>
        </w:numPr>
        <w:rPr>
          <w:sz w:val="22"/>
          <w:szCs w:val="22"/>
        </w:rPr>
      </w:pPr>
      <w:bookmarkStart w:id="1" w:name="_w8pe7jwkws39" w:colFirst="0" w:colLast="0"/>
      <w:bookmarkEnd w:id="1"/>
      <w:r>
        <w:rPr>
          <w:sz w:val="22"/>
          <w:szCs w:val="22"/>
        </w:rPr>
        <w:t xml:space="preserve">Women with disabilities suffer greater social, economic and health impacts than their counterparts including their experience of violence. </w:t>
      </w:r>
    </w:p>
    <w:p w14:paraId="69DF169B" w14:textId="6AED48F1" w:rsidR="001A0EDE" w:rsidRDefault="00E52680" w:rsidP="002A7500">
      <w:pPr>
        <w:pStyle w:val="ListParagraph"/>
        <w:numPr>
          <w:ilvl w:val="0"/>
          <w:numId w:val="1"/>
        </w:numPr>
        <w:rPr>
          <w:sz w:val="22"/>
          <w:szCs w:val="22"/>
        </w:rPr>
      </w:pPr>
      <w:r>
        <w:rPr>
          <w:sz w:val="22"/>
          <w:szCs w:val="22"/>
        </w:rPr>
        <w:t xml:space="preserve">The proposed NDIS reforms need to be more carefully assessed for their impact on women and gender diverse people both as recipients and carers. </w:t>
      </w:r>
    </w:p>
    <w:p w14:paraId="2E733451" w14:textId="77777777" w:rsidR="001A0EDE" w:rsidRPr="000E4EE5" w:rsidRDefault="001A0EDE" w:rsidP="002A7500">
      <w:pPr>
        <w:pStyle w:val="Title"/>
        <w:rPr>
          <w:sz w:val="22"/>
          <w:szCs w:val="22"/>
        </w:rPr>
      </w:pPr>
    </w:p>
    <w:p w14:paraId="14AAD282" w14:textId="77777777" w:rsidR="001A0EDE" w:rsidRPr="00F9514C" w:rsidRDefault="001A0EDE" w:rsidP="00302CFE">
      <w:pPr>
        <w:pStyle w:val="Heading3"/>
        <w:rPr>
          <w:rFonts w:ascii="Rubik" w:hAnsi="Rubik"/>
        </w:rPr>
      </w:pPr>
      <w:bookmarkStart w:id="2" w:name="_6orn3b6nvj35" w:colFirst="0" w:colLast="0"/>
      <w:bookmarkEnd w:id="2"/>
      <w:r w:rsidRPr="00F9514C">
        <w:rPr>
          <w:rFonts w:ascii="Rubik" w:hAnsi="Rubik"/>
        </w:rPr>
        <w:t xml:space="preserve">Purpose of this brief </w:t>
      </w:r>
    </w:p>
    <w:p w14:paraId="785A78D9" w14:textId="01F95B68" w:rsidR="001A0EDE" w:rsidRPr="00F40B41" w:rsidRDefault="001A0EDE" w:rsidP="002A7500">
      <w:pPr>
        <w:rPr>
          <w:sz w:val="22"/>
          <w:szCs w:val="22"/>
        </w:rPr>
      </w:pPr>
      <w:r w:rsidRPr="00F40B41">
        <w:rPr>
          <w:sz w:val="22"/>
          <w:szCs w:val="22"/>
        </w:rPr>
        <w:t xml:space="preserve">Australian Women’s Health </w:t>
      </w:r>
      <w:r>
        <w:rPr>
          <w:sz w:val="22"/>
          <w:szCs w:val="22"/>
        </w:rPr>
        <w:t>Alliance</w:t>
      </w:r>
      <w:r w:rsidRPr="00F40B41">
        <w:rPr>
          <w:sz w:val="22"/>
          <w:szCs w:val="22"/>
        </w:rPr>
        <w:t xml:space="preserve"> works to articulate the policies and actions necessary to improve health outcomes for women</w:t>
      </w:r>
      <w:r w:rsidR="009D6BEB">
        <w:rPr>
          <w:sz w:val="22"/>
          <w:szCs w:val="22"/>
        </w:rPr>
        <w:t xml:space="preserve"> and gender diverse people</w:t>
      </w:r>
      <w:r w:rsidRPr="00F40B41">
        <w:rPr>
          <w:sz w:val="22"/>
          <w:szCs w:val="22"/>
        </w:rPr>
        <w:t xml:space="preserve">. The purpose of this brief is to put a gender lens over barriers to </w:t>
      </w:r>
      <w:r w:rsidR="009D6BEB">
        <w:rPr>
          <w:color w:val="000000" w:themeColor="text1"/>
          <w:sz w:val="22"/>
          <w:szCs w:val="22"/>
        </w:rPr>
        <w:t xml:space="preserve">the proposed NDIS reforms and how these will potentially impact women’s health equity. </w:t>
      </w:r>
      <w:r w:rsidRPr="008B2FF0">
        <w:rPr>
          <w:color w:val="000000" w:themeColor="text1"/>
          <w:sz w:val="22"/>
          <w:szCs w:val="22"/>
        </w:rPr>
        <w:t xml:space="preserve"> </w:t>
      </w:r>
    </w:p>
    <w:p w14:paraId="08E66976" w14:textId="77777777" w:rsidR="001A0EDE" w:rsidRDefault="001A0EDE" w:rsidP="002A7500">
      <w:pPr>
        <w:rPr>
          <w:rFonts w:ascii="Rubik" w:eastAsia="Rubik" w:hAnsi="Rubik" w:cs="Rubik"/>
          <w:color w:val="5A006F"/>
          <w:sz w:val="18"/>
          <w:szCs w:val="18"/>
        </w:rPr>
      </w:pPr>
    </w:p>
    <w:p w14:paraId="0A689223" w14:textId="3ABE8DFA" w:rsidR="001A0EDE" w:rsidRPr="00F9514C" w:rsidRDefault="008B2FF0" w:rsidP="00302CFE">
      <w:pPr>
        <w:pStyle w:val="Heading3"/>
        <w:rPr>
          <w:rFonts w:ascii="Rubik" w:hAnsi="Rubik"/>
        </w:rPr>
      </w:pPr>
      <w:bookmarkStart w:id="3" w:name="_gyf4cpl5u5vu" w:colFirst="0" w:colLast="0"/>
      <w:bookmarkEnd w:id="3"/>
      <w:r w:rsidRPr="00F9514C">
        <w:rPr>
          <w:rFonts w:ascii="Rubik" w:hAnsi="Rubik"/>
        </w:rPr>
        <w:t>Background of the Proposed Changes to the NDIS</w:t>
      </w:r>
    </w:p>
    <w:p w14:paraId="5E7407D5" w14:textId="76B40EED" w:rsidR="008B2FF0" w:rsidRPr="008B2FF0" w:rsidRDefault="008B2FF0" w:rsidP="008B2FF0">
      <w:pPr>
        <w:rPr>
          <w:rFonts w:ascii="Segoe UI" w:eastAsia="Times New Roman" w:hAnsi="Segoe UI" w:cs="Segoe UI"/>
          <w:color w:val="000000" w:themeColor="text1"/>
          <w:shd w:val="clear" w:color="auto" w:fill="FFFFFF"/>
          <w:lang w:eastAsia="en-GB"/>
        </w:rPr>
      </w:pPr>
      <w:r w:rsidRPr="0075202F">
        <w:rPr>
          <w:rFonts w:ascii="Segoe UI" w:eastAsia="Times New Roman" w:hAnsi="Segoe UI" w:cs="Segoe UI"/>
          <w:color w:val="000000" w:themeColor="text1"/>
          <w:shd w:val="clear" w:color="auto" w:fill="FFFFFF"/>
          <w:lang w:eastAsia="en-GB"/>
        </w:rPr>
        <w:t xml:space="preserve">The Australian Government has introduced the National Disability Insurance Scheme Amendment (Securing the NDIS for Future Generations) Bill. This Bill enables </w:t>
      </w:r>
      <w:r w:rsidRPr="008B2FF0">
        <w:rPr>
          <w:rFonts w:ascii="Segoe UI" w:eastAsia="Times New Roman" w:hAnsi="Segoe UI" w:cs="Segoe UI"/>
          <w:color w:val="000000" w:themeColor="text1"/>
          <w:shd w:val="clear" w:color="auto" w:fill="FFFFFF"/>
          <w:lang w:eastAsia="en-GB"/>
        </w:rPr>
        <w:t>the government to</w:t>
      </w:r>
      <w:r w:rsidRPr="0075202F">
        <w:rPr>
          <w:rFonts w:ascii="Segoe UI" w:eastAsia="Times New Roman" w:hAnsi="Segoe UI" w:cs="Segoe UI"/>
          <w:color w:val="000000" w:themeColor="text1"/>
          <w:shd w:val="clear" w:color="auto" w:fill="FFFFFF"/>
          <w:lang w:eastAsia="en-GB"/>
        </w:rPr>
        <w:t xml:space="preserve"> make the changes needed to protect the NDIS for people with permanent and significant disability and for future generations who will rely on it.</w:t>
      </w:r>
      <w:r w:rsidRPr="008B2FF0">
        <w:rPr>
          <w:rFonts w:ascii="Segoe UI" w:eastAsia="Times New Roman" w:hAnsi="Segoe UI" w:cs="Segoe UI"/>
          <w:color w:val="000000" w:themeColor="text1"/>
          <w:shd w:val="clear" w:color="auto" w:fill="FFFFFF"/>
          <w:lang w:eastAsia="en-GB"/>
        </w:rPr>
        <w:t xml:space="preserve"> However, these changes will have consequences for many people already accessing services, who are currently being assessed and for those needing access in the future. Women and gender diverse people are one group that will be left vulnerable by the changes being introduced. Some of these changes proposed by the Government are tabled below.</w:t>
      </w:r>
      <w:r w:rsidR="00D90232">
        <w:rPr>
          <w:rStyle w:val="FootnoteReference"/>
          <w:rFonts w:ascii="Segoe UI" w:eastAsia="Times New Roman" w:hAnsi="Segoe UI" w:cs="Segoe UI"/>
          <w:color w:val="000000" w:themeColor="text1"/>
          <w:shd w:val="clear" w:color="auto" w:fill="FFFFFF"/>
          <w:lang w:eastAsia="en-GB"/>
        </w:rPr>
        <w:footnoteReference w:id="1"/>
      </w:r>
      <w:r w:rsidRPr="008B2FF0">
        <w:rPr>
          <w:rFonts w:ascii="Segoe UI" w:eastAsia="Times New Roman" w:hAnsi="Segoe UI" w:cs="Segoe UI"/>
          <w:color w:val="000000" w:themeColor="text1"/>
          <w:shd w:val="clear" w:color="auto" w:fill="FFFFFF"/>
          <w:lang w:eastAsia="en-GB"/>
        </w:rPr>
        <w:t xml:space="preserve"> </w:t>
      </w:r>
    </w:p>
    <w:p w14:paraId="28D07E52" w14:textId="618ADA1E" w:rsidR="008B2FF0" w:rsidRDefault="008B2FF0" w:rsidP="008B2FF0">
      <w:pPr>
        <w:rPr>
          <w:rFonts w:ascii="Segoe UI" w:eastAsia="Times New Roman" w:hAnsi="Segoe UI" w:cs="Segoe UI"/>
          <w:color w:val="313131"/>
          <w:shd w:val="clear" w:color="auto" w:fill="FFFFFF"/>
          <w:lang w:eastAsia="en-GB"/>
        </w:rPr>
      </w:pPr>
    </w:p>
    <w:p w14:paraId="439139EB" w14:textId="77777777" w:rsidR="008B2FF0" w:rsidRDefault="008B2FF0" w:rsidP="008B2FF0"/>
    <w:tbl>
      <w:tblPr>
        <w:tblW w:w="0" w:type="auto"/>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2227"/>
        <w:gridCol w:w="5400"/>
        <w:gridCol w:w="1432"/>
      </w:tblGrid>
      <w:tr w:rsidR="008B2FF0" w:rsidRPr="0075202F" w14:paraId="371448FF" w14:textId="77777777" w:rsidTr="00A62AA8">
        <w:tc>
          <w:tcPr>
            <w:tcW w:w="0" w:type="auto"/>
            <w:tcBorders>
              <w:bottom w:val="single" w:sz="6" w:space="0" w:color="CCCCCC"/>
            </w:tcBorders>
            <w:shd w:val="clear" w:color="auto" w:fill="FFFFFF"/>
            <w:hideMark/>
          </w:tcPr>
          <w:p w14:paraId="3567B9C6"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b/>
                <w:bCs/>
                <w:color w:val="313131"/>
                <w:lang w:eastAsia="en-GB"/>
              </w:rPr>
              <w:t>What is changing?</w:t>
            </w:r>
          </w:p>
        </w:tc>
        <w:tc>
          <w:tcPr>
            <w:tcW w:w="0" w:type="auto"/>
            <w:tcBorders>
              <w:bottom w:val="single" w:sz="6" w:space="0" w:color="CCCCCC"/>
            </w:tcBorders>
            <w:shd w:val="clear" w:color="auto" w:fill="FFFFFF"/>
            <w:hideMark/>
          </w:tcPr>
          <w:p w14:paraId="674EACC1"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b/>
                <w:bCs/>
                <w:color w:val="313131"/>
                <w:lang w:eastAsia="en-GB"/>
              </w:rPr>
              <w:t>What does this mean for people accessing the NDIS?</w:t>
            </w:r>
          </w:p>
        </w:tc>
        <w:tc>
          <w:tcPr>
            <w:tcW w:w="0" w:type="auto"/>
            <w:tcBorders>
              <w:bottom w:val="single" w:sz="6" w:space="0" w:color="CCCCCC"/>
            </w:tcBorders>
            <w:shd w:val="clear" w:color="auto" w:fill="FFFFFF"/>
            <w:hideMark/>
          </w:tcPr>
          <w:p w14:paraId="5046616C"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b/>
                <w:bCs/>
                <w:color w:val="313131"/>
                <w:lang w:eastAsia="en-GB"/>
              </w:rPr>
              <w:t>When is the change starting? </w:t>
            </w:r>
          </w:p>
        </w:tc>
      </w:tr>
      <w:tr w:rsidR="008B2FF0" w:rsidRPr="0075202F" w14:paraId="5673F89A" w14:textId="77777777" w:rsidTr="00A62AA8">
        <w:tc>
          <w:tcPr>
            <w:tcW w:w="0" w:type="auto"/>
            <w:tcBorders>
              <w:bottom w:val="single" w:sz="6" w:space="0" w:color="CCCCCC"/>
            </w:tcBorders>
            <w:shd w:val="clear" w:color="auto" w:fill="FFFFFF"/>
            <w:hideMark/>
          </w:tcPr>
          <w:p w14:paraId="20413388"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t>Participant support budgets for some supports will be reset. </w:t>
            </w:r>
          </w:p>
        </w:tc>
        <w:tc>
          <w:tcPr>
            <w:tcW w:w="0" w:type="auto"/>
            <w:tcBorders>
              <w:bottom w:val="single" w:sz="6" w:space="0" w:color="CCCCCC"/>
            </w:tcBorders>
            <w:shd w:val="clear" w:color="auto" w:fill="FFFFFF"/>
            <w:hideMark/>
          </w:tcPr>
          <w:p w14:paraId="0062BA88"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t>When your plan comes up for renewal or reassessment your social, civic and community participation supports and capacity building daily activities will be reset. There will be no changes to budgets for critical supports. </w:t>
            </w:r>
          </w:p>
        </w:tc>
        <w:tc>
          <w:tcPr>
            <w:tcW w:w="0" w:type="auto"/>
            <w:tcBorders>
              <w:bottom w:val="single" w:sz="6" w:space="0" w:color="CCCCCC"/>
            </w:tcBorders>
            <w:shd w:val="clear" w:color="auto" w:fill="FFFFFF"/>
            <w:hideMark/>
          </w:tcPr>
          <w:p w14:paraId="669AA9E1"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t>1 October 2026 </w:t>
            </w:r>
          </w:p>
        </w:tc>
      </w:tr>
      <w:tr w:rsidR="008B2FF0" w:rsidRPr="0075202F" w14:paraId="05E9076D" w14:textId="77777777" w:rsidTr="00A62AA8">
        <w:tc>
          <w:tcPr>
            <w:tcW w:w="0" w:type="auto"/>
            <w:tcBorders>
              <w:bottom w:val="single" w:sz="6" w:space="0" w:color="CCCCCC"/>
            </w:tcBorders>
            <w:shd w:val="clear" w:color="auto" w:fill="FFFFFF"/>
            <w:hideMark/>
          </w:tcPr>
          <w:p w14:paraId="3A150855"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t>Reasonable and necessary supports will be made clearer.</w:t>
            </w:r>
          </w:p>
        </w:tc>
        <w:tc>
          <w:tcPr>
            <w:tcW w:w="0" w:type="auto"/>
            <w:tcBorders>
              <w:bottom w:val="single" w:sz="6" w:space="0" w:color="CCCCCC"/>
            </w:tcBorders>
            <w:shd w:val="clear" w:color="auto" w:fill="FFFFFF"/>
            <w:hideMark/>
          </w:tcPr>
          <w:p w14:paraId="53ED7D4B"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t xml:space="preserve">When you go through the planning process the NDIA will look at the new criteria to decide what supports are reasonable and necessary to fund. The NDIA will consider </w:t>
            </w:r>
            <w:r w:rsidRPr="0075202F">
              <w:rPr>
                <w:rFonts w:ascii="Segoe UI" w:eastAsia="Times New Roman" w:hAnsi="Segoe UI" w:cs="Segoe UI"/>
                <w:color w:val="313131"/>
                <w:lang w:eastAsia="en-GB"/>
              </w:rPr>
              <w:lastRenderedPageBreak/>
              <w:t>this the same way across participants with similar needs and circumstances. </w:t>
            </w:r>
          </w:p>
        </w:tc>
        <w:tc>
          <w:tcPr>
            <w:tcW w:w="0" w:type="auto"/>
            <w:tcBorders>
              <w:bottom w:val="single" w:sz="6" w:space="0" w:color="CCCCCC"/>
            </w:tcBorders>
            <w:shd w:val="clear" w:color="auto" w:fill="FFFFFF"/>
            <w:hideMark/>
          </w:tcPr>
          <w:p w14:paraId="58EC8CF9"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lastRenderedPageBreak/>
              <w:t>1 February 2027 </w:t>
            </w:r>
          </w:p>
        </w:tc>
      </w:tr>
      <w:tr w:rsidR="008B2FF0" w:rsidRPr="0075202F" w14:paraId="2807A548" w14:textId="77777777" w:rsidTr="00A62AA8">
        <w:tc>
          <w:tcPr>
            <w:tcW w:w="0" w:type="auto"/>
            <w:tcBorders>
              <w:bottom w:val="single" w:sz="6" w:space="0" w:color="CCCCCC"/>
            </w:tcBorders>
            <w:shd w:val="clear" w:color="auto" w:fill="FFFFFF"/>
            <w:hideMark/>
          </w:tcPr>
          <w:p w14:paraId="57CE8157" w14:textId="4120CAF4"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t>Participants will start to transition to the new way of planning. This is</w:t>
            </w:r>
            <w:r>
              <w:rPr>
                <w:rFonts w:ascii="Segoe UI" w:eastAsia="Times New Roman" w:hAnsi="Segoe UI" w:cs="Segoe UI"/>
                <w:color w:val="313131"/>
                <w:lang w:eastAsia="en-GB"/>
              </w:rPr>
              <w:t xml:space="preserve"> </w:t>
            </w:r>
            <w:r w:rsidRPr="0075202F">
              <w:rPr>
                <w:rFonts w:ascii="Segoe UI" w:eastAsia="Times New Roman" w:hAnsi="Segoe UI" w:cs="Segoe UI"/>
                <w:color w:val="313131"/>
                <w:lang w:eastAsia="en-GB"/>
              </w:rPr>
              <w:t>called new framework planning.</w:t>
            </w:r>
          </w:p>
        </w:tc>
        <w:tc>
          <w:tcPr>
            <w:tcW w:w="0" w:type="auto"/>
            <w:tcBorders>
              <w:bottom w:val="single" w:sz="6" w:space="0" w:color="CCCCCC"/>
            </w:tcBorders>
            <w:shd w:val="clear" w:color="auto" w:fill="FFFFFF"/>
            <w:hideMark/>
          </w:tcPr>
          <w:p w14:paraId="2844CEE8" w14:textId="3A037B59"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t>New framework planning will provide fairer and more consistent plans through a new assessment process, called the support needs assessment. This assessment will consider your support needs based on your functional capacity, life</w:t>
            </w:r>
            <w:r>
              <w:rPr>
                <w:rFonts w:ascii="Segoe UI" w:eastAsia="Times New Roman" w:hAnsi="Segoe UI" w:cs="Segoe UI"/>
                <w:color w:val="313131"/>
                <w:lang w:eastAsia="en-GB"/>
              </w:rPr>
              <w:t xml:space="preserve"> s</w:t>
            </w:r>
            <w:r w:rsidRPr="0075202F">
              <w:rPr>
                <w:rFonts w:ascii="Segoe UI" w:eastAsia="Times New Roman" w:hAnsi="Segoe UI" w:cs="Segoe UI"/>
                <w:color w:val="313131"/>
                <w:lang w:eastAsia="en-GB"/>
              </w:rPr>
              <w:t>tage and other environmental factors. This assessment will be the new way we make plan budgets. It will not be used to determine access to the scheme. </w:t>
            </w:r>
          </w:p>
        </w:tc>
        <w:tc>
          <w:tcPr>
            <w:tcW w:w="0" w:type="auto"/>
            <w:tcBorders>
              <w:bottom w:val="single" w:sz="6" w:space="0" w:color="CCCCCC"/>
            </w:tcBorders>
            <w:shd w:val="clear" w:color="auto" w:fill="FFFFFF"/>
            <w:hideMark/>
          </w:tcPr>
          <w:p w14:paraId="72C26E20"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t>1 April 2027</w:t>
            </w:r>
          </w:p>
        </w:tc>
      </w:tr>
      <w:tr w:rsidR="008B2FF0" w:rsidRPr="0075202F" w14:paraId="1B5DF199" w14:textId="77777777" w:rsidTr="00A62AA8">
        <w:tc>
          <w:tcPr>
            <w:tcW w:w="0" w:type="auto"/>
            <w:tcBorders>
              <w:bottom w:val="single" w:sz="6" w:space="0" w:color="CCCCCC"/>
            </w:tcBorders>
            <w:shd w:val="clear" w:color="auto" w:fill="FFFFFF"/>
            <w:hideMark/>
          </w:tcPr>
          <w:p w14:paraId="485C851C"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t>Providers of higher risk supports will need to be registered. </w:t>
            </w:r>
          </w:p>
        </w:tc>
        <w:tc>
          <w:tcPr>
            <w:tcW w:w="0" w:type="auto"/>
            <w:tcBorders>
              <w:bottom w:val="single" w:sz="6" w:space="0" w:color="CCCCCC"/>
            </w:tcBorders>
            <w:shd w:val="clear" w:color="auto" w:fill="FFFFFF"/>
            <w:hideMark/>
          </w:tcPr>
          <w:p w14:paraId="206B67BA"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t xml:space="preserve">All people who receive </w:t>
            </w:r>
            <w:proofErr w:type="gramStart"/>
            <w:r w:rsidRPr="0075202F">
              <w:rPr>
                <w:rFonts w:ascii="Segoe UI" w:eastAsia="Times New Roman" w:hAnsi="Segoe UI" w:cs="Segoe UI"/>
                <w:color w:val="313131"/>
                <w:lang w:eastAsia="en-GB"/>
              </w:rPr>
              <w:t>higher-risk</w:t>
            </w:r>
            <w:proofErr w:type="gramEnd"/>
            <w:r w:rsidRPr="0075202F">
              <w:rPr>
                <w:rFonts w:ascii="Segoe UI" w:eastAsia="Times New Roman" w:hAnsi="Segoe UI" w:cs="Segoe UI"/>
                <w:color w:val="313131"/>
                <w:lang w:eastAsia="en-GB"/>
              </w:rPr>
              <w:t xml:space="preserve"> supports will need to choose a registered provider for those supports. This might include personal </w:t>
            </w:r>
            <w:proofErr w:type="gramStart"/>
            <w:r w:rsidRPr="0075202F">
              <w:rPr>
                <w:rFonts w:ascii="Segoe UI" w:eastAsia="Times New Roman" w:hAnsi="Segoe UI" w:cs="Segoe UI"/>
                <w:color w:val="313131"/>
                <w:lang w:eastAsia="en-GB"/>
              </w:rPr>
              <w:t>care,</w:t>
            </w:r>
            <w:proofErr w:type="gramEnd"/>
            <w:r w:rsidRPr="0075202F">
              <w:rPr>
                <w:rFonts w:ascii="Segoe UI" w:eastAsia="Times New Roman" w:hAnsi="Segoe UI" w:cs="Segoe UI"/>
                <w:color w:val="313131"/>
                <w:lang w:eastAsia="en-GB"/>
              </w:rPr>
              <w:t xml:space="preserve"> daily living supports and support provided in closed settings. We will help you to identify registered providers who can deliver these supports in your area. You will still be able to choose unregistered providers for other, lower risk supports.</w:t>
            </w:r>
          </w:p>
        </w:tc>
        <w:tc>
          <w:tcPr>
            <w:tcW w:w="0" w:type="auto"/>
            <w:tcBorders>
              <w:bottom w:val="single" w:sz="6" w:space="0" w:color="CCCCCC"/>
            </w:tcBorders>
            <w:shd w:val="clear" w:color="auto" w:fill="FFFFFF"/>
            <w:hideMark/>
          </w:tcPr>
          <w:p w14:paraId="53771B44"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t>1 July 2027, with rollout finalised by December 2030.</w:t>
            </w:r>
          </w:p>
        </w:tc>
      </w:tr>
      <w:tr w:rsidR="008B2FF0" w:rsidRPr="0075202F" w14:paraId="090DA35F" w14:textId="77777777" w:rsidTr="00A62AA8">
        <w:tc>
          <w:tcPr>
            <w:tcW w:w="0" w:type="auto"/>
            <w:tcBorders>
              <w:bottom w:val="single" w:sz="6" w:space="0" w:color="CCCCCC"/>
            </w:tcBorders>
            <w:shd w:val="clear" w:color="auto" w:fill="FFFFFF"/>
            <w:hideMark/>
          </w:tcPr>
          <w:p w14:paraId="7E0A31A7"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t>A panel of plan management providers will be set up by the NDIA.</w:t>
            </w:r>
          </w:p>
        </w:tc>
        <w:tc>
          <w:tcPr>
            <w:tcW w:w="0" w:type="auto"/>
            <w:tcBorders>
              <w:bottom w:val="single" w:sz="6" w:space="0" w:color="CCCCCC"/>
            </w:tcBorders>
            <w:shd w:val="clear" w:color="auto" w:fill="FFFFFF"/>
            <w:hideMark/>
          </w:tcPr>
          <w:p w14:paraId="681FC0E9"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t>You will need to choose a plan management provider from a list approved by the government. If you use a plan manager who is not on the list, you will have 6 months to transition to an approved provider. </w:t>
            </w:r>
          </w:p>
        </w:tc>
        <w:tc>
          <w:tcPr>
            <w:tcW w:w="0" w:type="auto"/>
            <w:tcBorders>
              <w:bottom w:val="single" w:sz="6" w:space="0" w:color="CCCCCC"/>
            </w:tcBorders>
            <w:shd w:val="clear" w:color="auto" w:fill="FFFFFF"/>
            <w:hideMark/>
          </w:tcPr>
          <w:p w14:paraId="2538A48E"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t>1 October 2027</w:t>
            </w:r>
          </w:p>
        </w:tc>
      </w:tr>
      <w:tr w:rsidR="008B2FF0" w:rsidRPr="0075202F" w14:paraId="673987C2" w14:textId="77777777" w:rsidTr="00A62AA8">
        <w:tc>
          <w:tcPr>
            <w:tcW w:w="0" w:type="auto"/>
            <w:tcBorders>
              <w:bottom w:val="single" w:sz="6" w:space="0" w:color="CCCCCC"/>
            </w:tcBorders>
            <w:shd w:val="clear" w:color="auto" w:fill="FFFFFF"/>
            <w:hideMark/>
          </w:tcPr>
          <w:p w14:paraId="6B41276F"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t>A new support coordination and connection service will be set up by the NDIA. </w:t>
            </w:r>
          </w:p>
        </w:tc>
        <w:tc>
          <w:tcPr>
            <w:tcW w:w="0" w:type="auto"/>
            <w:tcBorders>
              <w:bottom w:val="single" w:sz="6" w:space="0" w:color="CCCCCC"/>
            </w:tcBorders>
            <w:shd w:val="clear" w:color="auto" w:fill="FFFFFF"/>
            <w:hideMark/>
          </w:tcPr>
          <w:p w14:paraId="3D92C8CE"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t>You will no longer pay for support coordination services with funding from your NDIS plan. Instead, you will choose from a list of providers funded directly to deliver these services. You will be supported to transition to the new service.</w:t>
            </w:r>
          </w:p>
        </w:tc>
        <w:tc>
          <w:tcPr>
            <w:tcW w:w="0" w:type="auto"/>
            <w:tcBorders>
              <w:bottom w:val="single" w:sz="6" w:space="0" w:color="CCCCCC"/>
            </w:tcBorders>
            <w:shd w:val="clear" w:color="auto" w:fill="FFFFFF"/>
            <w:hideMark/>
          </w:tcPr>
          <w:p w14:paraId="432E6DDD" w14:textId="77777777" w:rsidR="008B2FF0" w:rsidRPr="0075202F" w:rsidRDefault="008B2FF0" w:rsidP="00A62AA8">
            <w:pPr>
              <w:rPr>
                <w:rFonts w:ascii="Segoe UI" w:eastAsia="Times New Roman" w:hAnsi="Segoe UI" w:cs="Segoe UI"/>
                <w:color w:val="313131"/>
                <w:lang w:eastAsia="en-GB"/>
              </w:rPr>
            </w:pPr>
            <w:r w:rsidRPr="0075202F">
              <w:rPr>
                <w:rFonts w:ascii="Segoe UI" w:eastAsia="Times New Roman" w:hAnsi="Segoe UI" w:cs="Segoe UI"/>
                <w:color w:val="313131"/>
                <w:lang w:eastAsia="en-GB"/>
              </w:rPr>
              <w:t>1 July 2028</w:t>
            </w:r>
          </w:p>
        </w:tc>
      </w:tr>
    </w:tbl>
    <w:p w14:paraId="2519FA77" w14:textId="77777777" w:rsidR="008B2FF0" w:rsidRDefault="008B2FF0" w:rsidP="008B2FF0"/>
    <w:p w14:paraId="15D365A9" w14:textId="77777777" w:rsidR="001A0EDE" w:rsidRDefault="001A0EDE" w:rsidP="002A7500"/>
    <w:p w14:paraId="6F51CC8A" w14:textId="23B56511" w:rsidR="008B2FF0" w:rsidRPr="00F9514C" w:rsidRDefault="008B2FF0" w:rsidP="001567D3">
      <w:pPr>
        <w:pStyle w:val="Heading3"/>
        <w:rPr>
          <w:rFonts w:ascii="Rubik" w:hAnsi="Rubik"/>
        </w:rPr>
      </w:pPr>
      <w:r w:rsidRPr="00F9514C">
        <w:rPr>
          <w:rFonts w:ascii="Rubik" w:hAnsi="Rubik"/>
        </w:rPr>
        <w:t>The Impact on Recipients</w:t>
      </w:r>
    </w:p>
    <w:p w14:paraId="3020BAFA" w14:textId="097A5D42" w:rsidR="008B2FF0" w:rsidRDefault="008B2FF0" w:rsidP="008B2FF0">
      <w:pPr>
        <w:spacing w:before="100" w:beforeAutospacing="1" w:after="100" w:afterAutospacing="1"/>
        <w:rPr>
          <w:rFonts w:asciiTheme="majorHAnsi" w:eastAsia="Times New Roman" w:hAnsiTheme="majorHAnsi" w:cstheme="majorHAnsi"/>
          <w:sz w:val="22"/>
          <w:szCs w:val="22"/>
          <w:lang w:eastAsia="en-GB"/>
        </w:rPr>
      </w:pPr>
      <w:r w:rsidRPr="00F31AF2">
        <w:rPr>
          <w:rFonts w:asciiTheme="majorHAnsi" w:eastAsia="Times New Roman" w:hAnsiTheme="majorHAnsi" w:cstheme="majorHAnsi"/>
          <w:sz w:val="22"/>
          <w:szCs w:val="22"/>
          <w:lang w:eastAsia="en-GB"/>
        </w:rPr>
        <w:t xml:space="preserve">Women with Disabilities Australia gave evidence to the Senate Inquiry into the legislation. While accepting that NDIS reform was necessary, </w:t>
      </w:r>
      <w:r w:rsidR="001567D3">
        <w:rPr>
          <w:rFonts w:asciiTheme="majorHAnsi" w:eastAsia="Times New Roman" w:hAnsiTheme="majorHAnsi" w:cstheme="majorHAnsi"/>
          <w:sz w:val="22"/>
          <w:szCs w:val="22"/>
          <w:lang w:eastAsia="en-GB"/>
        </w:rPr>
        <w:t>they</w:t>
      </w:r>
      <w:r w:rsidRPr="00F31AF2">
        <w:rPr>
          <w:rFonts w:asciiTheme="majorHAnsi" w:eastAsia="Times New Roman" w:hAnsiTheme="majorHAnsi" w:cstheme="majorHAnsi"/>
          <w:sz w:val="22"/>
          <w:szCs w:val="22"/>
          <w:lang w:eastAsia="en-GB"/>
        </w:rPr>
        <w:t xml:space="preserve"> warned that the bill would harm women with disability and their families in its current form and at its current pace. </w:t>
      </w:r>
      <w:r w:rsidR="001567D3">
        <w:rPr>
          <w:rFonts w:asciiTheme="majorHAnsi" w:eastAsia="Times New Roman" w:hAnsiTheme="majorHAnsi" w:cstheme="majorHAnsi"/>
          <w:sz w:val="22"/>
          <w:szCs w:val="22"/>
          <w:lang w:eastAsia="en-GB"/>
        </w:rPr>
        <w:t>They</w:t>
      </w:r>
      <w:r w:rsidRPr="00F31AF2">
        <w:rPr>
          <w:rFonts w:asciiTheme="majorHAnsi" w:eastAsia="Times New Roman" w:hAnsiTheme="majorHAnsi" w:cstheme="majorHAnsi"/>
          <w:sz w:val="22"/>
          <w:szCs w:val="22"/>
          <w:lang w:eastAsia="en-GB"/>
        </w:rPr>
        <w:t xml:space="preserve"> argued that the bill should not proceed until government had published a comprehensive gender impact analysis, and until independent testing confirmed the reforms would not increase exclusion, unpaid gendered caring, exposure to violence, or preventable deterioration and crisis for women with disability.</w:t>
      </w:r>
      <w:r w:rsidR="00D037B6">
        <w:rPr>
          <w:rStyle w:val="FootnoteReference"/>
          <w:rFonts w:asciiTheme="majorHAnsi" w:eastAsia="Times New Roman" w:hAnsiTheme="majorHAnsi" w:cstheme="majorHAnsi"/>
          <w:sz w:val="22"/>
          <w:szCs w:val="22"/>
          <w:lang w:eastAsia="en-GB"/>
        </w:rPr>
        <w:footnoteReference w:id="2"/>
      </w:r>
    </w:p>
    <w:p w14:paraId="21E58EED" w14:textId="4FC6F139" w:rsidR="001567D3" w:rsidRPr="00F31AF2" w:rsidRDefault="00B51E4F" w:rsidP="008B2FF0">
      <w:pPr>
        <w:spacing w:before="100" w:beforeAutospacing="1" w:after="100" w:afterAutospacing="1"/>
        <w:rPr>
          <w:rFonts w:asciiTheme="majorHAnsi" w:eastAsia="Times New Roman" w:hAnsiTheme="majorHAnsi" w:cstheme="majorHAnsi"/>
          <w:b/>
          <w:bCs/>
          <w:i/>
          <w:iCs/>
          <w:sz w:val="22"/>
          <w:szCs w:val="22"/>
          <w:lang w:eastAsia="en-GB"/>
        </w:rPr>
      </w:pPr>
      <w:r>
        <w:rPr>
          <w:rFonts w:asciiTheme="majorHAnsi" w:hAnsiTheme="majorHAnsi" w:cstheme="majorHAnsi"/>
          <w:b/>
          <w:bCs/>
          <w:i/>
          <w:iCs/>
          <w:color w:val="333333"/>
          <w:sz w:val="22"/>
          <w:szCs w:val="22"/>
        </w:rPr>
        <w:t>‘</w:t>
      </w:r>
      <w:r w:rsidR="001567D3" w:rsidRPr="00626DE6">
        <w:rPr>
          <w:rFonts w:asciiTheme="majorHAnsi" w:hAnsiTheme="majorHAnsi" w:cstheme="majorHAnsi"/>
          <w:b/>
          <w:bCs/>
          <w:i/>
          <w:iCs/>
          <w:color w:val="333333"/>
          <w:sz w:val="22"/>
          <w:szCs w:val="22"/>
        </w:rPr>
        <w:t>Women with disability will pay the price of this gap in systems through increased isolation, unpaid care, poverty and exclusion, and exposure to harm</w:t>
      </w:r>
      <w:r>
        <w:rPr>
          <w:rFonts w:asciiTheme="majorHAnsi" w:hAnsiTheme="majorHAnsi" w:cstheme="majorHAnsi"/>
          <w:b/>
          <w:bCs/>
          <w:i/>
          <w:iCs/>
          <w:color w:val="333333"/>
          <w:sz w:val="22"/>
          <w:szCs w:val="22"/>
        </w:rPr>
        <w:t>.’</w:t>
      </w:r>
      <w:r w:rsidR="00D037B6">
        <w:rPr>
          <w:rStyle w:val="FootnoteReference"/>
          <w:rFonts w:asciiTheme="majorHAnsi" w:hAnsiTheme="majorHAnsi" w:cstheme="majorHAnsi"/>
          <w:b/>
          <w:bCs/>
          <w:i/>
          <w:iCs/>
          <w:color w:val="333333"/>
          <w:sz w:val="22"/>
          <w:szCs w:val="22"/>
        </w:rPr>
        <w:footnoteReference w:id="3"/>
      </w:r>
    </w:p>
    <w:p w14:paraId="2AC1DC8E" w14:textId="30F375E0" w:rsidR="008B2FF0" w:rsidRPr="00F31AF2" w:rsidRDefault="001567D3" w:rsidP="008B2FF0">
      <w:pPr>
        <w:spacing w:before="100" w:beforeAutospacing="1" w:after="100" w:afterAutospacing="1"/>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lastRenderedPageBreak/>
        <w:t>In their evidence, they</w:t>
      </w:r>
      <w:r w:rsidR="008B2FF0" w:rsidRPr="00F31AF2">
        <w:rPr>
          <w:rFonts w:asciiTheme="majorHAnsi" w:eastAsia="Times New Roman" w:hAnsiTheme="majorHAnsi" w:cstheme="majorHAnsi"/>
          <w:sz w:val="22"/>
          <w:szCs w:val="22"/>
          <w:lang w:eastAsia="en-GB"/>
        </w:rPr>
        <w:t xml:space="preserve"> identified three immediate risks: that people would lose essential supports with nowhere else to turn; that costs, care, and risk would be shifted onto people with disability and their families</w:t>
      </w:r>
      <w:r>
        <w:rPr>
          <w:rFonts w:asciiTheme="majorHAnsi" w:eastAsia="Times New Roman" w:hAnsiTheme="majorHAnsi" w:cstheme="majorHAnsi"/>
          <w:sz w:val="22"/>
          <w:szCs w:val="22"/>
          <w:lang w:eastAsia="en-GB"/>
        </w:rPr>
        <w:t xml:space="preserve">, </w:t>
      </w:r>
      <w:r w:rsidR="008B2FF0" w:rsidRPr="00F31AF2">
        <w:rPr>
          <w:rFonts w:asciiTheme="majorHAnsi" w:eastAsia="Times New Roman" w:hAnsiTheme="majorHAnsi" w:cstheme="majorHAnsi"/>
          <w:sz w:val="22"/>
          <w:szCs w:val="22"/>
          <w:lang w:eastAsia="en-GB"/>
        </w:rPr>
        <w:t>particularly women; and that the rules, tools, and evidence base underpinning the</w:t>
      </w:r>
      <w:r w:rsidR="003A0FFA">
        <w:rPr>
          <w:rFonts w:asciiTheme="majorHAnsi" w:eastAsia="Times New Roman" w:hAnsiTheme="majorHAnsi" w:cstheme="majorHAnsi"/>
          <w:sz w:val="22"/>
          <w:szCs w:val="22"/>
          <w:lang w:eastAsia="en-GB"/>
        </w:rPr>
        <w:t xml:space="preserve"> </w:t>
      </w:r>
      <w:r w:rsidR="008B2FF0" w:rsidRPr="00F31AF2">
        <w:rPr>
          <w:rFonts w:asciiTheme="majorHAnsi" w:eastAsia="Times New Roman" w:hAnsiTheme="majorHAnsi" w:cstheme="majorHAnsi"/>
          <w:sz w:val="22"/>
          <w:szCs w:val="22"/>
          <w:lang w:eastAsia="en-GB"/>
        </w:rPr>
        <w:t>reforms could entrench existing gender bias, further excluding women with disability from needed support.</w:t>
      </w:r>
      <w:r w:rsidR="00D037B6">
        <w:rPr>
          <w:rStyle w:val="FootnoteReference"/>
          <w:rFonts w:asciiTheme="majorHAnsi" w:eastAsia="Times New Roman" w:hAnsiTheme="majorHAnsi" w:cstheme="majorHAnsi"/>
          <w:sz w:val="22"/>
          <w:szCs w:val="22"/>
          <w:lang w:eastAsia="en-GB"/>
        </w:rPr>
        <w:footnoteReference w:id="4"/>
      </w:r>
      <w:r w:rsidR="003A0FFA">
        <w:rPr>
          <w:rFonts w:asciiTheme="majorHAnsi" w:eastAsia="Times New Roman" w:hAnsiTheme="majorHAnsi" w:cstheme="majorHAnsi"/>
          <w:sz w:val="22"/>
          <w:szCs w:val="22"/>
          <w:lang w:eastAsia="en-GB"/>
        </w:rPr>
        <w:t xml:space="preserve"> </w:t>
      </w:r>
      <w:r w:rsidR="008B2FF0" w:rsidRPr="00F31AF2">
        <w:rPr>
          <w:rFonts w:asciiTheme="majorHAnsi" w:eastAsia="Times New Roman" w:hAnsiTheme="majorHAnsi" w:cstheme="majorHAnsi"/>
          <w:sz w:val="22"/>
          <w:szCs w:val="22"/>
          <w:lang w:eastAsia="en-GB"/>
        </w:rPr>
        <w:t>These risks translate directly into health harms, for two overlapping groups of women</w:t>
      </w:r>
      <w:r w:rsidR="001017BC">
        <w:rPr>
          <w:rFonts w:asciiTheme="majorHAnsi" w:eastAsia="Times New Roman" w:hAnsiTheme="majorHAnsi" w:cstheme="majorHAnsi"/>
          <w:sz w:val="22"/>
          <w:szCs w:val="22"/>
          <w:lang w:eastAsia="en-GB"/>
        </w:rPr>
        <w:t>:</w:t>
      </w:r>
    </w:p>
    <w:p w14:paraId="0214E01E" w14:textId="77777777" w:rsidR="003A0FFA" w:rsidRPr="003A0FFA" w:rsidRDefault="008B2FF0" w:rsidP="003A0FFA">
      <w:pPr>
        <w:pStyle w:val="ListParagraph"/>
        <w:numPr>
          <w:ilvl w:val="0"/>
          <w:numId w:val="2"/>
        </w:numPr>
        <w:rPr>
          <w:rFonts w:asciiTheme="majorHAnsi" w:eastAsia="Times New Roman" w:hAnsiTheme="majorHAnsi" w:cstheme="majorHAnsi"/>
          <w:sz w:val="22"/>
          <w:szCs w:val="22"/>
          <w:lang w:val="en-AU" w:eastAsia="en-GB"/>
        </w:rPr>
      </w:pPr>
      <w:r w:rsidRPr="003A0FFA">
        <w:rPr>
          <w:rFonts w:asciiTheme="majorHAnsi" w:eastAsia="Times New Roman" w:hAnsiTheme="majorHAnsi" w:cstheme="majorHAnsi"/>
          <w:sz w:val="22"/>
          <w:szCs w:val="22"/>
          <w:lang w:eastAsia="en-GB"/>
        </w:rPr>
        <w:t xml:space="preserve">For women with disability themselves, reduced social and community participation support removes a protective factor against isolation, a known driver of poor mental health. </w:t>
      </w:r>
      <w:r w:rsidR="001F5861" w:rsidRPr="003A0FFA">
        <w:rPr>
          <w:rFonts w:asciiTheme="majorHAnsi" w:eastAsia="Times New Roman" w:hAnsiTheme="majorHAnsi" w:cstheme="majorHAnsi"/>
          <w:sz w:val="22"/>
          <w:szCs w:val="22"/>
          <w:lang w:eastAsia="en-GB"/>
        </w:rPr>
        <w:t xml:space="preserve">The </w:t>
      </w:r>
      <w:r w:rsidRPr="003A0FFA">
        <w:rPr>
          <w:rFonts w:asciiTheme="majorHAnsi" w:eastAsia="Times New Roman" w:hAnsiTheme="majorHAnsi" w:cstheme="majorHAnsi"/>
          <w:sz w:val="22"/>
          <w:szCs w:val="22"/>
          <w:lang w:eastAsia="en-GB"/>
        </w:rPr>
        <w:t xml:space="preserve">ABS </w:t>
      </w:r>
      <w:r w:rsidR="001F5861" w:rsidRPr="003A0FFA">
        <w:rPr>
          <w:rFonts w:asciiTheme="majorHAnsi" w:eastAsia="Times New Roman" w:hAnsiTheme="majorHAnsi" w:cstheme="majorHAnsi"/>
          <w:sz w:val="22"/>
          <w:szCs w:val="22"/>
          <w:lang w:eastAsia="en-GB"/>
        </w:rPr>
        <w:t>disability and violence statistics</w:t>
      </w:r>
      <w:r w:rsidRPr="003A0FFA">
        <w:rPr>
          <w:rFonts w:asciiTheme="majorHAnsi" w:eastAsia="Times New Roman" w:hAnsiTheme="majorHAnsi" w:cstheme="majorHAnsi"/>
          <w:sz w:val="22"/>
          <w:szCs w:val="22"/>
          <w:lang w:eastAsia="en-GB"/>
        </w:rPr>
        <w:t xml:space="preserve"> show women with disability face elevated psychological distress risk factors: they are </w:t>
      </w:r>
      <w:r w:rsidR="001F5861" w:rsidRPr="003A0FFA">
        <w:rPr>
          <w:rFonts w:asciiTheme="majorHAnsi" w:eastAsia="Times New Roman" w:hAnsiTheme="majorHAnsi" w:cstheme="majorHAnsi"/>
          <w:sz w:val="22"/>
          <w:szCs w:val="22"/>
          <w:lang w:eastAsia="en-GB"/>
        </w:rPr>
        <w:t>more</w:t>
      </w:r>
      <w:r w:rsidRPr="003A0FFA">
        <w:rPr>
          <w:rFonts w:asciiTheme="majorHAnsi" w:eastAsia="Times New Roman" w:hAnsiTheme="majorHAnsi" w:cstheme="majorHAnsi"/>
          <w:sz w:val="22"/>
          <w:szCs w:val="22"/>
          <w:lang w:eastAsia="en-GB"/>
        </w:rPr>
        <w:t xml:space="preserve"> likely as women without disability to experience violence from a cohabiting partner</w:t>
      </w:r>
      <w:r w:rsidR="001F5861" w:rsidRPr="003A0FFA">
        <w:rPr>
          <w:rFonts w:asciiTheme="majorHAnsi" w:eastAsia="Times New Roman" w:hAnsiTheme="majorHAnsi" w:cstheme="majorHAnsi"/>
          <w:sz w:val="22"/>
          <w:szCs w:val="22"/>
          <w:lang w:eastAsia="en-GB"/>
        </w:rPr>
        <w:t xml:space="preserve">. In this reporting, the ABS also </w:t>
      </w:r>
      <w:r w:rsidR="00AE00D2" w:rsidRPr="003A0FFA">
        <w:rPr>
          <w:rFonts w:asciiTheme="majorHAnsi" w:eastAsia="Times New Roman" w:hAnsiTheme="majorHAnsi" w:cstheme="majorHAnsi"/>
          <w:sz w:val="22"/>
          <w:szCs w:val="22"/>
          <w:lang w:eastAsia="en-GB"/>
        </w:rPr>
        <w:t>reference</w:t>
      </w:r>
      <w:r w:rsidR="001F5861" w:rsidRPr="003A0FFA">
        <w:rPr>
          <w:rFonts w:asciiTheme="majorHAnsi" w:eastAsia="Times New Roman" w:hAnsiTheme="majorHAnsi" w:cstheme="majorHAnsi"/>
          <w:sz w:val="22"/>
          <w:szCs w:val="22"/>
          <w:lang w:eastAsia="en-GB"/>
        </w:rPr>
        <w:t xml:space="preserve"> the </w:t>
      </w:r>
      <w:r w:rsidR="001F5861" w:rsidRPr="003A0FFA">
        <w:rPr>
          <w:rFonts w:asciiTheme="majorHAnsi" w:eastAsia="Times New Roman" w:hAnsiTheme="majorHAnsi" w:cstheme="majorHAnsi"/>
          <w:color w:val="000000"/>
          <w:sz w:val="22"/>
          <w:szCs w:val="22"/>
          <w:shd w:val="clear" w:color="auto" w:fill="FFFFFF"/>
          <w:lang w:val="en-AU" w:eastAsia="en-GB"/>
        </w:rPr>
        <w:t>2016 Personal Safety Survey</w:t>
      </w:r>
      <w:r w:rsidR="00AE00D2" w:rsidRPr="003A0FFA">
        <w:rPr>
          <w:rFonts w:asciiTheme="majorHAnsi" w:eastAsia="Times New Roman" w:hAnsiTheme="majorHAnsi" w:cstheme="majorHAnsi"/>
          <w:color w:val="000000"/>
          <w:sz w:val="22"/>
          <w:szCs w:val="22"/>
          <w:shd w:val="clear" w:color="auto" w:fill="FFFFFF"/>
          <w:lang w:val="en-AU" w:eastAsia="en-GB"/>
        </w:rPr>
        <w:t xml:space="preserve"> which</w:t>
      </w:r>
      <w:r w:rsidR="001F5861" w:rsidRPr="003A0FFA">
        <w:rPr>
          <w:rFonts w:asciiTheme="majorHAnsi" w:eastAsia="Times New Roman" w:hAnsiTheme="majorHAnsi" w:cstheme="majorHAnsi"/>
          <w:color w:val="000000"/>
          <w:sz w:val="22"/>
          <w:szCs w:val="22"/>
          <w:shd w:val="clear" w:color="auto" w:fill="FFFFFF"/>
          <w:lang w:val="en-AU" w:eastAsia="en-GB"/>
        </w:rPr>
        <w:t xml:space="preserve"> found that living with disability raised the likelihood of experiencing various types of violence for women but not for men. These include physical violence by any perpetrator, violence by a cohabiting partner (physical and/or sexual), emotional abuse by a cohabiting partner, sexual harassment by any perpetrator, and stalking by any perpetrator.</w:t>
      </w:r>
      <w:r w:rsidR="00AE00D2" w:rsidRPr="003A0FFA">
        <w:rPr>
          <w:rFonts w:asciiTheme="majorHAnsi" w:eastAsia="Times New Roman" w:hAnsiTheme="majorHAnsi" w:cstheme="majorHAnsi"/>
          <w:color w:val="000000"/>
          <w:sz w:val="22"/>
          <w:szCs w:val="22"/>
          <w:shd w:val="clear" w:color="auto" w:fill="FFFFFF"/>
          <w:lang w:val="en-AU" w:eastAsia="en-GB"/>
        </w:rPr>
        <w:t xml:space="preserve"> </w:t>
      </w:r>
      <w:r w:rsidRPr="003A0FFA">
        <w:rPr>
          <w:rFonts w:asciiTheme="majorHAnsi" w:eastAsia="Times New Roman" w:hAnsiTheme="majorHAnsi" w:cstheme="majorHAnsi"/>
          <w:sz w:val="22"/>
          <w:szCs w:val="22"/>
          <w:lang w:eastAsia="en-GB"/>
        </w:rPr>
        <w:t>Withdrawing supports that enable safe community participation is likely to compound, rather than relieve, these existing risks to safety and mental wellbeing.</w:t>
      </w:r>
      <w:r w:rsidR="001F5861" w:rsidRPr="00AE00D2">
        <w:rPr>
          <w:rStyle w:val="FootnoteReference"/>
          <w:rFonts w:asciiTheme="majorHAnsi" w:eastAsia="Times New Roman" w:hAnsiTheme="majorHAnsi" w:cstheme="majorHAnsi"/>
          <w:sz w:val="22"/>
          <w:szCs w:val="22"/>
          <w:lang w:eastAsia="en-GB"/>
        </w:rPr>
        <w:footnoteReference w:id="5"/>
      </w:r>
    </w:p>
    <w:p w14:paraId="5A140269" w14:textId="244EE787" w:rsidR="008B2FF0" w:rsidRPr="003A0FFA" w:rsidRDefault="008B2FF0" w:rsidP="003A0FFA">
      <w:pPr>
        <w:pStyle w:val="ListParagraph"/>
        <w:numPr>
          <w:ilvl w:val="0"/>
          <w:numId w:val="2"/>
        </w:numPr>
        <w:rPr>
          <w:rFonts w:asciiTheme="majorHAnsi" w:eastAsia="Times New Roman" w:hAnsiTheme="majorHAnsi" w:cstheme="majorHAnsi"/>
          <w:sz w:val="22"/>
          <w:szCs w:val="22"/>
          <w:lang w:val="en-AU" w:eastAsia="en-GB"/>
        </w:rPr>
      </w:pPr>
      <w:r w:rsidRPr="003A0FFA">
        <w:rPr>
          <w:rFonts w:asciiTheme="majorHAnsi" w:eastAsia="Times New Roman" w:hAnsiTheme="majorHAnsi" w:cstheme="majorHAnsi"/>
          <w:sz w:val="22"/>
          <w:szCs w:val="22"/>
          <w:lang w:eastAsia="en-GB"/>
        </w:rPr>
        <w:t>For the family members and informal carers who absorb the resulting shortfall</w:t>
      </w:r>
      <w:r w:rsidR="00626DE6" w:rsidRPr="003A0FFA">
        <w:rPr>
          <w:rFonts w:asciiTheme="majorHAnsi" w:eastAsia="Times New Roman" w:hAnsiTheme="majorHAnsi" w:cstheme="majorHAnsi"/>
          <w:sz w:val="22"/>
          <w:szCs w:val="22"/>
          <w:lang w:eastAsia="en-GB"/>
        </w:rPr>
        <w:t>,</w:t>
      </w:r>
      <w:r w:rsidRPr="003A0FFA">
        <w:rPr>
          <w:rFonts w:asciiTheme="majorHAnsi" w:eastAsia="Times New Roman" w:hAnsiTheme="majorHAnsi" w:cstheme="majorHAnsi"/>
          <w:sz w:val="22"/>
          <w:szCs w:val="22"/>
          <w:lang w:eastAsia="en-GB"/>
        </w:rPr>
        <w:t xml:space="preserve"> again, disproportionately women</w:t>
      </w:r>
      <w:r w:rsidR="00626DE6" w:rsidRPr="003A0FFA">
        <w:rPr>
          <w:rFonts w:asciiTheme="majorHAnsi" w:eastAsia="Times New Roman" w:hAnsiTheme="majorHAnsi" w:cstheme="majorHAnsi"/>
          <w:sz w:val="22"/>
          <w:szCs w:val="22"/>
          <w:lang w:eastAsia="en-GB"/>
        </w:rPr>
        <w:t>,</w:t>
      </w:r>
      <w:r w:rsidRPr="003A0FFA">
        <w:rPr>
          <w:rFonts w:asciiTheme="majorHAnsi" w:eastAsia="Times New Roman" w:hAnsiTheme="majorHAnsi" w:cstheme="majorHAnsi"/>
          <w:sz w:val="22"/>
          <w:szCs w:val="22"/>
          <w:lang w:eastAsia="en-GB"/>
        </w:rPr>
        <w:t xml:space="preserve"> the health costs are well documented. A 2025 Carers Australia survey found 61.1 per cent of carers reported low wellbeing, compared with 33.6 per cent of the general adult population, with high rates of psychological distress and loneliness.</w:t>
      </w:r>
      <w:r w:rsidR="00AE00D2">
        <w:rPr>
          <w:rStyle w:val="FootnoteReference"/>
          <w:rFonts w:asciiTheme="majorHAnsi" w:eastAsia="Times New Roman" w:hAnsiTheme="majorHAnsi" w:cstheme="majorHAnsi"/>
          <w:sz w:val="22"/>
          <w:szCs w:val="22"/>
          <w:lang w:eastAsia="en-GB"/>
        </w:rPr>
        <w:footnoteReference w:id="6"/>
      </w:r>
      <w:r w:rsidRPr="003A0FFA">
        <w:rPr>
          <w:rFonts w:asciiTheme="majorHAnsi" w:eastAsia="Times New Roman" w:hAnsiTheme="majorHAnsi" w:cstheme="majorHAnsi"/>
          <w:sz w:val="22"/>
          <w:szCs w:val="22"/>
          <w:lang w:eastAsia="en-GB"/>
        </w:rPr>
        <w:t xml:space="preserve"> Longitudinal Australian cohort research published in The Lancet Public Health found that time spent caring for a disabled spouse, adult relative, or ageing parent was associated with poorer mental health specifically for women</w:t>
      </w:r>
      <w:r w:rsidR="00626DE6" w:rsidRPr="003A0FFA">
        <w:rPr>
          <w:rFonts w:asciiTheme="majorHAnsi" w:eastAsia="Times New Roman" w:hAnsiTheme="majorHAnsi" w:cstheme="majorHAnsi"/>
          <w:sz w:val="22"/>
          <w:szCs w:val="22"/>
          <w:lang w:eastAsia="en-GB"/>
        </w:rPr>
        <w:t xml:space="preserve">. </w:t>
      </w:r>
      <w:r w:rsidRPr="003A0FFA">
        <w:rPr>
          <w:rFonts w:asciiTheme="majorHAnsi" w:eastAsia="Times New Roman" w:hAnsiTheme="majorHAnsi" w:cstheme="majorHAnsi"/>
          <w:sz w:val="22"/>
          <w:szCs w:val="22"/>
          <w:lang w:eastAsia="en-GB"/>
        </w:rPr>
        <w:t>Physical health is affected too: Australian clinical studies have found unpaid carers are over six times more likely to report suboptimal health status than non-carers, with the effect more pronounced among female carers, and that carers over 40</w:t>
      </w:r>
      <w:r w:rsidR="00626DE6" w:rsidRPr="003A0FFA">
        <w:rPr>
          <w:rFonts w:asciiTheme="majorHAnsi" w:eastAsia="Times New Roman" w:hAnsiTheme="majorHAnsi" w:cstheme="majorHAnsi"/>
          <w:sz w:val="22"/>
          <w:szCs w:val="22"/>
          <w:lang w:eastAsia="en-GB"/>
        </w:rPr>
        <w:t xml:space="preserve"> years old</w:t>
      </w:r>
      <w:r w:rsidRPr="003A0FFA">
        <w:rPr>
          <w:rFonts w:asciiTheme="majorHAnsi" w:eastAsia="Times New Roman" w:hAnsiTheme="majorHAnsi" w:cstheme="majorHAnsi"/>
          <w:sz w:val="22"/>
          <w:szCs w:val="22"/>
          <w:lang w:eastAsia="en-GB"/>
        </w:rPr>
        <w:t xml:space="preserve"> show higher rates of anxiety, depression, insufficient exercise, and elevated cardiovascular risk markers relative to non-carers.</w:t>
      </w:r>
      <w:r w:rsidR="00AE00D2">
        <w:rPr>
          <w:rStyle w:val="FootnoteReference"/>
          <w:rFonts w:asciiTheme="majorHAnsi" w:eastAsia="Times New Roman" w:hAnsiTheme="majorHAnsi" w:cstheme="majorHAnsi"/>
          <w:sz w:val="22"/>
          <w:szCs w:val="22"/>
          <w:lang w:eastAsia="en-GB"/>
        </w:rPr>
        <w:footnoteReference w:id="7"/>
      </w:r>
      <w:r w:rsidR="00626DE6" w:rsidRPr="003A0FFA">
        <w:rPr>
          <w:rFonts w:asciiTheme="majorHAnsi" w:eastAsia="Times New Roman" w:hAnsiTheme="majorHAnsi" w:cstheme="majorHAnsi"/>
          <w:sz w:val="22"/>
          <w:szCs w:val="22"/>
          <w:lang w:eastAsia="en-GB"/>
        </w:rPr>
        <w:t xml:space="preserve"> Further impacts on the reforms on carers is explored below. </w:t>
      </w:r>
    </w:p>
    <w:p w14:paraId="1B9BC588" w14:textId="1ED89096" w:rsidR="00302CFE" w:rsidRPr="00AE00D2" w:rsidRDefault="008B2FF0" w:rsidP="00AE00D2">
      <w:pPr>
        <w:spacing w:before="100" w:beforeAutospacing="1" w:after="100" w:afterAutospacing="1"/>
        <w:rPr>
          <w:rFonts w:asciiTheme="majorHAnsi" w:eastAsia="Times New Roman" w:hAnsiTheme="majorHAnsi" w:cstheme="majorHAnsi"/>
          <w:sz w:val="22"/>
          <w:szCs w:val="22"/>
          <w:lang w:eastAsia="en-GB"/>
        </w:rPr>
      </w:pPr>
      <w:r w:rsidRPr="00F31AF2">
        <w:rPr>
          <w:rFonts w:asciiTheme="majorHAnsi" w:eastAsia="Times New Roman" w:hAnsiTheme="majorHAnsi" w:cstheme="majorHAnsi"/>
          <w:sz w:val="22"/>
          <w:szCs w:val="22"/>
          <w:lang w:eastAsia="en-GB"/>
        </w:rPr>
        <w:t>Taken together, this evidence indicates that cutting social and community participation budgets is not a health-neutral saving. It risks harming the health of women with disability directly, through increased isolation and unsafe exposure, while simultaneously degrading the health of the mostly female family carers who will be expected to fill the resulting gap. A formal gender impact analysis</w:t>
      </w:r>
      <w:r w:rsidR="00AE00D2">
        <w:rPr>
          <w:rFonts w:asciiTheme="majorHAnsi" w:eastAsia="Times New Roman" w:hAnsiTheme="majorHAnsi" w:cstheme="majorHAnsi"/>
          <w:sz w:val="22"/>
          <w:szCs w:val="22"/>
          <w:lang w:eastAsia="en-GB"/>
        </w:rPr>
        <w:t>,</w:t>
      </w:r>
      <w:r w:rsidRPr="00F31AF2">
        <w:rPr>
          <w:rFonts w:asciiTheme="majorHAnsi" w:eastAsia="Times New Roman" w:hAnsiTheme="majorHAnsi" w:cstheme="majorHAnsi"/>
          <w:sz w:val="22"/>
          <w:szCs w:val="22"/>
          <w:lang w:eastAsia="en-GB"/>
        </w:rPr>
        <w:t xml:space="preserve"> of the kind </w:t>
      </w:r>
      <w:r w:rsidR="00626DE6">
        <w:rPr>
          <w:rFonts w:asciiTheme="majorHAnsi" w:eastAsia="Times New Roman" w:hAnsiTheme="majorHAnsi" w:cstheme="majorHAnsi"/>
          <w:sz w:val="22"/>
          <w:szCs w:val="22"/>
          <w:lang w:eastAsia="en-GB"/>
        </w:rPr>
        <w:t>Women with Disabilities Australia</w:t>
      </w:r>
      <w:r w:rsidRPr="00F31AF2">
        <w:rPr>
          <w:rFonts w:asciiTheme="majorHAnsi" w:eastAsia="Times New Roman" w:hAnsiTheme="majorHAnsi" w:cstheme="majorHAnsi"/>
          <w:sz w:val="22"/>
          <w:szCs w:val="22"/>
          <w:lang w:eastAsia="en-GB"/>
        </w:rPr>
        <w:t xml:space="preserve"> called for</w:t>
      </w:r>
      <w:r w:rsidR="00626DE6">
        <w:rPr>
          <w:rFonts w:asciiTheme="majorHAnsi" w:eastAsia="Times New Roman" w:hAnsiTheme="majorHAnsi" w:cstheme="majorHAnsi"/>
          <w:sz w:val="22"/>
          <w:szCs w:val="22"/>
          <w:lang w:eastAsia="en-GB"/>
        </w:rPr>
        <w:t xml:space="preserve">, </w:t>
      </w:r>
      <w:r w:rsidRPr="00F31AF2">
        <w:rPr>
          <w:rFonts w:asciiTheme="majorHAnsi" w:eastAsia="Times New Roman" w:hAnsiTheme="majorHAnsi" w:cstheme="majorHAnsi"/>
          <w:sz w:val="22"/>
          <w:szCs w:val="22"/>
          <w:lang w:eastAsia="en-GB"/>
        </w:rPr>
        <w:t xml:space="preserve">would need to weigh these compounding </w:t>
      </w:r>
      <w:r w:rsidRPr="00F31AF2">
        <w:rPr>
          <w:rFonts w:asciiTheme="majorHAnsi" w:eastAsia="Times New Roman" w:hAnsiTheme="majorHAnsi" w:cstheme="majorHAnsi"/>
          <w:sz w:val="22"/>
          <w:szCs w:val="22"/>
          <w:lang w:eastAsia="en-GB"/>
        </w:rPr>
        <w:lastRenderedPageBreak/>
        <w:t>health costs against any budgetary saving, rather than treating the reform as a straightforward fiscal measure.</w:t>
      </w:r>
    </w:p>
    <w:p w14:paraId="7C2AA5D7" w14:textId="7784C0CD" w:rsidR="008B2FF0" w:rsidRPr="00F9514C" w:rsidRDefault="008B2FF0" w:rsidP="008B2FF0">
      <w:pPr>
        <w:pStyle w:val="Heading3"/>
        <w:rPr>
          <w:rFonts w:ascii="Rubik" w:hAnsi="Rubik"/>
        </w:rPr>
      </w:pPr>
      <w:r w:rsidRPr="00F9514C">
        <w:rPr>
          <w:rFonts w:ascii="Rubik" w:hAnsi="Rubik"/>
        </w:rPr>
        <w:t>The Impact on Carers</w:t>
      </w:r>
    </w:p>
    <w:p w14:paraId="77B52A74" w14:textId="77777777" w:rsidR="008B2FF0" w:rsidRDefault="008B2FF0" w:rsidP="002A7500"/>
    <w:p w14:paraId="5AEBB472" w14:textId="402BFEEE" w:rsidR="008B2FF0" w:rsidRPr="0088279D" w:rsidRDefault="008B2FF0" w:rsidP="008B2FF0">
      <w:pPr>
        <w:rPr>
          <w:rFonts w:asciiTheme="majorHAnsi" w:eastAsiaTheme="minorHAnsi" w:hAnsiTheme="majorHAnsi" w:cstheme="majorHAnsi"/>
          <w:sz w:val="22"/>
          <w:szCs w:val="22"/>
          <w:lang w:eastAsia="en-US"/>
        </w:rPr>
      </w:pPr>
      <w:r w:rsidRPr="0088279D">
        <w:rPr>
          <w:rFonts w:asciiTheme="majorHAnsi" w:eastAsia="Times New Roman" w:hAnsiTheme="majorHAnsi" w:cstheme="majorHAnsi"/>
          <w:sz w:val="22"/>
          <w:szCs w:val="22"/>
          <w:lang w:eastAsia="en-GB"/>
        </w:rPr>
        <w:t>The most concerning proposal is a 50 per cent cut to social and community participation budgets, paired with a 10 per cent cut to capacity-building daily living supports.</w:t>
      </w:r>
      <w:r w:rsidRPr="008B2FF0">
        <w:rPr>
          <w:rFonts w:asciiTheme="majorHAnsi" w:eastAsia="Times New Roman" w:hAnsiTheme="majorHAnsi" w:cstheme="majorHAnsi"/>
          <w:sz w:val="22"/>
          <w:szCs w:val="22"/>
          <w:lang w:eastAsia="en-GB"/>
        </w:rPr>
        <w:t xml:space="preserve"> </w:t>
      </w:r>
      <w:r w:rsidRPr="0088279D">
        <w:rPr>
          <w:rFonts w:asciiTheme="majorHAnsi" w:eastAsia="Times New Roman" w:hAnsiTheme="majorHAnsi" w:cstheme="majorHAnsi"/>
          <w:sz w:val="22"/>
          <w:szCs w:val="22"/>
          <w:lang w:eastAsia="en-GB"/>
        </w:rPr>
        <w:t>These supports build independence, relationships, and community engagement</w:t>
      </w:r>
      <w:r w:rsidRPr="008B2FF0">
        <w:rPr>
          <w:rFonts w:asciiTheme="majorHAnsi" w:eastAsia="Times New Roman" w:hAnsiTheme="majorHAnsi" w:cstheme="majorHAnsi"/>
          <w:sz w:val="22"/>
          <w:szCs w:val="22"/>
          <w:lang w:eastAsia="en-GB"/>
        </w:rPr>
        <w:t xml:space="preserve">, </w:t>
      </w:r>
      <w:r w:rsidRPr="0088279D">
        <w:rPr>
          <w:rFonts w:asciiTheme="majorHAnsi" w:eastAsia="Times New Roman" w:hAnsiTheme="majorHAnsi" w:cstheme="majorHAnsi"/>
          <w:sz w:val="22"/>
          <w:szCs w:val="22"/>
          <w:lang w:eastAsia="en-GB"/>
        </w:rPr>
        <w:t xml:space="preserve">treating them as secondary to personal care misreads the NDIS's purpose. The scheme exists not merely to meet basic safety and care needs, but </w:t>
      </w:r>
      <w:r w:rsidRPr="008B2FF0">
        <w:rPr>
          <w:rFonts w:asciiTheme="majorHAnsi" w:eastAsia="Times New Roman" w:hAnsiTheme="majorHAnsi" w:cstheme="majorHAnsi"/>
          <w:sz w:val="22"/>
          <w:szCs w:val="22"/>
          <w:lang w:eastAsia="en-GB"/>
        </w:rPr>
        <w:t xml:space="preserve">also </w:t>
      </w:r>
      <w:r w:rsidRPr="0088279D">
        <w:rPr>
          <w:rFonts w:asciiTheme="majorHAnsi" w:eastAsia="Times New Roman" w:hAnsiTheme="majorHAnsi" w:cstheme="majorHAnsi"/>
          <w:sz w:val="22"/>
          <w:szCs w:val="22"/>
          <w:lang w:eastAsia="en-GB"/>
        </w:rPr>
        <w:t>to enable independence, choice, control, and social and economic participation.</w:t>
      </w:r>
      <w:r w:rsidR="00AE00D2">
        <w:rPr>
          <w:rStyle w:val="FootnoteReference"/>
          <w:rFonts w:asciiTheme="majorHAnsi" w:eastAsia="Times New Roman" w:hAnsiTheme="majorHAnsi" w:cstheme="majorHAnsi"/>
          <w:sz w:val="22"/>
          <w:szCs w:val="22"/>
          <w:lang w:eastAsia="en-GB"/>
        </w:rPr>
        <w:footnoteReference w:id="8"/>
      </w:r>
      <w:r w:rsidRPr="008B2FF0">
        <w:rPr>
          <w:rFonts w:asciiTheme="majorHAnsi" w:eastAsia="Times New Roman" w:hAnsiTheme="majorHAnsi" w:cstheme="majorHAnsi"/>
          <w:sz w:val="22"/>
          <w:szCs w:val="22"/>
          <w:lang w:eastAsia="en-GB"/>
        </w:rPr>
        <w:t xml:space="preserve"> </w:t>
      </w:r>
    </w:p>
    <w:p w14:paraId="1F766337" w14:textId="77777777" w:rsidR="008B2FF0" w:rsidRPr="0088279D" w:rsidRDefault="008B2FF0" w:rsidP="008B2FF0">
      <w:pPr>
        <w:spacing w:before="100" w:beforeAutospacing="1" w:after="100" w:afterAutospacing="1"/>
        <w:rPr>
          <w:rFonts w:asciiTheme="majorHAnsi" w:eastAsia="Times New Roman" w:hAnsiTheme="majorHAnsi" w:cstheme="majorHAnsi"/>
          <w:sz w:val="22"/>
          <w:szCs w:val="22"/>
          <w:lang w:eastAsia="en-GB"/>
        </w:rPr>
      </w:pPr>
      <w:r w:rsidRPr="0088279D">
        <w:rPr>
          <w:rFonts w:asciiTheme="majorHAnsi" w:eastAsia="Times New Roman" w:hAnsiTheme="majorHAnsi" w:cstheme="majorHAnsi"/>
          <w:sz w:val="22"/>
          <w:szCs w:val="22"/>
          <w:lang w:eastAsia="en-GB"/>
        </w:rPr>
        <w:t>The impact will be uneven. Those with the largest participation budgets typically have the highest support needs, so the heaviest dollar losses will likely fall on people in supported living, those with intellectual or psychosocial disability, Down syndrome, visual impairment, or lower functional capacity.</w:t>
      </w:r>
    </w:p>
    <w:p w14:paraId="1BC8FABE" w14:textId="3444DE47" w:rsidR="008B2FF0" w:rsidRPr="0088279D" w:rsidRDefault="008B2FF0" w:rsidP="008B2FF0">
      <w:pPr>
        <w:spacing w:before="100" w:beforeAutospacing="1" w:after="100" w:afterAutospacing="1"/>
        <w:rPr>
          <w:rFonts w:asciiTheme="majorHAnsi" w:eastAsia="Times New Roman" w:hAnsiTheme="majorHAnsi" w:cstheme="majorHAnsi"/>
          <w:sz w:val="22"/>
          <w:szCs w:val="22"/>
          <w:lang w:eastAsia="en-GB"/>
        </w:rPr>
      </w:pPr>
      <w:r w:rsidRPr="0088279D">
        <w:rPr>
          <w:rFonts w:asciiTheme="majorHAnsi" w:eastAsia="Times New Roman" w:hAnsiTheme="majorHAnsi" w:cstheme="majorHAnsi"/>
          <w:sz w:val="22"/>
          <w:szCs w:val="22"/>
          <w:lang w:eastAsia="en-GB"/>
        </w:rPr>
        <w:t xml:space="preserve">Cutting formal support doesn't remove the underlying need </w:t>
      </w:r>
      <w:r w:rsidRPr="008B2FF0">
        <w:rPr>
          <w:rFonts w:asciiTheme="majorHAnsi" w:eastAsia="Times New Roman" w:hAnsiTheme="majorHAnsi" w:cstheme="majorHAnsi"/>
          <w:sz w:val="22"/>
          <w:szCs w:val="22"/>
          <w:lang w:eastAsia="en-GB"/>
        </w:rPr>
        <w:t>but</w:t>
      </w:r>
      <w:r w:rsidRPr="0088279D">
        <w:rPr>
          <w:rFonts w:asciiTheme="majorHAnsi" w:eastAsia="Times New Roman" w:hAnsiTheme="majorHAnsi" w:cstheme="majorHAnsi"/>
          <w:sz w:val="22"/>
          <w:szCs w:val="22"/>
          <w:lang w:eastAsia="en-GB"/>
        </w:rPr>
        <w:t xml:space="preserve"> shifts it onto families and informal carers, most often women. </w:t>
      </w:r>
      <w:r w:rsidRPr="008B2FF0">
        <w:rPr>
          <w:rFonts w:asciiTheme="majorHAnsi" w:eastAsia="Times New Roman" w:hAnsiTheme="majorHAnsi" w:cstheme="majorHAnsi"/>
          <w:sz w:val="22"/>
          <w:szCs w:val="22"/>
          <w:lang w:eastAsia="en-GB"/>
        </w:rPr>
        <w:t>Official</w:t>
      </w:r>
      <w:r w:rsidRPr="0088279D">
        <w:rPr>
          <w:rFonts w:asciiTheme="majorHAnsi" w:eastAsia="Times New Roman" w:hAnsiTheme="majorHAnsi" w:cstheme="majorHAnsi"/>
          <w:sz w:val="22"/>
          <w:szCs w:val="22"/>
          <w:lang w:eastAsia="en-GB"/>
        </w:rPr>
        <w:t xml:space="preserve"> data </w:t>
      </w:r>
      <w:r w:rsidRPr="008B2FF0">
        <w:rPr>
          <w:rFonts w:asciiTheme="majorHAnsi" w:eastAsia="Times New Roman" w:hAnsiTheme="majorHAnsi" w:cstheme="majorHAnsi"/>
          <w:sz w:val="22"/>
          <w:szCs w:val="22"/>
          <w:lang w:eastAsia="en-GB"/>
        </w:rPr>
        <w:t xml:space="preserve">demonstrates this </w:t>
      </w:r>
      <w:r w:rsidRPr="0088279D">
        <w:rPr>
          <w:rFonts w:asciiTheme="majorHAnsi" w:eastAsia="Times New Roman" w:hAnsiTheme="majorHAnsi" w:cstheme="majorHAnsi"/>
          <w:sz w:val="22"/>
          <w:szCs w:val="22"/>
          <w:lang w:eastAsia="en-GB"/>
        </w:rPr>
        <w:t>consistently. According to the ABS Survey of Disability, Ageing and Carers, an estimated 3 million people, or 12 per cent of the population, provided informal care in Australia in 2022, of whom 38 per cent were primary carers. Primary carers were overwhelmingly female</w:t>
      </w:r>
      <w:r w:rsidR="00AE00D2">
        <w:rPr>
          <w:rFonts w:asciiTheme="majorHAnsi" w:eastAsia="Times New Roman" w:hAnsiTheme="majorHAnsi" w:cstheme="majorHAnsi"/>
          <w:sz w:val="22"/>
          <w:szCs w:val="22"/>
          <w:lang w:eastAsia="en-GB"/>
        </w:rPr>
        <w:t>,</w:t>
      </w:r>
      <w:r w:rsidRPr="0088279D">
        <w:rPr>
          <w:rFonts w:asciiTheme="majorHAnsi" w:eastAsia="Times New Roman" w:hAnsiTheme="majorHAnsi" w:cstheme="majorHAnsi"/>
          <w:sz w:val="22"/>
          <w:szCs w:val="22"/>
          <w:lang w:eastAsia="en-GB"/>
        </w:rPr>
        <w:t xml:space="preserve"> 68 per cent, compared with 32 per cent of </w:t>
      </w:r>
      <w:proofErr w:type="gramStart"/>
      <w:r w:rsidRPr="0088279D">
        <w:rPr>
          <w:rFonts w:asciiTheme="majorHAnsi" w:eastAsia="Times New Roman" w:hAnsiTheme="majorHAnsi" w:cstheme="majorHAnsi"/>
          <w:sz w:val="22"/>
          <w:szCs w:val="22"/>
          <w:lang w:eastAsia="en-GB"/>
        </w:rPr>
        <w:t>males  and</w:t>
      </w:r>
      <w:proofErr w:type="gramEnd"/>
      <w:r w:rsidRPr="0088279D">
        <w:rPr>
          <w:rFonts w:asciiTheme="majorHAnsi" w:eastAsia="Times New Roman" w:hAnsiTheme="majorHAnsi" w:cstheme="majorHAnsi"/>
          <w:sz w:val="22"/>
          <w:szCs w:val="22"/>
          <w:lang w:eastAsia="en-GB"/>
        </w:rPr>
        <w:t xml:space="preserve"> this gender gap held across all age groups, with women making up 80 per cent of primary carers aged 35–44 and 77 per cent of those aged 45–54.</w:t>
      </w:r>
      <w:r w:rsidR="00D037B6">
        <w:rPr>
          <w:rStyle w:val="FootnoteReference"/>
          <w:rFonts w:asciiTheme="majorHAnsi" w:eastAsia="Times New Roman" w:hAnsiTheme="majorHAnsi" w:cstheme="majorHAnsi"/>
          <w:sz w:val="22"/>
          <w:szCs w:val="22"/>
          <w:lang w:eastAsia="en-GB"/>
        </w:rPr>
        <w:footnoteReference w:id="9"/>
      </w:r>
      <w:r w:rsidRPr="0088279D">
        <w:rPr>
          <w:rFonts w:asciiTheme="majorHAnsi" w:eastAsia="Times New Roman" w:hAnsiTheme="majorHAnsi" w:cstheme="majorHAnsi"/>
          <w:sz w:val="22"/>
          <w:szCs w:val="22"/>
          <w:lang w:eastAsia="en-GB"/>
        </w:rPr>
        <w:t xml:space="preserve"> The Workplace Gender Equality Agency similarly reports that </w:t>
      </w:r>
      <w:r w:rsidRPr="008B2FF0">
        <w:rPr>
          <w:rFonts w:asciiTheme="majorHAnsi" w:eastAsia="Times New Roman" w:hAnsiTheme="majorHAnsi" w:cstheme="majorHAnsi"/>
          <w:sz w:val="22"/>
          <w:szCs w:val="22"/>
          <w:lang w:eastAsia="en-GB"/>
        </w:rPr>
        <w:t>women</w:t>
      </w:r>
      <w:r w:rsidRPr="0088279D">
        <w:rPr>
          <w:rFonts w:asciiTheme="majorHAnsi" w:eastAsia="Times New Roman" w:hAnsiTheme="majorHAnsi" w:cstheme="majorHAnsi"/>
          <w:sz w:val="22"/>
          <w:szCs w:val="22"/>
          <w:lang w:eastAsia="en-GB"/>
        </w:rPr>
        <w:t xml:space="preserve"> are more likely to be carers than m</w:t>
      </w:r>
      <w:r w:rsidRPr="008B2FF0">
        <w:rPr>
          <w:rFonts w:asciiTheme="majorHAnsi" w:eastAsia="Times New Roman" w:hAnsiTheme="majorHAnsi" w:cstheme="majorHAnsi"/>
          <w:sz w:val="22"/>
          <w:szCs w:val="22"/>
          <w:lang w:eastAsia="en-GB"/>
        </w:rPr>
        <w:t>en</w:t>
      </w:r>
      <w:r w:rsidRPr="0088279D">
        <w:rPr>
          <w:rFonts w:asciiTheme="majorHAnsi" w:eastAsia="Times New Roman" w:hAnsiTheme="majorHAnsi" w:cstheme="majorHAnsi"/>
          <w:sz w:val="22"/>
          <w:szCs w:val="22"/>
          <w:lang w:eastAsia="en-GB"/>
        </w:rPr>
        <w:t>, with 12.3 per cent of all females providing care compared with 9.3 per cent of males.</w:t>
      </w:r>
      <w:r w:rsidR="00D90232">
        <w:rPr>
          <w:rStyle w:val="FootnoteReference"/>
          <w:rFonts w:asciiTheme="majorHAnsi" w:eastAsia="Times New Roman" w:hAnsiTheme="majorHAnsi" w:cstheme="majorHAnsi"/>
          <w:sz w:val="22"/>
          <w:szCs w:val="22"/>
          <w:lang w:eastAsia="en-GB"/>
        </w:rPr>
        <w:footnoteReference w:id="10"/>
      </w:r>
    </w:p>
    <w:p w14:paraId="0FE09F5D" w14:textId="23B27508" w:rsidR="008B2FF0" w:rsidRPr="003A0FFA" w:rsidRDefault="008B2FF0" w:rsidP="003A0FFA">
      <w:pPr>
        <w:spacing w:before="100" w:beforeAutospacing="1" w:after="100" w:afterAutospacing="1"/>
        <w:rPr>
          <w:rFonts w:asciiTheme="majorHAnsi" w:eastAsia="Times New Roman" w:hAnsiTheme="majorHAnsi" w:cstheme="majorHAnsi"/>
          <w:sz w:val="22"/>
          <w:szCs w:val="22"/>
          <w:lang w:eastAsia="en-GB"/>
        </w:rPr>
      </w:pPr>
      <w:r w:rsidRPr="0088279D">
        <w:rPr>
          <w:rFonts w:asciiTheme="majorHAnsi" w:eastAsia="Times New Roman" w:hAnsiTheme="majorHAnsi" w:cstheme="majorHAnsi"/>
          <w:sz w:val="22"/>
          <w:szCs w:val="22"/>
          <w:lang w:eastAsia="en-GB"/>
        </w:rPr>
        <w:t>These figures make clear that reduced funding for formal disability supports does not simply produce a funding gap</w:t>
      </w:r>
      <w:r w:rsidRPr="008B2FF0">
        <w:rPr>
          <w:rFonts w:asciiTheme="majorHAnsi" w:eastAsia="Times New Roman" w:hAnsiTheme="majorHAnsi" w:cstheme="majorHAnsi"/>
          <w:sz w:val="22"/>
          <w:szCs w:val="22"/>
          <w:lang w:eastAsia="en-GB"/>
        </w:rPr>
        <w:t>,</w:t>
      </w:r>
      <w:r w:rsidRPr="0088279D">
        <w:rPr>
          <w:rFonts w:asciiTheme="majorHAnsi" w:eastAsia="Times New Roman" w:hAnsiTheme="majorHAnsi" w:cstheme="majorHAnsi"/>
          <w:sz w:val="22"/>
          <w:szCs w:val="22"/>
          <w:lang w:eastAsia="en-GB"/>
        </w:rPr>
        <w:t xml:space="preserve"> it produces a labour transfer, and that labour falls disproportionately on women, often at a direct cost to their own workforce participation financial security</w:t>
      </w:r>
      <w:r w:rsidRPr="008B2FF0">
        <w:rPr>
          <w:rFonts w:asciiTheme="majorHAnsi" w:eastAsia="Times New Roman" w:hAnsiTheme="majorHAnsi" w:cstheme="majorHAnsi"/>
          <w:sz w:val="22"/>
          <w:szCs w:val="22"/>
          <w:lang w:eastAsia="en-GB"/>
        </w:rPr>
        <w:t>, and ultimately health</w:t>
      </w:r>
      <w:r w:rsidR="00067BAE">
        <w:rPr>
          <w:rFonts w:asciiTheme="majorHAnsi" w:eastAsia="Times New Roman" w:hAnsiTheme="majorHAnsi" w:cstheme="majorHAnsi"/>
          <w:sz w:val="22"/>
          <w:szCs w:val="22"/>
          <w:lang w:eastAsia="en-GB"/>
        </w:rPr>
        <w:t>.</w:t>
      </w:r>
    </w:p>
    <w:p w14:paraId="496087A3" w14:textId="77777777" w:rsidR="008B2FF0" w:rsidRDefault="008B2FF0" w:rsidP="002A7500"/>
    <w:p w14:paraId="3CF02ADA" w14:textId="77777777" w:rsidR="001A0EDE" w:rsidRPr="00F9514C" w:rsidRDefault="001A0EDE" w:rsidP="00302CFE">
      <w:pPr>
        <w:pStyle w:val="Heading3"/>
        <w:rPr>
          <w:rFonts w:ascii="Rubik" w:hAnsi="Rubik"/>
        </w:rPr>
      </w:pPr>
      <w:bookmarkStart w:id="4" w:name="_np7im68hc48z" w:colFirst="0" w:colLast="0"/>
      <w:bookmarkEnd w:id="4"/>
      <w:r w:rsidRPr="00F9514C">
        <w:rPr>
          <w:rFonts w:ascii="Rubik" w:hAnsi="Rubik"/>
        </w:rPr>
        <w:t>What does this mean for health equity?</w:t>
      </w:r>
    </w:p>
    <w:p w14:paraId="2839EDAF" w14:textId="77777777" w:rsidR="003A0FFA" w:rsidRDefault="003A0FFA" w:rsidP="001567D3">
      <w:pPr>
        <w:rPr>
          <w:rFonts w:asciiTheme="majorHAnsi" w:eastAsia="Times New Roman" w:hAnsiTheme="majorHAnsi" w:cstheme="majorHAnsi"/>
          <w:b/>
          <w:bCs/>
          <w:sz w:val="22"/>
          <w:szCs w:val="22"/>
          <w:lang w:eastAsia="en-GB"/>
        </w:rPr>
      </w:pPr>
    </w:p>
    <w:p w14:paraId="00F30BB4" w14:textId="75E6899B" w:rsidR="001567D3" w:rsidRDefault="001567D3" w:rsidP="001567D3">
      <w:pPr>
        <w:rPr>
          <w:rFonts w:asciiTheme="majorHAnsi" w:eastAsia="Times New Roman" w:hAnsiTheme="majorHAnsi" w:cstheme="majorHAnsi"/>
          <w:color w:val="012838"/>
          <w:sz w:val="22"/>
          <w:szCs w:val="22"/>
          <w:shd w:val="clear" w:color="auto" w:fill="FCFCFC"/>
          <w:lang w:eastAsia="en-GB"/>
        </w:rPr>
      </w:pPr>
      <w:r w:rsidRPr="008B2FF0">
        <w:rPr>
          <w:rFonts w:asciiTheme="majorHAnsi" w:eastAsia="Times New Roman" w:hAnsiTheme="majorHAnsi" w:cstheme="majorHAnsi"/>
          <w:b/>
          <w:bCs/>
          <w:sz w:val="22"/>
          <w:szCs w:val="22"/>
          <w:lang w:eastAsia="en-GB"/>
        </w:rPr>
        <w:t>‘</w:t>
      </w:r>
      <w:r w:rsidRPr="003A0FFA">
        <w:rPr>
          <w:rFonts w:asciiTheme="majorHAnsi" w:eastAsia="Times New Roman" w:hAnsiTheme="majorHAnsi" w:cstheme="majorHAnsi"/>
          <w:b/>
          <w:bCs/>
          <w:i/>
          <w:iCs/>
          <w:color w:val="012838"/>
          <w:sz w:val="22"/>
          <w:szCs w:val="22"/>
          <w:shd w:val="clear" w:color="auto" w:fill="FCFCFC"/>
          <w:lang w:eastAsia="en-GB"/>
        </w:rPr>
        <w:t>The NDIS plays a critical role in ensuring people with disability can live safely, with dignity, independence, inclusion and choice. Its effectiveness and sustainability are essential</w:t>
      </w:r>
      <w:r w:rsidRPr="003A0FFA">
        <w:rPr>
          <w:rFonts w:asciiTheme="majorHAnsi" w:eastAsia="Times New Roman" w:hAnsiTheme="majorHAnsi" w:cstheme="majorHAnsi"/>
          <w:b/>
          <w:bCs/>
          <w:color w:val="012838"/>
          <w:sz w:val="22"/>
          <w:szCs w:val="22"/>
          <w:shd w:val="clear" w:color="auto" w:fill="FCFCFC"/>
          <w:lang w:eastAsia="en-GB"/>
        </w:rPr>
        <w:t>.’</w:t>
      </w:r>
      <w:r w:rsidR="003A0FFA">
        <w:rPr>
          <w:rStyle w:val="FootnoteReference"/>
          <w:rFonts w:asciiTheme="majorHAnsi" w:eastAsia="Times New Roman" w:hAnsiTheme="majorHAnsi" w:cstheme="majorHAnsi"/>
          <w:b/>
          <w:bCs/>
          <w:color w:val="012838"/>
          <w:sz w:val="22"/>
          <w:szCs w:val="22"/>
          <w:shd w:val="clear" w:color="auto" w:fill="FCFCFC"/>
          <w:lang w:eastAsia="en-GB"/>
        </w:rPr>
        <w:footnoteReference w:id="11"/>
      </w:r>
      <w:r w:rsidRPr="008B2FF0">
        <w:rPr>
          <w:rFonts w:asciiTheme="majorHAnsi" w:eastAsia="Times New Roman" w:hAnsiTheme="majorHAnsi" w:cstheme="majorHAnsi"/>
          <w:color w:val="012838"/>
          <w:sz w:val="22"/>
          <w:szCs w:val="22"/>
          <w:shd w:val="clear" w:color="auto" w:fill="FCFCFC"/>
          <w:lang w:eastAsia="en-GB"/>
        </w:rPr>
        <w:t xml:space="preserve"> </w:t>
      </w:r>
    </w:p>
    <w:p w14:paraId="59B1F7CA" w14:textId="6C6FA3FF" w:rsidR="003A0FFA" w:rsidRDefault="003A0FFA" w:rsidP="001567D3">
      <w:pPr>
        <w:rPr>
          <w:rFonts w:asciiTheme="majorHAnsi" w:eastAsia="Times New Roman" w:hAnsiTheme="majorHAnsi" w:cstheme="majorHAnsi"/>
          <w:color w:val="012838"/>
          <w:sz w:val="22"/>
          <w:szCs w:val="22"/>
          <w:shd w:val="clear" w:color="auto" w:fill="FCFCFC"/>
          <w:lang w:eastAsia="en-GB"/>
        </w:rPr>
      </w:pPr>
    </w:p>
    <w:p w14:paraId="48177C93" w14:textId="3DA7D2C2" w:rsidR="00302CFE" w:rsidRPr="003A0FFA" w:rsidRDefault="003A0FFA" w:rsidP="003A0FFA">
      <w:pPr>
        <w:pStyle w:val="font-claude-response-body"/>
        <w:rPr>
          <w:rFonts w:asciiTheme="majorHAnsi" w:hAnsiTheme="majorHAnsi" w:cstheme="majorHAnsi"/>
          <w:sz w:val="22"/>
          <w:szCs w:val="22"/>
        </w:rPr>
      </w:pPr>
      <w:r>
        <w:rPr>
          <w:rFonts w:asciiTheme="majorHAnsi" w:hAnsiTheme="majorHAnsi" w:cstheme="majorHAnsi"/>
          <w:sz w:val="22"/>
          <w:szCs w:val="22"/>
        </w:rPr>
        <w:t xml:space="preserve">People with disability rely on the NDIS for physical, social and psychological care. </w:t>
      </w:r>
      <w:r w:rsidRPr="003A0FFA">
        <w:rPr>
          <w:rFonts w:asciiTheme="majorHAnsi" w:hAnsiTheme="majorHAnsi" w:cstheme="majorHAnsi"/>
          <w:sz w:val="22"/>
          <w:szCs w:val="22"/>
        </w:rPr>
        <w:t>The evidence presented above points to a single conclusion: these reforms cannot be assessed as a purely fiscal measure. A 50 per cent cut to social and community participation budgets and a 10 per cent cut to capacity-building supports will not simply reduce program expenditure</w:t>
      </w:r>
      <w:r>
        <w:rPr>
          <w:rFonts w:asciiTheme="majorHAnsi" w:hAnsiTheme="majorHAnsi" w:cstheme="majorHAnsi"/>
          <w:sz w:val="22"/>
          <w:szCs w:val="22"/>
        </w:rPr>
        <w:t>,</w:t>
      </w:r>
      <w:r w:rsidRPr="003A0FFA">
        <w:rPr>
          <w:rFonts w:asciiTheme="majorHAnsi" w:hAnsiTheme="majorHAnsi" w:cstheme="majorHAnsi"/>
          <w:sz w:val="22"/>
          <w:szCs w:val="22"/>
        </w:rPr>
        <w:t xml:space="preserve"> it will transfer risk, care, and cost onto women, both as recipients and as carers, with measurable consequences for their safety, mental health, and physical health. Women with disability face compounded exposure to isolation and violence when protective community supports are withdrawn, while the female family members and informal carers expected to absorb the resulting shortfall already report substantially poorer wellbeing, higher psychological distress, and elevated physical health risk relative to the general population. These are not incidental side effects; they are the predictable result of a reform package that treats social participation as less essential than personal care, without testing that assumption against the gendered evidence base. Government should not proceed with these changes in their current form. At minimum, implementation should be paused pending a comprehensive, published gender impact analysis that quantifies these health and economic costs and ensures the reforms do not shift an already disproportionate burden further onto women.</w:t>
      </w:r>
      <w:bookmarkStart w:id="5" w:name="_x08bk2744mac" w:colFirst="0" w:colLast="0"/>
      <w:bookmarkStart w:id="6" w:name="_1r2q62wcngoy" w:colFirst="0" w:colLast="0"/>
      <w:bookmarkEnd w:id="5"/>
      <w:bookmarkEnd w:id="6"/>
    </w:p>
    <w:p w14:paraId="3C64A458" w14:textId="5CA42B18" w:rsidR="008F25C6" w:rsidRPr="00F9514C" w:rsidRDefault="006A143E" w:rsidP="00302CFE">
      <w:pPr>
        <w:pStyle w:val="Heading3"/>
        <w:rPr>
          <w:rFonts w:ascii="Rubik" w:hAnsi="Rubik"/>
        </w:rPr>
      </w:pPr>
      <w:r w:rsidRPr="00F9514C">
        <w:rPr>
          <w:rFonts w:ascii="Rubik" w:hAnsi="Rubik"/>
        </w:rPr>
        <w:t>About us</w:t>
      </w:r>
    </w:p>
    <w:p w14:paraId="7C0193D7" w14:textId="362355B6" w:rsidR="008F25C6" w:rsidRPr="00664D0C" w:rsidRDefault="006A143E" w:rsidP="002A7500">
      <w:pPr>
        <w:rPr>
          <w:sz w:val="22"/>
          <w:szCs w:val="22"/>
        </w:rPr>
      </w:pPr>
      <w:r w:rsidRPr="00664D0C">
        <w:rPr>
          <w:sz w:val="22"/>
          <w:szCs w:val="22"/>
        </w:rPr>
        <w:t xml:space="preserve">Australian Women’s Health </w:t>
      </w:r>
      <w:r w:rsidR="002B5496" w:rsidRPr="00664D0C">
        <w:rPr>
          <w:sz w:val="22"/>
          <w:szCs w:val="22"/>
        </w:rPr>
        <w:t>Alliance</w:t>
      </w:r>
      <w:r w:rsidRPr="00664D0C">
        <w:rPr>
          <w:sz w:val="22"/>
          <w:szCs w:val="22"/>
        </w:rPr>
        <w:t xml:space="preserve"> provides a national voice on women’s health. </w:t>
      </w:r>
      <w:r w:rsidR="002B5496" w:rsidRPr="00664D0C">
        <w:rPr>
          <w:sz w:val="22"/>
          <w:szCs w:val="22"/>
        </w:rPr>
        <w:t>We highlight how gender shapes experiences of health and health care, recognising that women’s health is determined by social, cultural, environmental, and political factors.</w:t>
      </w:r>
    </w:p>
    <w:p w14:paraId="63919112" w14:textId="77777777" w:rsidR="008F25C6" w:rsidRPr="005F731C" w:rsidRDefault="008F25C6" w:rsidP="002A7500">
      <w:pPr>
        <w:rPr>
          <w:sz w:val="22"/>
          <w:szCs w:val="22"/>
        </w:rPr>
      </w:pPr>
    </w:p>
    <w:p w14:paraId="62774404" w14:textId="77777777" w:rsidR="008F25C6" w:rsidRPr="00F9514C" w:rsidRDefault="006A143E" w:rsidP="00302CFE">
      <w:pPr>
        <w:pStyle w:val="Heading3"/>
        <w:rPr>
          <w:rFonts w:ascii="Rubik" w:hAnsi="Rubik"/>
        </w:rPr>
      </w:pPr>
      <w:bookmarkStart w:id="7" w:name="_o7z4ctmkhc0d" w:colFirst="0" w:colLast="0"/>
      <w:bookmarkEnd w:id="7"/>
      <w:r w:rsidRPr="00F9514C">
        <w:rPr>
          <w:rFonts w:ascii="Rubik" w:hAnsi="Rubik"/>
        </w:rPr>
        <w:t>Contact us</w:t>
      </w:r>
    </w:p>
    <w:p w14:paraId="14793D8D" w14:textId="77777777" w:rsidR="002B5496" w:rsidRPr="005F731C" w:rsidRDefault="002B5496" w:rsidP="002A7500">
      <w:pPr>
        <w:rPr>
          <w:sz w:val="22"/>
          <w:szCs w:val="22"/>
        </w:rPr>
      </w:pPr>
      <w:r w:rsidRPr="005F731C">
        <w:rPr>
          <w:sz w:val="22"/>
          <w:szCs w:val="22"/>
        </w:rPr>
        <w:t>Enquiries:</w:t>
      </w:r>
      <w:r w:rsidRPr="005F731C">
        <w:rPr>
          <w:sz w:val="22"/>
          <w:szCs w:val="22"/>
        </w:rPr>
        <w:tab/>
      </w:r>
      <w:hyperlink r:id="rId11" w:history="1">
        <w:r w:rsidRPr="005F731C">
          <w:rPr>
            <w:rStyle w:val="Hyperlink"/>
            <w:sz w:val="22"/>
            <w:szCs w:val="22"/>
          </w:rPr>
          <w:t>Info@AustralianWomensHealth.org</w:t>
        </w:r>
      </w:hyperlink>
      <w:r w:rsidRPr="005F731C">
        <w:rPr>
          <w:sz w:val="22"/>
          <w:szCs w:val="22"/>
        </w:rPr>
        <w:t xml:space="preserve">    </w:t>
      </w:r>
    </w:p>
    <w:p w14:paraId="0A3AF383" w14:textId="77777777" w:rsidR="002B5496" w:rsidRPr="005F731C" w:rsidRDefault="002B5496" w:rsidP="002A7500">
      <w:pPr>
        <w:rPr>
          <w:sz w:val="22"/>
          <w:szCs w:val="22"/>
        </w:rPr>
      </w:pPr>
      <w:r w:rsidRPr="005F731C">
        <w:rPr>
          <w:sz w:val="22"/>
          <w:szCs w:val="22"/>
        </w:rPr>
        <w:t>Web:</w:t>
      </w:r>
      <w:r w:rsidRPr="005F731C">
        <w:rPr>
          <w:sz w:val="22"/>
          <w:szCs w:val="22"/>
        </w:rPr>
        <w:tab/>
      </w:r>
      <w:r w:rsidRPr="005F731C">
        <w:rPr>
          <w:sz w:val="22"/>
          <w:szCs w:val="22"/>
        </w:rPr>
        <w:tab/>
      </w:r>
      <w:hyperlink r:id="rId12" w:history="1">
        <w:r w:rsidRPr="005F731C">
          <w:rPr>
            <w:rStyle w:val="Hyperlink"/>
            <w:sz w:val="22"/>
            <w:szCs w:val="22"/>
          </w:rPr>
          <w:t>www.AustralianWomensHealth.org</w:t>
        </w:r>
      </w:hyperlink>
      <w:r w:rsidRPr="005F731C">
        <w:rPr>
          <w:sz w:val="22"/>
          <w:szCs w:val="22"/>
        </w:rPr>
        <w:t xml:space="preserve">   </w:t>
      </w:r>
    </w:p>
    <w:p w14:paraId="129C9F4A" w14:textId="77777777" w:rsidR="008F25C6" w:rsidRPr="005F731C" w:rsidRDefault="008F25C6" w:rsidP="002A7500">
      <w:pPr>
        <w:rPr>
          <w:sz w:val="22"/>
          <w:szCs w:val="22"/>
        </w:rPr>
      </w:pPr>
    </w:p>
    <w:p w14:paraId="1D97A44A" w14:textId="0C246A40" w:rsidR="008F25C6" w:rsidRPr="00F9514C" w:rsidRDefault="00D3424F" w:rsidP="00302CFE">
      <w:pPr>
        <w:pStyle w:val="Heading3"/>
        <w:rPr>
          <w:rFonts w:ascii="Rubik" w:hAnsi="Rubik"/>
        </w:rPr>
      </w:pPr>
      <w:bookmarkStart w:id="8" w:name="_j43bgxhp4yc1" w:colFirst="0" w:colLast="0"/>
      <w:bookmarkEnd w:id="8"/>
      <w:r w:rsidRPr="00F9514C">
        <w:rPr>
          <w:rFonts w:ascii="Rubik" w:hAnsi="Rubik"/>
        </w:rPr>
        <w:t>Suggested c</w:t>
      </w:r>
      <w:r w:rsidR="006A143E" w:rsidRPr="00F9514C">
        <w:rPr>
          <w:rFonts w:ascii="Rubik" w:hAnsi="Rubik"/>
        </w:rPr>
        <w:t>itation</w:t>
      </w:r>
    </w:p>
    <w:p w14:paraId="1D5F0EF1" w14:textId="7C7E5A19" w:rsidR="00BB0A41" w:rsidRPr="00017DCB" w:rsidRDefault="006A143E" w:rsidP="00017DCB">
      <w:pPr>
        <w:pStyle w:val="Heading2"/>
        <w:spacing w:after="0"/>
        <w:rPr>
          <w:rFonts w:asciiTheme="majorHAnsi" w:hAnsiTheme="majorHAnsi" w:cstheme="majorHAnsi"/>
          <w:color w:val="auto"/>
          <w:sz w:val="22"/>
          <w:szCs w:val="22"/>
        </w:rPr>
      </w:pPr>
      <w:r w:rsidRPr="005F731C">
        <w:rPr>
          <w:rFonts w:asciiTheme="majorHAnsi" w:hAnsiTheme="majorHAnsi" w:cstheme="majorHAnsi"/>
          <w:color w:val="auto"/>
          <w:sz w:val="22"/>
          <w:szCs w:val="22"/>
        </w:rPr>
        <w:t xml:space="preserve">Australian Women’s Health </w:t>
      </w:r>
      <w:r w:rsidR="00362F82" w:rsidRPr="005F731C">
        <w:rPr>
          <w:rFonts w:asciiTheme="majorHAnsi" w:hAnsiTheme="majorHAnsi" w:cstheme="majorHAnsi"/>
          <w:color w:val="auto"/>
          <w:sz w:val="22"/>
          <w:szCs w:val="22"/>
        </w:rPr>
        <w:t>Alliance</w:t>
      </w:r>
      <w:r w:rsidRPr="005F731C">
        <w:rPr>
          <w:rFonts w:asciiTheme="majorHAnsi" w:hAnsiTheme="majorHAnsi" w:cstheme="majorHAnsi"/>
          <w:color w:val="auto"/>
          <w:sz w:val="22"/>
          <w:szCs w:val="22"/>
        </w:rPr>
        <w:t xml:space="preserve">, </w:t>
      </w:r>
      <w:r w:rsidR="009D6BEB">
        <w:rPr>
          <w:rFonts w:asciiTheme="majorHAnsi" w:hAnsiTheme="majorHAnsi" w:cstheme="majorHAnsi"/>
          <w:color w:val="auto"/>
          <w:sz w:val="22"/>
          <w:szCs w:val="22"/>
        </w:rPr>
        <w:t xml:space="preserve">(2026). </w:t>
      </w:r>
      <w:r w:rsidR="00FB51D3">
        <w:rPr>
          <w:rFonts w:asciiTheme="majorHAnsi" w:hAnsiTheme="majorHAnsi" w:cstheme="majorHAnsi"/>
          <w:i/>
          <w:iCs/>
          <w:color w:val="auto"/>
          <w:sz w:val="22"/>
          <w:szCs w:val="22"/>
        </w:rPr>
        <w:t>The Impact of NDIS reforms on women and gender diverse people</w:t>
      </w:r>
      <w:r w:rsidR="00C754AA" w:rsidRPr="005F731C">
        <w:rPr>
          <w:rFonts w:asciiTheme="majorHAnsi" w:hAnsiTheme="majorHAnsi" w:cstheme="majorHAnsi"/>
          <w:color w:val="auto"/>
          <w:sz w:val="22"/>
          <w:szCs w:val="22"/>
        </w:rPr>
        <w:t>, Australian Women’s Health Alliance</w:t>
      </w:r>
      <w:r w:rsidR="009D6BEB">
        <w:rPr>
          <w:rFonts w:asciiTheme="majorHAnsi" w:hAnsiTheme="majorHAnsi" w:cstheme="majorHAnsi"/>
          <w:color w:val="auto"/>
          <w:sz w:val="22"/>
          <w:szCs w:val="22"/>
        </w:rPr>
        <w:t>.</w:t>
      </w:r>
      <w:r w:rsidR="00C754AA" w:rsidRPr="005F731C">
        <w:rPr>
          <w:rFonts w:asciiTheme="majorHAnsi" w:hAnsiTheme="majorHAnsi" w:cstheme="majorHAnsi"/>
          <w:color w:val="auto"/>
          <w:sz w:val="22"/>
          <w:szCs w:val="22"/>
        </w:rPr>
        <w:t xml:space="preserve"> </w:t>
      </w:r>
    </w:p>
    <w:p w14:paraId="30BDC2D2" w14:textId="77777777" w:rsidR="005F731C" w:rsidRPr="00413166" w:rsidRDefault="005F731C" w:rsidP="00413166">
      <w:pPr>
        <w:rPr>
          <w:iCs/>
          <w:sz w:val="22"/>
          <w:szCs w:val="22"/>
        </w:rPr>
      </w:pPr>
    </w:p>
    <w:p w14:paraId="28B029B9" w14:textId="206D54E8" w:rsidR="008F25C6" w:rsidRPr="005F731C" w:rsidRDefault="006A143E" w:rsidP="00413166">
      <w:pPr>
        <w:rPr>
          <w:i/>
          <w:sz w:val="22"/>
          <w:szCs w:val="22"/>
        </w:rPr>
      </w:pPr>
      <w:r w:rsidRPr="005F731C">
        <w:rPr>
          <w:i/>
          <w:sz w:val="22"/>
          <w:szCs w:val="22"/>
        </w:rPr>
        <w:t>We acknowledge the Traditional Custodians of the lands and waters on which we live and work.</w:t>
      </w:r>
    </w:p>
    <w:p w14:paraId="093D5C8D" w14:textId="77777777" w:rsidR="008F25C6" w:rsidRDefault="006A143E" w:rsidP="00413166">
      <w:pPr>
        <w:rPr>
          <w:rFonts w:ascii="Rubik" w:eastAsia="Rubik" w:hAnsi="Rubik" w:cs="Rubik"/>
          <w:color w:val="5A006F"/>
        </w:rPr>
      </w:pPr>
      <w:r w:rsidRPr="005F731C">
        <w:rPr>
          <w:i/>
          <w:sz w:val="22"/>
          <w:szCs w:val="22"/>
        </w:rPr>
        <w:t>We pay our respect to Elders past and present. Sovereignty has never been ceded.</w:t>
      </w:r>
    </w:p>
    <w:p w14:paraId="51A6F96B" w14:textId="77777777" w:rsidR="008F25C6" w:rsidRPr="00EB337F" w:rsidRDefault="008F25C6" w:rsidP="00413166">
      <w:pPr>
        <w:rPr>
          <w:rFonts w:asciiTheme="majorHAnsi" w:eastAsia="Rubik" w:hAnsiTheme="majorHAnsi" w:cstheme="majorHAnsi"/>
          <w:color w:val="5A006F"/>
          <w:sz w:val="22"/>
          <w:szCs w:val="22"/>
        </w:rPr>
      </w:pPr>
    </w:p>
    <w:p w14:paraId="0DBB6414" w14:textId="77777777" w:rsidR="008F25C6" w:rsidRPr="00EB337F" w:rsidRDefault="008F25C6" w:rsidP="00413166">
      <w:pPr>
        <w:rPr>
          <w:rFonts w:asciiTheme="majorHAnsi" w:eastAsia="Rubik" w:hAnsiTheme="majorHAnsi" w:cstheme="majorHAnsi"/>
          <w:color w:val="5A006F"/>
          <w:sz w:val="22"/>
          <w:szCs w:val="22"/>
        </w:rPr>
      </w:pPr>
    </w:p>
    <w:sectPr w:rsidR="008F25C6" w:rsidRPr="00EB337F" w:rsidSect="002B5496">
      <w:headerReference w:type="default" r:id="rId13"/>
      <w:footerReference w:type="default" r:id="rId14"/>
      <w:headerReference w:type="first" r:id="rId15"/>
      <w:footerReference w:type="first" r:id="rId16"/>
      <w:endnotePr>
        <w:numFmt w:val="decimal"/>
      </w:endnotePr>
      <w:pgSz w:w="11909" w:h="16834"/>
      <w:pgMar w:top="2127" w:right="1417" w:bottom="1417" w:left="141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C6879" w14:textId="77777777" w:rsidR="005C0846" w:rsidRDefault="005C0846">
      <w:pPr>
        <w:spacing w:line="240" w:lineRule="auto"/>
      </w:pPr>
      <w:r>
        <w:separator/>
      </w:r>
    </w:p>
  </w:endnote>
  <w:endnote w:type="continuationSeparator" w:id="0">
    <w:p w14:paraId="54835CFB" w14:textId="77777777" w:rsidR="005C0846" w:rsidRDefault="005C08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ubik regular">
    <w:altName w:val="Cambria"/>
    <w:charset w:val="00"/>
    <w:family w:val="roman"/>
    <w:pitch w:val="default"/>
  </w:font>
  <w:font w:name="Rubik">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D8945" w14:textId="77777777" w:rsidR="008F25C6" w:rsidRDefault="006A143E">
    <w:pPr>
      <w:jc w:val="right"/>
      <w:rPr>
        <w:color w:val="000000"/>
      </w:rPr>
    </w:pPr>
    <w:r>
      <w:rPr>
        <w:noProof/>
      </w:rPr>
      <w:drawing>
        <wp:anchor distT="114300" distB="114300" distL="114300" distR="114300" simplePos="0" relativeHeight="251661312" behindDoc="0" locked="0" layoutInCell="1" hidden="0" allowOverlap="1" wp14:anchorId="69BB7D84" wp14:editId="2D021CEA">
          <wp:simplePos x="0" y="0"/>
          <wp:positionH relativeFrom="column">
            <wp:posOffset>-964565</wp:posOffset>
          </wp:positionH>
          <wp:positionV relativeFrom="paragraph">
            <wp:posOffset>523875</wp:posOffset>
          </wp:positionV>
          <wp:extent cx="7631430" cy="125730"/>
          <wp:effectExtent l="0" t="0" r="0" b="0"/>
          <wp:wrapNone/>
          <wp:docPr id="854930143" name="Picture 8549301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54930143" name="Picture 854930143">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631430" cy="125730"/>
                  </a:xfrm>
                  <a:prstGeom prst="rect">
                    <a:avLst/>
                  </a:prstGeom>
                  <a:ln/>
                </pic:spPr>
              </pic:pic>
            </a:graphicData>
          </a:graphic>
        </wp:anchor>
      </w:drawing>
    </w: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E34D5" w14:textId="77777777" w:rsidR="008F25C6" w:rsidRDefault="006A143E">
    <w:pPr>
      <w:jc w:val="right"/>
      <w:rPr>
        <w:color w:val="000000"/>
      </w:rPr>
    </w:pPr>
    <w:r>
      <w:rPr>
        <w:noProof/>
      </w:rPr>
      <w:drawing>
        <wp:anchor distT="114300" distB="114300" distL="114300" distR="114300" simplePos="0" relativeHeight="251662336" behindDoc="0" locked="0" layoutInCell="1" hidden="0" allowOverlap="1" wp14:anchorId="692E5726" wp14:editId="141E34F3">
          <wp:simplePos x="0" y="0"/>
          <wp:positionH relativeFrom="column">
            <wp:posOffset>-896620</wp:posOffset>
          </wp:positionH>
          <wp:positionV relativeFrom="paragraph">
            <wp:posOffset>521970</wp:posOffset>
          </wp:positionV>
          <wp:extent cx="7632000" cy="133200"/>
          <wp:effectExtent l="0" t="0" r="0" b="635"/>
          <wp:wrapNone/>
          <wp:docPr id="1877179319" name="Picture 18771793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77179319" name="Picture 1877179319">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632000" cy="133200"/>
                  </a:xfrm>
                  <a:prstGeom prst="rect">
                    <a:avLst/>
                  </a:prstGeom>
                  <a:ln/>
                </pic:spPr>
              </pic:pic>
            </a:graphicData>
          </a:graphic>
          <wp14:sizeRelH relativeFrom="margin">
            <wp14:pctWidth>0</wp14:pctWidth>
          </wp14:sizeRelH>
          <wp14:sizeRelV relativeFrom="margin">
            <wp14:pctHeight>0</wp14:pctHeight>
          </wp14:sizeRelV>
        </wp:anchor>
      </w:drawing>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BAB8A" w14:textId="77777777" w:rsidR="005C0846" w:rsidRDefault="005C0846">
      <w:pPr>
        <w:spacing w:line="240" w:lineRule="auto"/>
      </w:pPr>
      <w:r>
        <w:separator/>
      </w:r>
    </w:p>
  </w:footnote>
  <w:footnote w:type="continuationSeparator" w:id="0">
    <w:p w14:paraId="788C190D" w14:textId="77777777" w:rsidR="005C0846" w:rsidRDefault="005C0846">
      <w:pPr>
        <w:spacing w:line="240" w:lineRule="auto"/>
      </w:pPr>
      <w:r>
        <w:continuationSeparator/>
      </w:r>
    </w:p>
  </w:footnote>
  <w:footnote w:id="1">
    <w:p w14:paraId="74AD8564" w14:textId="027CD7FC" w:rsidR="00D90232" w:rsidRPr="00D90232" w:rsidRDefault="00D90232">
      <w:pPr>
        <w:pStyle w:val="FootnoteText"/>
        <w:rPr>
          <w:lang w:val="en-AU"/>
        </w:rPr>
      </w:pPr>
      <w:r>
        <w:rPr>
          <w:rStyle w:val="FootnoteReference"/>
        </w:rPr>
        <w:footnoteRef/>
      </w:r>
      <w:r>
        <w:t xml:space="preserve"> </w:t>
      </w:r>
      <w:r w:rsidR="008D79D9">
        <w:rPr>
          <w:lang w:val="en-AU"/>
        </w:rPr>
        <w:t xml:space="preserve">Department of Health, Disability and Ageing, (2026). About the changes to the NDIS. Accessed via: </w:t>
      </w:r>
      <w:r w:rsidR="008D79D9" w:rsidRPr="008D79D9">
        <w:rPr>
          <w:lang w:val="en-AU"/>
        </w:rPr>
        <w:t>https://www.health.gov.au/our-work/ndis-legislation-changes/amendments/ndis-amendment-securing-the-ndis-for-future-generations-bill-2026/about-the-changes-to-the-ndis?language=en</w:t>
      </w:r>
    </w:p>
  </w:footnote>
  <w:footnote w:id="2">
    <w:p w14:paraId="36585391" w14:textId="114CBF14" w:rsidR="00D037B6" w:rsidRPr="00D037B6" w:rsidRDefault="00D037B6">
      <w:pPr>
        <w:pStyle w:val="FootnoteText"/>
        <w:rPr>
          <w:lang w:val="en-AU"/>
        </w:rPr>
      </w:pPr>
      <w:r>
        <w:rPr>
          <w:rStyle w:val="FootnoteReference"/>
        </w:rPr>
        <w:footnoteRef/>
      </w:r>
      <w:r>
        <w:t xml:space="preserve"> </w:t>
      </w:r>
      <w:r>
        <w:rPr>
          <w:lang w:val="en-AU"/>
        </w:rPr>
        <w:t>Women with Disabilities Australia, (2026)</w:t>
      </w:r>
      <w:r w:rsidR="008D79D9">
        <w:rPr>
          <w:lang w:val="en-AU"/>
        </w:rPr>
        <w:t xml:space="preserve">. </w:t>
      </w:r>
      <w:r>
        <w:rPr>
          <w:lang w:val="en-AU"/>
        </w:rPr>
        <w:t xml:space="preserve">Women at higher risk of abuse under proposed NDIS changes, Accessed via: </w:t>
      </w:r>
      <w:r w:rsidRPr="00D037B6">
        <w:rPr>
          <w:lang w:val="en-AU"/>
        </w:rPr>
        <w:t>https://www.medicalrepublic.com.au/women-at-higher-risk-of-abuse-under-proposed-ndis-changes/126410</w:t>
      </w:r>
      <w:r>
        <w:rPr>
          <w:lang w:val="en-AU"/>
        </w:rPr>
        <w:t>.</w:t>
      </w:r>
    </w:p>
  </w:footnote>
  <w:footnote w:id="3">
    <w:p w14:paraId="573DBF9A" w14:textId="3AABE5F1" w:rsidR="00D037B6" w:rsidRPr="00D037B6" w:rsidRDefault="00D037B6">
      <w:pPr>
        <w:pStyle w:val="FootnoteText"/>
        <w:rPr>
          <w:lang w:val="en-AU"/>
        </w:rPr>
      </w:pPr>
      <w:r>
        <w:rPr>
          <w:rStyle w:val="FootnoteReference"/>
        </w:rPr>
        <w:footnoteRef/>
      </w:r>
      <w:r>
        <w:t xml:space="preserve"> </w:t>
      </w:r>
      <w:r>
        <w:rPr>
          <w:lang w:val="en-AU"/>
        </w:rPr>
        <w:t>Ibid.</w:t>
      </w:r>
    </w:p>
  </w:footnote>
  <w:footnote w:id="4">
    <w:p w14:paraId="12610F7B" w14:textId="0E6B188B" w:rsidR="00D037B6" w:rsidRPr="00D037B6" w:rsidRDefault="00D037B6">
      <w:pPr>
        <w:pStyle w:val="FootnoteText"/>
        <w:rPr>
          <w:lang w:val="en-AU"/>
        </w:rPr>
      </w:pPr>
      <w:r>
        <w:rPr>
          <w:rStyle w:val="FootnoteReference"/>
        </w:rPr>
        <w:footnoteRef/>
      </w:r>
      <w:r>
        <w:t xml:space="preserve"> </w:t>
      </w:r>
      <w:r>
        <w:rPr>
          <w:lang w:val="en-AU"/>
        </w:rPr>
        <w:t xml:space="preserve">Ibid. </w:t>
      </w:r>
    </w:p>
  </w:footnote>
  <w:footnote w:id="5">
    <w:p w14:paraId="16115D50" w14:textId="0197468B" w:rsidR="001F5861" w:rsidRPr="00AE00D2" w:rsidRDefault="001F5861">
      <w:pPr>
        <w:pStyle w:val="FootnoteText"/>
        <w:rPr>
          <w:rFonts w:asciiTheme="majorHAnsi" w:hAnsiTheme="majorHAnsi" w:cstheme="majorHAnsi"/>
          <w:lang w:val="en-AU"/>
        </w:rPr>
      </w:pPr>
      <w:r w:rsidRPr="00AE00D2">
        <w:rPr>
          <w:rStyle w:val="FootnoteReference"/>
          <w:rFonts w:asciiTheme="majorHAnsi" w:hAnsiTheme="majorHAnsi" w:cstheme="majorHAnsi"/>
        </w:rPr>
        <w:footnoteRef/>
      </w:r>
      <w:r w:rsidRPr="00AE00D2">
        <w:rPr>
          <w:rFonts w:asciiTheme="majorHAnsi" w:hAnsiTheme="majorHAnsi" w:cstheme="majorHAnsi"/>
        </w:rPr>
        <w:t xml:space="preserve"> </w:t>
      </w:r>
      <w:r w:rsidRPr="00AE00D2">
        <w:rPr>
          <w:rFonts w:asciiTheme="majorHAnsi" w:hAnsiTheme="majorHAnsi" w:cstheme="majorHAnsi"/>
          <w:lang w:val="en-AU"/>
        </w:rPr>
        <w:t>ABS, (2022). Disability and violence - In focus: Crime and justice statistics. Accessed via: https://www.abs.gov.au/statistics/people/crime-and-justice/focus-crime-and-justice-statistics/latest-release</w:t>
      </w:r>
    </w:p>
  </w:footnote>
  <w:footnote w:id="6">
    <w:p w14:paraId="6C92BE59" w14:textId="28B8DAF0" w:rsidR="00AE00D2" w:rsidRPr="00AE00D2" w:rsidRDefault="00AE00D2" w:rsidP="00AE00D2">
      <w:pPr>
        <w:rPr>
          <w:rFonts w:ascii="Times New Roman" w:eastAsia="Times New Roman" w:hAnsi="Times New Roman" w:cs="Times New Roman"/>
          <w:sz w:val="24"/>
          <w:szCs w:val="24"/>
          <w:lang w:val="en-AU" w:eastAsia="en-GB"/>
        </w:rPr>
      </w:pPr>
      <w:r w:rsidRPr="00AE00D2">
        <w:rPr>
          <w:rStyle w:val="FootnoteReference"/>
          <w:rFonts w:asciiTheme="majorHAnsi" w:hAnsiTheme="majorHAnsi" w:cstheme="majorHAnsi"/>
        </w:rPr>
        <w:footnoteRef/>
      </w:r>
      <w:r w:rsidRPr="00AE00D2">
        <w:rPr>
          <w:rFonts w:asciiTheme="majorHAnsi" w:hAnsiTheme="majorHAnsi" w:cstheme="majorHAnsi"/>
        </w:rPr>
        <w:t xml:space="preserve"> </w:t>
      </w:r>
      <w:r w:rsidRPr="00AE00D2">
        <w:rPr>
          <w:rFonts w:asciiTheme="majorHAnsi" w:hAnsiTheme="majorHAnsi" w:cstheme="majorHAnsi"/>
          <w:lang w:val="en-AU"/>
        </w:rPr>
        <w:t xml:space="preserve">Carers Australia. (2025). Carer’s wellbeing survey. Accessed via: </w:t>
      </w:r>
      <w:r w:rsidRPr="00AE00D2">
        <w:rPr>
          <w:rFonts w:asciiTheme="majorHAnsi" w:eastAsia="Times New Roman" w:hAnsiTheme="majorHAnsi" w:cstheme="majorHAnsi"/>
          <w:color w:val="121212"/>
          <w:shd w:val="clear" w:color="auto" w:fill="FFFFFF"/>
          <w:lang w:val="en-AU" w:eastAsia="en-GB"/>
        </w:rPr>
        <w:t>https://www.carersaustralia.com.au/media-release/national-carers-week-2025-new-report-shows-carer-wellbeing-declining/</w:t>
      </w:r>
    </w:p>
  </w:footnote>
  <w:footnote w:id="7">
    <w:p w14:paraId="014A67E9" w14:textId="043B2B70" w:rsidR="00AE00D2" w:rsidRPr="00AE00D2" w:rsidRDefault="00AE00D2" w:rsidP="00AE00D2">
      <w:pPr>
        <w:rPr>
          <w:rFonts w:ascii="Times New Roman" w:eastAsia="Times New Roman" w:hAnsi="Times New Roman" w:cs="Times New Roman"/>
          <w:sz w:val="24"/>
          <w:szCs w:val="24"/>
          <w:lang w:val="en-AU" w:eastAsia="en-GB"/>
        </w:rPr>
      </w:pPr>
      <w:r>
        <w:rPr>
          <w:rStyle w:val="FootnoteReference"/>
        </w:rPr>
        <w:footnoteRef/>
      </w:r>
      <w:r>
        <w:t xml:space="preserve"> </w:t>
      </w:r>
      <w:r w:rsidRPr="00AE00D2">
        <w:rPr>
          <w:rFonts w:asciiTheme="majorHAnsi" w:eastAsia="Times New Roman" w:hAnsiTheme="majorHAnsi" w:cstheme="majorHAnsi"/>
          <w:lang w:val="en-AU" w:eastAsia="en-GB"/>
        </w:rPr>
        <w:t xml:space="preserve">Ervin, J. et al., (2023). The association between unpaid labour and mental health in working-age adults in Australia from 2002 to 2020: a longitudinal population-based cohort study," </w:t>
      </w:r>
      <w:r w:rsidRPr="00AE00D2">
        <w:rPr>
          <w:rFonts w:asciiTheme="majorHAnsi" w:eastAsia="Times New Roman" w:hAnsiTheme="majorHAnsi" w:cstheme="majorHAnsi"/>
          <w:i/>
          <w:iCs/>
          <w:lang w:val="en-AU" w:eastAsia="en-GB"/>
        </w:rPr>
        <w:t>The Lancet Public Health</w:t>
      </w:r>
      <w:r w:rsidRPr="00AE00D2">
        <w:rPr>
          <w:rFonts w:asciiTheme="majorHAnsi" w:eastAsia="Times New Roman" w:hAnsiTheme="majorHAnsi" w:cstheme="majorHAnsi"/>
          <w:lang w:val="en-AU" w:eastAsia="en-GB"/>
        </w:rPr>
        <w:t>.</w:t>
      </w:r>
    </w:p>
    <w:p w14:paraId="7306ACE8" w14:textId="1E81170F" w:rsidR="00AE00D2" w:rsidRPr="00AE00D2" w:rsidRDefault="00AE00D2">
      <w:pPr>
        <w:pStyle w:val="FootnoteText"/>
        <w:rPr>
          <w:lang w:val="en-AU"/>
        </w:rPr>
      </w:pPr>
    </w:p>
  </w:footnote>
  <w:footnote w:id="8">
    <w:p w14:paraId="7134268A" w14:textId="3C98B790" w:rsidR="00AE00D2" w:rsidRPr="00AE00D2" w:rsidRDefault="00AE00D2">
      <w:pPr>
        <w:pStyle w:val="FootnoteText"/>
        <w:rPr>
          <w:lang w:val="en-AU"/>
        </w:rPr>
      </w:pPr>
      <w:r w:rsidRPr="00AE00D2">
        <w:rPr>
          <w:rStyle w:val="FootnoteReference"/>
        </w:rPr>
        <w:footnoteRef/>
      </w:r>
      <w:r w:rsidRPr="00AE00D2">
        <w:t xml:space="preserve"> </w:t>
      </w:r>
      <w:r w:rsidRPr="00AE00D2">
        <w:rPr>
          <w:lang w:val="en-AU"/>
        </w:rPr>
        <w:t xml:space="preserve">Grattan Institute, (2026). The trouble with the NDIS reform package. Accessed via: </w:t>
      </w:r>
      <w:r w:rsidRPr="00AE00D2">
        <w:rPr>
          <w:rFonts w:asciiTheme="majorHAnsi" w:hAnsiTheme="majorHAnsi" w:cstheme="majorHAnsi"/>
        </w:rPr>
        <w:t>https://grattan.edu.au/news/the-trouble-with-the-ndis-reform-package/</w:t>
      </w:r>
    </w:p>
  </w:footnote>
  <w:footnote w:id="9">
    <w:p w14:paraId="3AA84B99" w14:textId="27562E94" w:rsidR="00D037B6" w:rsidRPr="00D037B6" w:rsidRDefault="00D037B6">
      <w:pPr>
        <w:pStyle w:val="FootnoteText"/>
        <w:rPr>
          <w:lang w:val="en-AU"/>
        </w:rPr>
      </w:pPr>
      <w:r>
        <w:rPr>
          <w:rStyle w:val="FootnoteReference"/>
        </w:rPr>
        <w:footnoteRef/>
      </w:r>
      <w:r>
        <w:t xml:space="preserve"> </w:t>
      </w:r>
      <w:r>
        <w:rPr>
          <w:lang w:val="en-AU"/>
        </w:rPr>
        <w:t>Australian Institute of Health and Welfare, (2025). Informal carers</w:t>
      </w:r>
      <w:r w:rsidR="00D90232">
        <w:rPr>
          <w:lang w:val="en-AU"/>
        </w:rPr>
        <w:t xml:space="preserve">. Accessed via: </w:t>
      </w:r>
      <w:r w:rsidR="00D90232" w:rsidRPr="00D90232">
        <w:rPr>
          <w:lang w:val="en-AU"/>
        </w:rPr>
        <w:t>https://www.aihw.gov.au/reports/australias-welfare/informal-carers</w:t>
      </w:r>
      <w:r w:rsidR="00D90232">
        <w:rPr>
          <w:lang w:val="en-AU"/>
        </w:rPr>
        <w:t>.</w:t>
      </w:r>
    </w:p>
  </w:footnote>
  <w:footnote w:id="10">
    <w:p w14:paraId="63FE8EB9" w14:textId="0A3043DB" w:rsidR="00D90232" w:rsidRPr="00D90232" w:rsidRDefault="00D90232">
      <w:pPr>
        <w:pStyle w:val="FootnoteText"/>
        <w:rPr>
          <w:lang w:val="en-AU"/>
        </w:rPr>
      </w:pPr>
      <w:r>
        <w:rPr>
          <w:rStyle w:val="FootnoteReference"/>
        </w:rPr>
        <w:footnoteRef/>
      </w:r>
      <w:r>
        <w:t xml:space="preserve"> </w:t>
      </w:r>
      <w:r>
        <w:rPr>
          <w:lang w:val="en-AU"/>
        </w:rPr>
        <w:t xml:space="preserve">Workplace Gender Equality Agency, (2026). Gender equality and caring. Accessed via: </w:t>
      </w:r>
      <w:r w:rsidRPr="00D90232">
        <w:rPr>
          <w:lang w:val="en-AU"/>
        </w:rPr>
        <w:t>https://www.wgea.gov.au/gender-equality-and-caring</w:t>
      </w:r>
    </w:p>
  </w:footnote>
  <w:footnote w:id="11">
    <w:p w14:paraId="6741EC10" w14:textId="0AA51CEB" w:rsidR="003A0FFA" w:rsidRPr="003A0FFA" w:rsidRDefault="003A0FFA" w:rsidP="003A0FFA">
      <w:pPr>
        <w:rPr>
          <w:rFonts w:asciiTheme="majorHAnsi" w:eastAsia="Times New Roman" w:hAnsiTheme="majorHAnsi" w:cstheme="majorHAnsi"/>
          <w:color w:val="012838"/>
          <w:shd w:val="clear" w:color="auto" w:fill="FCFCFC"/>
          <w:lang w:eastAsia="en-GB"/>
        </w:rPr>
      </w:pPr>
      <w:r>
        <w:rPr>
          <w:rStyle w:val="FootnoteReference"/>
        </w:rPr>
        <w:footnoteRef/>
      </w:r>
      <w:r>
        <w:t xml:space="preserve"> </w:t>
      </w:r>
      <w:r w:rsidRPr="003A0FFA">
        <w:t xml:space="preserve">Law Council of Australia, (2026). Joint statement on NDIS reforms risk. </w:t>
      </w:r>
      <w:r w:rsidRPr="003A0FFA">
        <w:rPr>
          <w:lang w:val="en-AU"/>
        </w:rPr>
        <w:t xml:space="preserve">Accessed via: </w:t>
      </w:r>
      <w:r w:rsidRPr="003A0FFA">
        <w:rPr>
          <w:rFonts w:asciiTheme="majorHAnsi" w:eastAsia="Times New Roman" w:hAnsiTheme="majorHAnsi" w:cstheme="majorHAnsi"/>
          <w:color w:val="012838"/>
          <w:shd w:val="clear" w:color="auto" w:fill="FCFCFC"/>
          <w:lang w:eastAsia="en-GB"/>
        </w:rPr>
        <w:t xml:space="preserve"> </w:t>
      </w:r>
      <w:hyperlink r:id="rId1" w:history="1">
        <w:r w:rsidRPr="003A0FFA">
          <w:rPr>
            <w:rStyle w:val="Hyperlink"/>
            <w:rFonts w:asciiTheme="majorHAnsi" w:eastAsia="Times New Roman" w:hAnsiTheme="majorHAnsi" w:cstheme="majorHAnsi"/>
            <w:color w:val="000000" w:themeColor="text1"/>
            <w:u w:val="none"/>
            <w:shd w:val="clear" w:color="auto" w:fill="FCFCFC"/>
            <w:lang w:eastAsia="en-GB"/>
          </w:rPr>
          <w:t>https://nationallegalaid.org.au/news/joint-statement-ndis-reforms-risk</w:t>
        </w:r>
      </w:hyperlink>
      <w:r w:rsidRPr="003A0FFA">
        <w:rPr>
          <w:rFonts w:asciiTheme="majorHAnsi" w:eastAsia="Times New Roman" w:hAnsiTheme="majorHAnsi" w:cstheme="majorHAnsi"/>
          <w:color w:val="000000" w:themeColor="text1"/>
          <w:shd w:val="clear" w:color="auto" w:fill="FCFCFC"/>
          <w:lang w:eastAsia="en-GB"/>
        </w:rPr>
        <w:t>)</w:t>
      </w:r>
    </w:p>
    <w:p w14:paraId="1564AB62" w14:textId="670A1FB1" w:rsidR="003A0FFA" w:rsidRPr="003A0FFA" w:rsidRDefault="003A0FFA">
      <w:pPr>
        <w:pStyle w:val="FootnoteText"/>
        <w:rPr>
          <w:lang w:val="en-A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F45E5" w14:textId="77777777" w:rsidR="008F25C6" w:rsidRDefault="006A143E">
    <w:r>
      <w:rPr>
        <w:noProof/>
      </w:rPr>
      <w:drawing>
        <wp:inline distT="0" distB="0" distL="0" distR="0" wp14:anchorId="14EC3042" wp14:editId="65113AA0">
          <wp:extent cx="533400" cy="466725"/>
          <wp:effectExtent l="0" t="0" r="0" b="9525"/>
          <wp:docPr id="1781817302" name="Picture 1781817302" descr="The Australian Women's Health Alliance logo with four graphic icons only, the first and second shapes are stacked on top of the third and fourth shape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1781817302" name="Picture 1781817302" descr="The Australian Women's Health Alliance logo with four graphic icons only, the first and second shapes are stacked on top of the third and fourth shapes.">
                    <a:extLst>
                      <a:ext uri="{C183D7F6-B498-43B3-948B-1728B52AA6E4}">
                        <adec:decorative xmlns:adec="http://schemas.microsoft.com/office/drawing/2017/decorative" val="0"/>
                      </a:ext>
                    </a:extLst>
                  </pic:cNvPr>
                  <pic:cNvPicPr preferRelativeResize="0"/>
                </pic:nvPicPr>
                <pic:blipFill>
                  <a:blip r:embed="rId1">
                    <a:extLst>
                      <a:ext uri="{28A0092B-C50C-407E-A947-70E740481C1C}">
                        <a14:useLocalDpi xmlns:a14="http://schemas.microsoft.com/office/drawing/2010/main" val="0"/>
                      </a:ext>
                    </a:extLst>
                  </a:blip>
                  <a:srcRect r="67058"/>
                  <a:stretch>
                    <a:fillRect/>
                  </a:stretch>
                </pic:blipFill>
                <pic:spPr>
                  <a:xfrm>
                    <a:off x="0" y="0"/>
                    <a:ext cx="533400" cy="466725"/>
                  </a:xfrm>
                  <a:prstGeom prst="rect">
                    <a:avLst/>
                  </a:prstGeom>
                  <a:ln/>
                </pic:spPr>
              </pic:pic>
            </a:graphicData>
          </a:graphic>
        </wp:inline>
      </w:drawing>
    </w:r>
  </w:p>
  <w:p w14:paraId="3FF924A7" w14:textId="77777777" w:rsidR="008F25C6" w:rsidRDefault="008F25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753A6" w14:textId="4ADEA680" w:rsidR="008F25C6" w:rsidRDefault="006A143E" w:rsidP="1A1A1CC6">
    <w:pPr>
      <w:rPr>
        <w:color w:val="7030A0"/>
      </w:rPr>
    </w:pPr>
    <w:r>
      <w:rPr>
        <w:noProof/>
      </w:rPr>
      <w:drawing>
        <wp:anchor distT="114300" distB="114300" distL="114300" distR="114300" simplePos="0" relativeHeight="251659264" behindDoc="0" locked="0" layoutInCell="1" hidden="0" allowOverlap="1" wp14:anchorId="05AB22E6" wp14:editId="4E88CF11">
          <wp:simplePos x="0" y="0"/>
          <wp:positionH relativeFrom="page">
            <wp:posOffset>-1424</wp:posOffset>
          </wp:positionH>
          <wp:positionV relativeFrom="page">
            <wp:posOffset>-6985</wp:posOffset>
          </wp:positionV>
          <wp:extent cx="7938000" cy="46800"/>
          <wp:effectExtent l="0" t="0" r="0" b="0"/>
          <wp:wrapNone/>
          <wp:docPr id="1424279754" name="Picture 14242797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24279754" name="Picture 1424279754">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938000" cy="46800"/>
                  </a:xfrm>
                  <a:prstGeom prst="rect">
                    <a:avLst/>
                  </a:prstGeom>
                  <a:ln/>
                </pic:spPr>
              </pic:pic>
            </a:graphicData>
          </a:graphic>
          <wp14:sizeRelH relativeFrom="margin">
            <wp14:pctWidth>0</wp14:pctWidth>
          </wp14:sizeRelH>
          <wp14:sizeRelV relativeFrom="margin">
            <wp14:pctHeight>0</wp14:pctHeight>
          </wp14:sizeRelV>
        </wp:anchor>
      </w:drawing>
    </w:r>
    <w:r w:rsidR="1A1A1CC6" w:rsidRPr="1A1A1CC6">
      <w:rPr>
        <w:color w:val="7030A0"/>
      </w:rPr>
      <w:t xml:space="preserve">             </w:t>
    </w:r>
  </w:p>
  <w:tbl>
    <w:tblPr>
      <w:tblStyle w:val="PlainTable4"/>
      <w:tblW w:w="0" w:type="auto"/>
      <w:tblLayout w:type="fixed"/>
      <w:tblLook w:val="06A0" w:firstRow="1" w:lastRow="0" w:firstColumn="1" w:lastColumn="0" w:noHBand="1" w:noVBand="1"/>
      <w:tblCaption w:val="Header"/>
      <w:tblDescription w:val="The logo consists of the text “Australian Women’s Health Alliance” in purple. The text is accompanied by a graphic of four figures. The logo is set against a white background. &#10;&#10;You can also read the details: &#10;PO Box 341, Leichhardt, NSW 2040&#10;www.australianwomenshealth.org&#10;Reg. No. A023 83 &#10;ABN 84 238 300 000"/>
    </w:tblPr>
    <w:tblGrid>
      <w:gridCol w:w="4538"/>
    </w:tblGrid>
    <w:tr w:rsidR="000377AE" w14:paraId="07F37C55" w14:textId="77777777" w:rsidTr="1A1A1CC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8" w:type="dxa"/>
        </w:tcPr>
        <w:p w14:paraId="70075A9A" w14:textId="2D42F78C" w:rsidR="000377AE" w:rsidRDefault="000377AE" w:rsidP="1A1A1CC6">
          <w:pPr>
            <w:rPr>
              <w:color w:val="7030A0"/>
            </w:rPr>
          </w:pPr>
          <w:r>
            <w:rPr>
              <w:noProof/>
            </w:rPr>
            <w:drawing>
              <wp:inline distT="0" distB="0" distL="0" distR="0" wp14:anchorId="408D8747" wp14:editId="698AE950">
                <wp:extent cx="2151426" cy="733425"/>
                <wp:effectExtent l="0" t="0" r="0" b="0"/>
                <wp:docPr id="833293377" name="Picture 833293377" descr="The Australian Women’s Health Alliance logo, which consists of a graphic of four different coloured geometric shapes, with the first and second shapes stacked on top of the third and fourth shapes. To the right of graphic is the text “Australian Women’s Health Alli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293377" name="Picture 833293377" descr="The Australian Women’s Health Alliance logo, which consists of a graphic of four different coloured geometric shapes, with the first and second shapes stacked on top of the third and fourth shapes. To the right of graphic is the text “Australian Women’s Health Alliance”. "/>
                        <pic:cNvPicPr/>
                      </pic:nvPicPr>
                      <pic:blipFill>
                        <a:blip r:embed="rId2">
                          <a:extLst>
                            <a:ext uri="{28A0092B-C50C-407E-A947-70E740481C1C}">
                              <a14:useLocalDpi xmlns:a14="http://schemas.microsoft.com/office/drawing/2010/main" val="0"/>
                            </a:ext>
                          </a:extLst>
                        </a:blip>
                        <a:srcRect r="54006"/>
                        <a:stretch>
                          <a:fillRect/>
                        </a:stretch>
                      </pic:blipFill>
                      <pic:spPr>
                        <a:xfrm>
                          <a:off x="0" y="0"/>
                          <a:ext cx="2151426" cy="733425"/>
                        </a:xfrm>
                        <a:prstGeom prst="rect">
                          <a:avLst/>
                        </a:prstGeom>
                      </pic:spPr>
                    </pic:pic>
                  </a:graphicData>
                </a:graphic>
              </wp:inline>
            </w:drawing>
          </w:r>
        </w:p>
        <w:p w14:paraId="7DFB0522" w14:textId="1B4760D0" w:rsidR="000377AE" w:rsidRDefault="000377AE" w:rsidP="1A1A1CC6"/>
      </w:tc>
    </w:tr>
  </w:tbl>
  <w:p w14:paraId="46DC9A8E" w14:textId="6B4155D8" w:rsidR="1A1A1CC6" w:rsidRDefault="1A1A1CC6" w:rsidP="1A1A1CC6">
    <w:pPr>
      <w:rPr>
        <w:color w:val="7030A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782"/>
    <w:multiLevelType w:val="hybridMultilevel"/>
    <w:tmpl w:val="F300D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D6D2F7D"/>
    <w:multiLevelType w:val="hybridMultilevel"/>
    <w:tmpl w:val="1F7AE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95734690">
    <w:abstractNumId w:val="1"/>
  </w:num>
  <w:num w:numId="2" w16cid:durableId="2109153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EDE"/>
    <w:rsid w:val="00017DCB"/>
    <w:rsid w:val="000377AE"/>
    <w:rsid w:val="00067BAE"/>
    <w:rsid w:val="00083FC9"/>
    <w:rsid w:val="000D4F71"/>
    <w:rsid w:val="000E4EE5"/>
    <w:rsid w:val="000F59D1"/>
    <w:rsid w:val="001017BC"/>
    <w:rsid w:val="001567D3"/>
    <w:rsid w:val="00157B87"/>
    <w:rsid w:val="001A0EDE"/>
    <w:rsid w:val="001A4C07"/>
    <w:rsid w:val="001F5861"/>
    <w:rsid w:val="002A7500"/>
    <w:rsid w:val="002B5496"/>
    <w:rsid w:val="00302CFE"/>
    <w:rsid w:val="00325D78"/>
    <w:rsid w:val="00333FE0"/>
    <w:rsid w:val="00340B32"/>
    <w:rsid w:val="00343B6A"/>
    <w:rsid w:val="00345E46"/>
    <w:rsid w:val="00362F82"/>
    <w:rsid w:val="003A0FFA"/>
    <w:rsid w:val="00413166"/>
    <w:rsid w:val="00447BE7"/>
    <w:rsid w:val="00454AA4"/>
    <w:rsid w:val="00513DC9"/>
    <w:rsid w:val="00536AE4"/>
    <w:rsid w:val="00580736"/>
    <w:rsid w:val="005C0846"/>
    <w:rsid w:val="005F731C"/>
    <w:rsid w:val="00600D7F"/>
    <w:rsid w:val="00626DE6"/>
    <w:rsid w:val="00664D0C"/>
    <w:rsid w:val="006724B8"/>
    <w:rsid w:val="006A143E"/>
    <w:rsid w:val="00725E3D"/>
    <w:rsid w:val="00790CE3"/>
    <w:rsid w:val="00847A98"/>
    <w:rsid w:val="008A79D0"/>
    <w:rsid w:val="008B2FF0"/>
    <w:rsid w:val="008D79D9"/>
    <w:rsid w:val="008F25C6"/>
    <w:rsid w:val="00993286"/>
    <w:rsid w:val="009D2032"/>
    <w:rsid w:val="009D6BEB"/>
    <w:rsid w:val="00AA7E26"/>
    <w:rsid w:val="00AB6A6B"/>
    <w:rsid w:val="00AE00D2"/>
    <w:rsid w:val="00AF6822"/>
    <w:rsid w:val="00B51E4F"/>
    <w:rsid w:val="00B538CD"/>
    <w:rsid w:val="00B715FE"/>
    <w:rsid w:val="00BB0A41"/>
    <w:rsid w:val="00BF72E2"/>
    <w:rsid w:val="00C078A2"/>
    <w:rsid w:val="00C3059C"/>
    <w:rsid w:val="00C440CB"/>
    <w:rsid w:val="00C4786D"/>
    <w:rsid w:val="00C524BF"/>
    <w:rsid w:val="00C754AA"/>
    <w:rsid w:val="00C7775B"/>
    <w:rsid w:val="00CB56F5"/>
    <w:rsid w:val="00CD4800"/>
    <w:rsid w:val="00D037B6"/>
    <w:rsid w:val="00D214DF"/>
    <w:rsid w:val="00D3424F"/>
    <w:rsid w:val="00D725CF"/>
    <w:rsid w:val="00D90232"/>
    <w:rsid w:val="00DA1DC8"/>
    <w:rsid w:val="00E0589E"/>
    <w:rsid w:val="00E52680"/>
    <w:rsid w:val="00E8111A"/>
    <w:rsid w:val="00EB337F"/>
    <w:rsid w:val="00F71EBB"/>
    <w:rsid w:val="00F9514C"/>
    <w:rsid w:val="00FB51D3"/>
    <w:rsid w:val="00FD5C10"/>
    <w:rsid w:val="0C5ED419"/>
    <w:rsid w:val="1450BDA1"/>
    <w:rsid w:val="1A1A1CC6"/>
    <w:rsid w:val="1FDFAEFA"/>
    <w:rsid w:val="3EFF4C5A"/>
    <w:rsid w:val="409B1CBB"/>
    <w:rsid w:val="4F1B3A1F"/>
    <w:rsid w:val="54F1DB20"/>
    <w:rsid w:val="6B50CEB1"/>
    <w:rsid w:val="6FE13D70"/>
    <w:rsid w:val="7299E082"/>
    <w:rsid w:val="75D18144"/>
    <w:rsid w:val="7A2420FF"/>
    <w:rsid w:val="7CFED1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EEF79"/>
  <w15:docId w15:val="{047855C5-8DA2-422B-9907-A8EE43AB8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7AE"/>
    <w:pPr>
      <w:keepNext/>
      <w:keepLines/>
      <w:outlineLvl w:val="0"/>
    </w:pPr>
    <w:rPr>
      <w:rFonts w:ascii="Rubik regular" w:eastAsia="Rubik" w:hAnsi="Rubik regular" w:cs="Rubik"/>
      <w:color w:val="5A006F"/>
      <w:sz w:val="36"/>
      <w:szCs w:val="36"/>
    </w:rPr>
  </w:style>
  <w:style w:type="paragraph" w:styleId="Heading2">
    <w:name w:val="heading 2"/>
    <w:basedOn w:val="Normal"/>
    <w:next w:val="Normal"/>
    <w:link w:val="Heading2Char"/>
    <w:uiPriority w:val="9"/>
    <w:unhideWhenUsed/>
    <w:qFormat/>
    <w:rsid w:val="000377AE"/>
    <w:pPr>
      <w:keepNext/>
      <w:keepLines/>
      <w:spacing w:after="320"/>
      <w:outlineLvl w:val="1"/>
    </w:pPr>
    <w:rPr>
      <w:rFonts w:ascii="Rubik regular" w:eastAsia="Rubik" w:hAnsi="Rubik regular" w:cs="Rubik"/>
      <w:color w:val="5A006F"/>
      <w:sz w:val="30"/>
      <w:szCs w:val="30"/>
    </w:rPr>
  </w:style>
  <w:style w:type="paragraph" w:styleId="Heading3">
    <w:name w:val="heading 3"/>
    <w:basedOn w:val="Normal"/>
    <w:next w:val="Normal"/>
    <w:uiPriority w:val="9"/>
    <w:unhideWhenUsed/>
    <w:qFormat/>
    <w:rsid w:val="00302CFE"/>
    <w:pPr>
      <w:keepNext/>
      <w:keepLines/>
      <w:outlineLvl w:val="2"/>
    </w:pPr>
    <w:rPr>
      <w:rFonts w:ascii="Rubik regular" w:hAnsi="Rubik regular"/>
      <w:color w:val="6F1A82"/>
      <w:sz w:val="24"/>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rFonts w:ascii="Rubik" w:eastAsia="Rubik" w:hAnsi="Rubik" w:cs="Rubik"/>
      <w:color w:val="5A006F"/>
      <w:sz w:val="24"/>
      <w:szCs w:val="24"/>
    </w:rPr>
  </w:style>
  <w:style w:type="paragraph" w:styleId="Subtitle">
    <w:name w:val="Subtitle"/>
    <w:basedOn w:val="Normal"/>
    <w:next w:val="Normal"/>
    <w:uiPriority w:val="11"/>
    <w:qFormat/>
    <w:pPr>
      <w:keepNext/>
      <w:keepLines/>
      <w:spacing w:after="320"/>
    </w:pPr>
    <w:rPr>
      <w:rFonts w:ascii="Rubik" w:eastAsia="Rubik" w:hAnsi="Rubik" w:cs="Rubik"/>
      <w:color w:val="5A006F"/>
      <w:sz w:val="30"/>
      <w:szCs w:val="30"/>
    </w:rPr>
  </w:style>
  <w:style w:type="paragraph" w:styleId="Header">
    <w:name w:val="header"/>
    <w:basedOn w:val="Normal"/>
    <w:link w:val="HeaderChar"/>
    <w:uiPriority w:val="99"/>
    <w:unhideWhenUsed/>
    <w:rsid w:val="006A143E"/>
    <w:pPr>
      <w:tabs>
        <w:tab w:val="center" w:pos="4513"/>
        <w:tab w:val="right" w:pos="9026"/>
      </w:tabs>
      <w:spacing w:line="240" w:lineRule="auto"/>
    </w:pPr>
  </w:style>
  <w:style w:type="character" w:customStyle="1" w:styleId="HeaderChar">
    <w:name w:val="Header Char"/>
    <w:basedOn w:val="DefaultParagraphFont"/>
    <w:link w:val="Header"/>
    <w:uiPriority w:val="99"/>
    <w:rsid w:val="006A143E"/>
  </w:style>
  <w:style w:type="paragraph" w:styleId="Footer">
    <w:name w:val="footer"/>
    <w:basedOn w:val="Normal"/>
    <w:link w:val="FooterChar"/>
    <w:uiPriority w:val="99"/>
    <w:unhideWhenUsed/>
    <w:rsid w:val="006A143E"/>
    <w:pPr>
      <w:tabs>
        <w:tab w:val="center" w:pos="4513"/>
        <w:tab w:val="right" w:pos="9026"/>
      </w:tabs>
      <w:spacing w:line="240" w:lineRule="auto"/>
    </w:pPr>
  </w:style>
  <w:style w:type="character" w:customStyle="1" w:styleId="FooterChar">
    <w:name w:val="Footer Char"/>
    <w:basedOn w:val="DefaultParagraphFont"/>
    <w:link w:val="Footer"/>
    <w:uiPriority w:val="99"/>
    <w:rsid w:val="006A143E"/>
  </w:style>
  <w:style w:type="character" w:styleId="Hyperlink">
    <w:name w:val="Hyperlink"/>
    <w:basedOn w:val="DefaultParagraphFont"/>
    <w:uiPriority w:val="99"/>
    <w:unhideWhenUsed/>
    <w:rsid w:val="002B5496"/>
    <w:rPr>
      <w:color w:val="0000FF" w:themeColor="hyperlink"/>
      <w:u w:val="single"/>
    </w:rPr>
  </w:style>
  <w:style w:type="character" w:styleId="UnresolvedMention">
    <w:name w:val="Unresolved Mention"/>
    <w:basedOn w:val="DefaultParagraphFont"/>
    <w:uiPriority w:val="99"/>
    <w:semiHidden/>
    <w:unhideWhenUsed/>
    <w:rsid w:val="002B5496"/>
    <w:rPr>
      <w:color w:val="605E5C"/>
      <w:shd w:val="clear" w:color="auto" w:fill="E1DFDD"/>
    </w:rPr>
  </w:style>
  <w:style w:type="paragraph" w:styleId="ListParagraph">
    <w:name w:val="List Paragraph"/>
    <w:basedOn w:val="Normal"/>
    <w:uiPriority w:val="34"/>
    <w:qFormat/>
    <w:rsid w:val="002B5496"/>
    <w:pPr>
      <w:ind w:left="720"/>
      <w:contextualSpacing/>
    </w:pPr>
  </w:style>
  <w:style w:type="paragraph" w:styleId="EndnoteText">
    <w:name w:val="endnote text"/>
    <w:basedOn w:val="Normal"/>
    <w:link w:val="EndnoteTextChar"/>
    <w:uiPriority w:val="99"/>
    <w:unhideWhenUsed/>
    <w:rsid w:val="001A0EDE"/>
    <w:pPr>
      <w:spacing w:line="240" w:lineRule="auto"/>
    </w:pPr>
    <w:rPr>
      <w:rFonts w:asciiTheme="minorHAnsi" w:eastAsia="Times New Roman" w:hAnsiTheme="minorHAnsi" w:cs="Times New Roman"/>
      <w:lang w:val="en-AU" w:eastAsia="en-US"/>
    </w:rPr>
  </w:style>
  <w:style w:type="character" w:customStyle="1" w:styleId="EndnoteTextChar">
    <w:name w:val="Endnote Text Char"/>
    <w:basedOn w:val="DefaultParagraphFont"/>
    <w:link w:val="EndnoteText"/>
    <w:uiPriority w:val="99"/>
    <w:rsid w:val="001A0EDE"/>
    <w:rPr>
      <w:rFonts w:asciiTheme="minorHAnsi" w:eastAsia="Times New Roman" w:hAnsiTheme="minorHAnsi" w:cs="Times New Roman"/>
      <w:lang w:val="en-AU" w:eastAsia="en-US"/>
    </w:rPr>
  </w:style>
  <w:style w:type="character" w:styleId="EndnoteReference">
    <w:name w:val="endnote reference"/>
    <w:basedOn w:val="DefaultParagraphFont"/>
    <w:uiPriority w:val="99"/>
    <w:semiHidden/>
    <w:unhideWhenUsed/>
    <w:rsid w:val="001A0EDE"/>
    <w:rPr>
      <w:vertAlign w:val="superscript"/>
    </w:rPr>
  </w:style>
  <w:style w:type="character" w:customStyle="1" w:styleId="Heading2Char">
    <w:name w:val="Heading 2 Char"/>
    <w:basedOn w:val="DefaultParagraphFont"/>
    <w:link w:val="Heading2"/>
    <w:uiPriority w:val="9"/>
    <w:rsid w:val="000377AE"/>
    <w:rPr>
      <w:rFonts w:ascii="Rubik regular" w:eastAsia="Rubik" w:hAnsi="Rubik regular" w:cs="Rubik"/>
      <w:color w:val="5A006F"/>
      <w:sz w:val="30"/>
      <w:szCs w:val="30"/>
    </w:rPr>
  </w:style>
  <w:style w:type="character" w:styleId="FollowedHyperlink">
    <w:name w:val="FollowedHyperlink"/>
    <w:basedOn w:val="DefaultParagraphFont"/>
    <w:uiPriority w:val="99"/>
    <w:semiHidden/>
    <w:unhideWhenUsed/>
    <w:rsid w:val="00D3424F"/>
    <w:rPr>
      <w:color w:val="800080" w:themeColor="followed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4">
    <w:name w:val="Plain Table 4"/>
    <w:basedOn w:val="TableNormal"/>
    <w:uiPriority w:val="4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yle1">
    <w:name w:val="Style1"/>
    <w:basedOn w:val="Heading1"/>
    <w:link w:val="Style1Char"/>
    <w:rsid w:val="000377AE"/>
  </w:style>
  <w:style w:type="character" w:customStyle="1" w:styleId="Heading1Char">
    <w:name w:val="Heading 1 Char"/>
    <w:basedOn w:val="DefaultParagraphFont"/>
    <w:link w:val="Heading1"/>
    <w:uiPriority w:val="9"/>
    <w:rsid w:val="000377AE"/>
    <w:rPr>
      <w:rFonts w:ascii="Rubik regular" w:eastAsia="Rubik" w:hAnsi="Rubik regular" w:cs="Rubik"/>
      <w:color w:val="5A006F"/>
      <w:sz w:val="36"/>
      <w:szCs w:val="36"/>
    </w:rPr>
  </w:style>
  <w:style w:type="character" w:customStyle="1" w:styleId="Style1Char">
    <w:name w:val="Style1 Char"/>
    <w:basedOn w:val="Heading1Char"/>
    <w:link w:val="Style1"/>
    <w:rsid w:val="000377AE"/>
    <w:rPr>
      <w:rFonts w:ascii="Rubik regular" w:eastAsia="Rubik" w:hAnsi="Rubik regular" w:cs="Rubik"/>
      <w:color w:val="5A006F"/>
      <w:sz w:val="36"/>
      <w:szCs w:val="36"/>
    </w:rPr>
  </w:style>
  <w:style w:type="paragraph" w:styleId="NormalWeb">
    <w:name w:val="Normal (Web)"/>
    <w:basedOn w:val="Normal"/>
    <w:uiPriority w:val="99"/>
    <w:semiHidden/>
    <w:unhideWhenUsed/>
    <w:rsid w:val="008B2FF0"/>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paragraph" w:styleId="FootnoteText">
    <w:name w:val="footnote text"/>
    <w:basedOn w:val="Normal"/>
    <w:link w:val="FootnoteTextChar"/>
    <w:uiPriority w:val="99"/>
    <w:semiHidden/>
    <w:unhideWhenUsed/>
    <w:rsid w:val="00D037B6"/>
    <w:pPr>
      <w:spacing w:line="240" w:lineRule="auto"/>
    </w:pPr>
  </w:style>
  <w:style w:type="character" w:customStyle="1" w:styleId="FootnoteTextChar">
    <w:name w:val="Footnote Text Char"/>
    <w:basedOn w:val="DefaultParagraphFont"/>
    <w:link w:val="FootnoteText"/>
    <w:uiPriority w:val="99"/>
    <w:semiHidden/>
    <w:rsid w:val="00D037B6"/>
  </w:style>
  <w:style w:type="character" w:styleId="FootnoteReference">
    <w:name w:val="footnote reference"/>
    <w:basedOn w:val="DefaultParagraphFont"/>
    <w:uiPriority w:val="99"/>
    <w:semiHidden/>
    <w:unhideWhenUsed/>
    <w:rsid w:val="00D037B6"/>
    <w:rPr>
      <w:vertAlign w:val="superscript"/>
    </w:rPr>
  </w:style>
  <w:style w:type="character" w:styleId="Emphasis">
    <w:name w:val="Emphasis"/>
    <w:basedOn w:val="DefaultParagraphFont"/>
    <w:uiPriority w:val="20"/>
    <w:qFormat/>
    <w:rsid w:val="00AE00D2"/>
    <w:rPr>
      <w:i/>
      <w:iCs/>
    </w:rPr>
  </w:style>
  <w:style w:type="paragraph" w:customStyle="1" w:styleId="font-claude-response-body">
    <w:name w:val="font-claude-response-body"/>
    <w:basedOn w:val="Normal"/>
    <w:rsid w:val="003A0FFA"/>
    <w:pPr>
      <w:spacing w:before="100" w:beforeAutospacing="1" w:after="100" w:afterAutospacing="1" w:line="240" w:lineRule="auto"/>
    </w:pPr>
    <w:rPr>
      <w:rFonts w:ascii="Times New Roman" w:eastAsia="Times New Roman" w:hAnsi="Times New Roman" w:cs="Times New Roman"/>
      <w:sz w:val="24"/>
      <w:szCs w:val="24"/>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34791">
      <w:bodyDiv w:val="1"/>
      <w:marLeft w:val="0"/>
      <w:marRight w:val="0"/>
      <w:marTop w:val="0"/>
      <w:marBottom w:val="0"/>
      <w:divBdr>
        <w:top w:val="none" w:sz="0" w:space="0" w:color="auto"/>
        <w:left w:val="none" w:sz="0" w:space="0" w:color="auto"/>
        <w:bottom w:val="none" w:sz="0" w:space="0" w:color="auto"/>
        <w:right w:val="none" w:sz="0" w:space="0" w:color="auto"/>
      </w:divBdr>
    </w:div>
    <w:div w:id="583993629">
      <w:bodyDiv w:val="1"/>
      <w:marLeft w:val="0"/>
      <w:marRight w:val="0"/>
      <w:marTop w:val="0"/>
      <w:marBottom w:val="0"/>
      <w:divBdr>
        <w:top w:val="none" w:sz="0" w:space="0" w:color="auto"/>
        <w:left w:val="none" w:sz="0" w:space="0" w:color="auto"/>
        <w:bottom w:val="none" w:sz="0" w:space="0" w:color="auto"/>
        <w:right w:val="none" w:sz="0" w:space="0" w:color="auto"/>
      </w:divBdr>
    </w:div>
    <w:div w:id="1020277872">
      <w:bodyDiv w:val="1"/>
      <w:marLeft w:val="0"/>
      <w:marRight w:val="0"/>
      <w:marTop w:val="0"/>
      <w:marBottom w:val="0"/>
      <w:divBdr>
        <w:top w:val="none" w:sz="0" w:space="0" w:color="auto"/>
        <w:left w:val="none" w:sz="0" w:space="0" w:color="auto"/>
        <w:bottom w:val="none" w:sz="0" w:space="0" w:color="auto"/>
        <w:right w:val="none" w:sz="0" w:space="0" w:color="auto"/>
      </w:divBdr>
      <w:divsChild>
        <w:div w:id="213196860">
          <w:marLeft w:val="0"/>
          <w:marRight w:val="0"/>
          <w:marTop w:val="0"/>
          <w:marBottom w:val="0"/>
          <w:divBdr>
            <w:top w:val="none" w:sz="0" w:space="0" w:color="auto"/>
            <w:left w:val="none" w:sz="0" w:space="0" w:color="auto"/>
            <w:bottom w:val="none" w:sz="0" w:space="0" w:color="auto"/>
            <w:right w:val="none" w:sz="0" w:space="0" w:color="auto"/>
          </w:divBdr>
          <w:divsChild>
            <w:div w:id="1678383076">
              <w:marLeft w:val="0"/>
              <w:marRight w:val="0"/>
              <w:marTop w:val="0"/>
              <w:marBottom w:val="0"/>
              <w:divBdr>
                <w:top w:val="none" w:sz="0" w:space="0" w:color="auto"/>
                <w:left w:val="none" w:sz="0" w:space="0" w:color="auto"/>
                <w:bottom w:val="none" w:sz="0" w:space="0" w:color="auto"/>
                <w:right w:val="none" w:sz="0" w:space="0" w:color="auto"/>
              </w:divBdr>
              <w:divsChild>
                <w:div w:id="1395158637">
                  <w:marLeft w:val="0"/>
                  <w:marRight w:val="0"/>
                  <w:marTop w:val="0"/>
                  <w:marBottom w:val="0"/>
                  <w:divBdr>
                    <w:top w:val="none" w:sz="0" w:space="0" w:color="auto"/>
                    <w:left w:val="none" w:sz="0" w:space="0" w:color="auto"/>
                    <w:bottom w:val="none" w:sz="0" w:space="0" w:color="auto"/>
                    <w:right w:val="none" w:sz="0" w:space="0" w:color="auto"/>
                  </w:divBdr>
                  <w:divsChild>
                    <w:div w:id="917905019">
                      <w:marLeft w:val="0"/>
                      <w:marRight w:val="0"/>
                      <w:marTop w:val="0"/>
                      <w:marBottom w:val="0"/>
                      <w:divBdr>
                        <w:top w:val="none" w:sz="0" w:space="0" w:color="auto"/>
                        <w:left w:val="none" w:sz="0" w:space="0" w:color="auto"/>
                        <w:bottom w:val="none" w:sz="0" w:space="0" w:color="auto"/>
                        <w:right w:val="none" w:sz="0" w:space="0" w:color="auto"/>
                      </w:divBdr>
                      <w:divsChild>
                        <w:div w:id="857234049">
                          <w:marLeft w:val="0"/>
                          <w:marRight w:val="0"/>
                          <w:marTop w:val="0"/>
                          <w:marBottom w:val="0"/>
                          <w:divBdr>
                            <w:top w:val="none" w:sz="0" w:space="0" w:color="auto"/>
                            <w:left w:val="none" w:sz="0" w:space="0" w:color="auto"/>
                            <w:bottom w:val="none" w:sz="0" w:space="0" w:color="auto"/>
                            <w:right w:val="none" w:sz="0" w:space="0" w:color="auto"/>
                          </w:divBdr>
                          <w:divsChild>
                            <w:div w:id="1481465280">
                              <w:marLeft w:val="0"/>
                              <w:marRight w:val="0"/>
                              <w:marTop w:val="0"/>
                              <w:marBottom w:val="0"/>
                              <w:divBdr>
                                <w:top w:val="none" w:sz="0" w:space="0" w:color="auto"/>
                                <w:left w:val="none" w:sz="0" w:space="0" w:color="auto"/>
                                <w:bottom w:val="none" w:sz="0" w:space="0" w:color="auto"/>
                                <w:right w:val="none" w:sz="0" w:space="0" w:color="auto"/>
                              </w:divBdr>
                              <w:divsChild>
                                <w:div w:id="986321306">
                                  <w:marLeft w:val="0"/>
                                  <w:marRight w:val="0"/>
                                  <w:marTop w:val="0"/>
                                  <w:marBottom w:val="0"/>
                                  <w:divBdr>
                                    <w:top w:val="none" w:sz="0" w:space="0" w:color="auto"/>
                                    <w:left w:val="none" w:sz="0" w:space="0" w:color="auto"/>
                                    <w:bottom w:val="none" w:sz="0" w:space="0" w:color="auto"/>
                                    <w:right w:val="none" w:sz="0" w:space="0" w:color="auto"/>
                                  </w:divBdr>
                                  <w:divsChild>
                                    <w:div w:id="1455708151">
                                      <w:marLeft w:val="0"/>
                                      <w:marRight w:val="0"/>
                                      <w:marTop w:val="0"/>
                                      <w:marBottom w:val="0"/>
                                      <w:divBdr>
                                        <w:top w:val="none" w:sz="0" w:space="0" w:color="auto"/>
                                        <w:left w:val="none" w:sz="0" w:space="0" w:color="auto"/>
                                        <w:bottom w:val="none" w:sz="0" w:space="0" w:color="auto"/>
                                        <w:right w:val="none" w:sz="0" w:space="0" w:color="auto"/>
                                      </w:divBdr>
                                      <w:divsChild>
                                        <w:div w:id="1667898399">
                                          <w:marLeft w:val="0"/>
                                          <w:marRight w:val="0"/>
                                          <w:marTop w:val="0"/>
                                          <w:marBottom w:val="0"/>
                                          <w:divBdr>
                                            <w:top w:val="none" w:sz="0" w:space="0" w:color="auto"/>
                                            <w:left w:val="none" w:sz="0" w:space="0" w:color="auto"/>
                                            <w:bottom w:val="none" w:sz="0" w:space="0" w:color="auto"/>
                                            <w:right w:val="none" w:sz="0" w:space="0" w:color="auto"/>
                                          </w:divBdr>
                                          <w:divsChild>
                                            <w:div w:id="1616793718">
                                              <w:marLeft w:val="0"/>
                                              <w:marRight w:val="0"/>
                                              <w:marTop w:val="0"/>
                                              <w:marBottom w:val="0"/>
                                              <w:divBdr>
                                                <w:top w:val="none" w:sz="0" w:space="0" w:color="auto"/>
                                                <w:left w:val="none" w:sz="0" w:space="0" w:color="auto"/>
                                                <w:bottom w:val="none" w:sz="0" w:space="0" w:color="auto"/>
                                                <w:right w:val="none" w:sz="0" w:space="0" w:color="auto"/>
                                              </w:divBdr>
                                              <w:divsChild>
                                                <w:div w:id="1451557477">
                                                  <w:marLeft w:val="0"/>
                                                  <w:marRight w:val="0"/>
                                                  <w:marTop w:val="0"/>
                                                  <w:marBottom w:val="0"/>
                                                  <w:divBdr>
                                                    <w:top w:val="none" w:sz="0" w:space="0" w:color="auto"/>
                                                    <w:left w:val="none" w:sz="0" w:space="0" w:color="auto"/>
                                                    <w:bottom w:val="none" w:sz="0" w:space="0" w:color="auto"/>
                                                    <w:right w:val="none" w:sz="0" w:space="0" w:color="auto"/>
                                                  </w:divBdr>
                                                  <w:divsChild>
                                                    <w:div w:id="12874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0395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ustralianWomensHealth.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AustralianWomensHealth.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nationallegalaid.org.au/news/joint-statement-ndis-reforms-ri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ennaAguilar\Downloads\Policy%20brief_Document%20Sty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319B620C901544A72D510C44F6C46A" ma:contentTypeVersion="13" ma:contentTypeDescription="Create a new document." ma:contentTypeScope="" ma:versionID="ed4e7f601148ca48e2aa01b8d973d766">
  <xsd:schema xmlns:xsd="http://www.w3.org/2001/XMLSchema" xmlns:xs="http://www.w3.org/2001/XMLSchema" xmlns:p="http://schemas.microsoft.com/office/2006/metadata/properties" xmlns:ns2="153f973e-18e3-4683-9db9-a8b30f12ddca" xmlns:ns3="5b707c4a-f0af-4a30-ae8a-e74992196a0f" targetNamespace="http://schemas.microsoft.com/office/2006/metadata/properties" ma:root="true" ma:fieldsID="d091487e1e15535c11344703c2821d59" ns2:_="" ns3:_="">
    <xsd:import namespace="153f973e-18e3-4683-9db9-a8b30f12ddca"/>
    <xsd:import namespace="5b707c4a-f0af-4a30-ae8a-e74992196a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3f973e-18e3-4683-9db9-a8b30f12d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82179-ca94-4778-9afe-36ab1981ad1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07c4a-f0af-4a30-ae8a-e74992196a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3ea0fec-a4e5-4c0e-bb5d-a316e2eafeb6}" ma:internalName="TaxCatchAll" ma:showField="CatchAllData" ma:web="5b707c4a-f0af-4a30-ae8a-e74992196a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3f973e-18e3-4683-9db9-a8b30f12ddca">
      <Terms xmlns="http://schemas.microsoft.com/office/infopath/2007/PartnerControls"/>
    </lcf76f155ced4ddcb4097134ff3c332f>
    <TaxCatchAll xmlns="5b707c4a-f0af-4a30-ae8a-e74992196a0f" xsi:nil="true"/>
    <SharedWithUsers xmlns="5b707c4a-f0af-4a30-ae8a-e74992196a0f">
      <UserInfo>
        <DisplayName/>
        <AccountId xsi:nil="true"/>
        <AccountType/>
      </UserInfo>
    </SharedWithUsers>
    <MediaLengthInSeconds xmlns="153f973e-18e3-4683-9db9-a8b30f12ddca" xsi:nil="true"/>
  </documentManagement>
</p:properties>
</file>

<file path=customXml/itemProps1.xml><?xml version="1.0" encoding="utf-8"?>
<ds:datastoreItem xmlns:ds="http://schemas.openxmlformats.org/officeDocument/2006/customXml" ds:itemID="{10C4646A-4C72-45F6-9348-03F53FD99921}">
  <ds:schemaRefs>
    <ds:schemaRef ds:uri="http://schemas.openxmlformats.org/officeDocument/2006/bibliography"/>
  </ds:schemaRefs>
</ds:datastoreItem>
</file>

<file path=customXml/itemProps2.xml><?xml version="1.0" encoding="utf-8"?>
<ds:datastoreItem xmlns:ds="http://schemas.openxmlformats.org/officeDocument/2006/customXml" ds:itemID="{381E3EC5-F56C-498D-992F-CA9F7BDD9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3f973e-18e3-4683-9db9-a8b30f12ddca"/>
    <ds:schemaRef ds:uri="5b707c4a-f0af-4a30-ae8a-e74992196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A187AD-0EDB-4B4C-AC27-3835DA922188}">
  <ds:schemaRefs>
    <ds:schemaRef ds:uri="http://schemas.microsoft.com/sharepoint/v3/contenttype/forms"/>
  </ds:schemaRefs>
</ds:datastoreItem>
</file>

<file path=customXml/itemProps4.xml><?xml version="1.0" encoding="utf-8"?>
<ds:datastoreItem xmlns:ds="http://schemas.openxmlformats.org/officeDocument/2006/customXml" ds:itemID="{354A6787-EE38-4415-91C1-925AF946DD56}">
  <ds:schemaRefs>
    <ds:schemaRef ds:uri="http://schemas.microsoft.com/office/2006/metadata/properties"/>
    <ds:schemaRef ds:uri="http://schemas.microsoft.com/office/infopath/2007/PartnerControls"/>
    <ds:schemaRef ds:uri="153f973e-18e3-4683-9db9-a8b30f12ddca"/>
    <ds:schemaRef ds:uri="5b707c4a-f0af-4a30-ae8a-e74992196a0f"/>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Policy brief_Document Style Template</Template>
  <TotalTime>0</TotalTime>
  <Pages>5</Pages>
  <Words>1840</Words>
  <Characters>10215</Characters>
  <Application>Microsoft Office Word</Application>
  <DocSecurity>0</DocSecurity>
  <Lines>204</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Australian Womens Health Alliance</dc:creator>
  <cp:lastModifiedBy>Bonnie Laxton-Blinkhorn</cp:lastModifiedBy>
  <cp:revision>2</cp:revision>
  <dcterms:created xsi:type="dcterms:W3CDTF">2026-08-13T04:36:00Z</dcterms:created>
  <dcterms:modified xsi:type="dcterms:W3CDTF">2026-08-13T04:36:00Z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0x010100F5319B620C901544A72D510C44F6C46A</vt:lpwstr>
  </property>
  <property fmtid="{D5CDD505-2E9C-101B-9397-08002B2CF9AE}" pid="3" name="MediaServiceImageTags">
    <vt:lpwstr/>
  </property>
  <property fmtid="{D5CDD505-2E9C-101B-9397-08002B2CF9AE}" pid="4" name="Order">
    <vt:r8>164800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